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892"/>
        <w:gridCol w:w="1893"/>
        <w:gridCol w:w="1893"/>
        <w:gridCol w:w="1893"/>
      </w:tblGrid>
      <w:tr w:rsidR="00C82715" w:rsidTr="00A82645">
        <w:tc>
          <w:tcPr>
            <w:tcW w:w="2005" w:type="dxa"/>
          </w:tcPr>
          <w:p w:rsidR="00C82715" w:rsidRDefault="00C82715"/>
        </w:tc>
        <w:tc>
          <w:tcPr>
            <w:tcW w:w="7571" w:type="dxa"/>
            <w:gridSpan w:val="4"/>
          </w:tcPr>
          <w:p w:rsidR="00C82715" w:rsidRPr="00C96401" w:rsidRDefault="00C82715" w:rsidP="006618AA">
            <w:pPr>
              <w:jc w:val="center"/>
              <w:rPr>
                <w:b/>
                <w:sz w:val="28"/>
                <w:szCs w:val="28"/>
              </w:rPr>
            </w:pPr>
            <w:r w:rsidRPr="00C96401">
              <w:rPr>
                <w:b/>
                <w:sz w:val="28"/>
                <w:szCs w:val="28"/>
              </w:rPr>
              <w:t>Probability of choosing safe</w:t>
            </w:r>
          </w:p>
        </w:tc>
      </w:tr>
      <w:tr w:rsidR="006618AA" w:rsidTr="00244FA4">
        <w:tc>
          <w:tcPr>
            <w:tcW w:w="2005" w:type="dxa"/>
          </w:tcPr>
          <w:p w:rsidR="006618AA" w:rsidRDefault="006618AA"/>
        </w:tc>
        <w:tc>
          <w:tcPr>
            <w:tcW w:w="3785" w:type="dxa"/>
            <w:gridSpan w:val="2"/>
          </w:tcPr>
          <w:p w:rsidR="006618AA" w:rsidRPr="006618AA" w:rsidRDefault="006618AA">
            <w:pPr>
              <w:rPr>
                <w:b/>
              </w:rPr>
            </w:pPr>
            <w:r w:rsidRPr="006618AA">
              <w:rPr>
                <w:b/>
              </w:rPr>
              <w:t>All players</w:t>
            </w:r>
          </w:p>
        </w:tc>
        <w:tc>
          <w:tcPr>
            <w:tcW w:w="3786" w:type="dxa"/>
            <w:gridSpan w:val="2"/>
          </w:tcPr>
          <w:p w:rsidR="006618AA" w:rsidRPr="006618AA" w:rsidRDefault="006618AA">
            <w:pPr>
              <w:rPr>
                <w:b/>
              </w:rPr>
            </w:pPr>
            <w:r w:rsidRPr="006618AA">
              <w:rPr>
                <w:b/>
              </w:rPr>
              <w:t>Players with choice rate ≥ 60%</w:t>
            </w:r>
          </w:p>
        </w:tc>
      </w:tr>
      <w:tr w:rsidR="00C82715" w:rsidTr="00244FA4">
        <w:tc>
          <w:tcPr>
            <w:tcW w:w="2005" w:type="dxa"/>
          </w:tcPr>
          <w:p w:rsidR="00C82715" w:rsidRDefault="00C82715"/>
        </w:tc>
        <w:tc>
          <w:tcPr>
            <w:tcW w:w="1892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risky</w:t>
            </w:r>
          </w:p>
        </w:tc>
        <w:tc>
          <w:tcPr>
            <w:tcW w:w="1893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missing</w:t>
            </w:r>
          </w:p>
        </w:tc>
        <w:tc>
          <w:tcPr>
            <w:tcW w:w="1893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risky</w:t>
            </w:r>
          </w:p>
        </w:tc>
        <w:tc>
          <w:tcPr>
            <w:tcW w:w="1893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missing</w:t>
            </w:r>
          </w:p>
        </w:tc>
      </w:tr>
      <w:tr w:rsidR="00C82715" w:rsidTr="00553328">
        <w:tc>
          <w:tcPr>
            <w:tcW w:w="2005" w:type="dxa"/>
          </w:tcPr>
          <w:p w:rsidR="00C82715" w:rsidRDefault="00C82715"/>
        </w:tc>
        <w:tc>
          <w:tcPr>
            <w:tcW w:w="1892" w:type="dxa"/>
          </w:tcPr>
          <w:p w:rsidR="00C82715" w:rsidRDefault="006618AA" w:rsidP="006618AA">
            <w:pPr>
              <w:jc w:val="center"/>
            </w:pPr>
            <w:r>
              <w:t>(1)</w:t>
            </w:r>
          </w:p>
        </w:tc>
        <w:tc>
          <w:tcPr>
            <w:tcW w:w="1893" w:type="dxa"/>
          </w:tcPr>
          <w:p w:rsidR="00C82715" w:rsidRDefault="006618AA" w:rsidP="006618AA">
            <w:pPr>
              <w:jc w:val="center"/>
            </w:pPr>
            <w:r>
              <w:t>(2)</w:t>
            </w:r>
          </w:p>
        </w:tc>
        <w:tc>
          <w:tcPr>
            <w:tcW w:w="1893" w:type="dxa"/>
          </w:tcPr>
          <w:p w:rsidR="00C82715" w:rsidRDefault="006618AA" w:rsidP="006618AA">
            <w:pPr>
              <w:jc w:val="center"/>
            </w:pPr>
            <w:r>
              <w:t>(3)</w:t>
            </w:r>
          </w:p>
        </w:tc>
        <w:tc>
          <w:tcPr>
            <w:tcW w:w="1893" w:type="dxa"/>
          </w:tcPr>
          <w:p w:rsidR="00C82715" w:rsidRDefault="006618AA" w:rsidP="006618AA">
            <w:pPr>
              <w:jc w:val="center"/>
            </w:pPr>
            <w:r>
              <w:t>(4)</w:t>
            </w:r>
          </w:p>
        </w:tc>
      </w:tr>
      <w:tr w:rsidR="00311F04" w:rsidTr="003724F6">
        <w:tc>
          <w:tcPr>
            <w:tcW w:w="2005" w:type="dxa"/>
            <w:vAlign w:val="center"/>
          </w:tcPr>
          <w:p w:rsidR="00311F04" w:rsidRPr="00CE7144" w:rsidRDefault="00311F04" w:rsidP="00C84A7C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CE7144">
              <w:rPr>
                <w:i/>
              </w:rPr>
              <w:t>ostlow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0.120</w:t>
            </w:r>
            <w:r w:rsidRPr="005F3261">
              <w:t xml:space="preserve"> </w:t>
            </w:r>
            <w:r w:rsidRPr="005F3261">
              <w:t>(0.108)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0.203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(0.0983)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0.210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(0.110)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0.201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(0.104)</w:t>
            </w:r>
          </w:p>
        </w:tc>
      </w:tr>
      <w:tr w:rsidR="00311F04" w:rsidTr="003724F6">
        <w:tc>
          <w:tcPr>
            <w:tcW w:w="2005" w:type="dxa"/>
            <w:vAlign w:val="center"/>
          </w:tcPr>
          <w:p w:rsidR="00311F04" w:rsidRPr="00CE7144" w:rsidRDefault="00311F04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prevknown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-0.0705</w:t>
            </w:r>
            <w:r w:rsidRPr="005F3261">
              <w:t xml:space="preserve"> </w:t>
            </w:r>
            <w:r w:rsidRPr="005F3261">
              <w:t>(0.523)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-0.0741</w:t>
            </w:r>
            <w:r w:rsidRPr="005F3261">
              <w:t xml:space="preserve"> </w:t>
            </w:r>
            <w:r w:rsidRPr="005F3261">
              <w:t>(0.521)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-0.164</w:t>
            </w:r>
            <w:r w:rsidRPr="005F3261">
              <w:t xml:space="preserve"> </w:t>
            </w:r>
            <w:r w:rsidRPr="005F3261">
              <w:t>(0.558)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-0.153</w:t>
            </w:r>
            <w:r w:rsidRPr="005F3261">
              <w:t xml:space="preserve"> </w:t>
            </w:r>
            <w:r w:rsidRPr="005F3261">
              <w:t>(0.535)</w:t>
            </w:r>
          </w:p>
        </w:tc>
      </w:tr>
      <w:tr w:rsidR="00311F04" w:rsidTr="003724F6">
        <w:tc>
          <w:tcPr>
            <w:tcW w:w="2005" w:type="dxa"/>
            <w:vAlign w:val="center"/>
          </w:tcPr>
          <w:p w:rsidR="00311F04" w:rsidRPr="00CE7144" w:rsidRDefault="00311F04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firstaction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0.414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(0.107)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0.186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(0.0868)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0.210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(0.0957)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0.168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(0.0937)</w:t>
            </w:r>
          </w:p>
        </w:tc>
      </w:tr>
      <w:tr w:rsidR="00311F04" w:rsidTr="003724F6">
        <w:tc>
          <w:tcPr>
            <w:tcW w:w="2005" w:type="dxa"/>
            <w:vAlign w:val="center"/>
          </w:tcPr>
          <w:p w:rsidR="00311F04" w:rsidRPr="00CE7144" w:rsidRDefault="00311F04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infectriskratio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0.218</w:t>
            </w:r>
            <w:r w:rsidRPr="005F3261">
              <w:t xml:space="preserve"> </w:t>
            </w:r>
            <w:r w:rsidRPr="005F3261">
              <w:t>(0.255)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0.485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(0.211)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0.472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(0.222)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0.507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(0.214)</w:t>
            </w:r>
          </w:p>
        </w:tc>
      </w:tr>
      <w:tr w:rsidR="00311F04" w:rsidTr="003724F6">
        <w:tc>
          <w:tcPr>
            <w:tcW w:w="2005" w:type="dxa"/>
            <w:vAlign w:val="center"/>
          </w:tcPr>
          <w:p w:rsidR="00311F04" w:rsidRPr="00CE7144" w:rsidRDefault="00311F04" w:rsidP="00C84A7C">
            <w:pPr>
              <w:rPr>
                <w:i/>
              </w:rPr>
            </w:pPr>
            <w:r>
              <w:rPr>
                <w:i/>
              </w:rPr>
              <w:t>r</w:t>
            </w:r>
            <w:r w:rsidRPr="00CE7144">
              <w:rPr>
                <w:i/>
              </w:rPr>
              <w:t>ound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-0.0170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(0.00777)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-0.0187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(0.00810)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-0.0188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(0.00826)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-0.0206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(0.00804)</w:t>
            </w:r>
          </w:p>
        </w:tc>
      </w:tr>
      <w:tr w:rsidR="00311F04" w:rsidTr="003724F6">
        <w:tc>
          <w:tcPr>
            <w:tcW w:w="2005" w:type="dxa"/>
            <w:vAlign w:val="center"/>
          </w:tcPr>
          <w:p w:rsidR="00311F04" w:rsidRPr="00CE7144" w:rsidRDefault="00311F04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prevknown×round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0.0529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(0.0192)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0.0553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(0.0205)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0.0549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(0.0208)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0.0597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(0.0205)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female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-0.0334</w:t>
            </w:r>
            <w:r w:rsidRPr="005F3261">
              <w:t xml:space="preserve"> </w:t>
            </w:r>
            <w:r w:rsidRPr="005F3261">
              <w:t>(0.146)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0.0107</w:t>
            </w:r>
            <w:r w:rsidRPr="005F3261">
              <w:t xml:space="preserve"> </w:t>
            </w:r>
            <w:r w:rsidRPr="005F3261">
              <w:t>(0.116)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0.0240</w:t>
            </w:r>
            <w:r w:rsidRPr="005F3261">
              <w:t xml:space="preserve"> </w:t>
            </w:r>
            <w:r w:rsidRPr="005F3261">
              <w:t>(0.132)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0.0206</w:t>
            </w:r>
            <w:r w:rsidRPr="005F3261">
              <w:t xml:space="preserve"> </w:t>
            </w:r>
            <w:r w:rsidRPr="005F3261">
              <w:t>(0.119)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married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-0.229</w:t>
            </w:r>
            <w:r w:rsidRPr="005F3261">
              <w:t xml:space="preserve"> </w:t>
            </w:r>
            <w:r w:rsidRPr="005F3261">
              <w:t>(0.146)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-0.0904</w:t>
            </w:r>
            <w:r w:rsidRPr="005F3261">
              <w:t xml:space="preserve"> </w:t>
            </w:r>
            <w:r w:rsidRPr="005F3261">
              <w:t>(0.131)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-0.0833</w:t>
            </w:r>
            <w:r w:rsidRPr="005F3261">
              <w:t xml:space="preserve"> </w:t>
            </w:r>
            <w:r w:rsidRPr="005F3261">
              <w:t>(0.132)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-0.0684</w:t>
            </w:r>
            <w:r w:rsidRPr="005F3261">
              <w:t xml:space="preserve"> </w:t>
            </w:r>
            <w:r w:rsidRPr="005F3261">
              <w:t>(0.130)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black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0.163</w:t>
            </w:r>
            <w:r w:rsidRPr="005F3261">
              <w:t xml:space="preserve"> </w:t>
            </w:r>
            <w:r w:rsidRPr="005F3261">
              <w:t>(0.173)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0.0178</w:t>
            </w:r>
            <w:r w:rsidRPr="005F3261">
              <w:t xml:space="preserve"> </w:t>
            </w:r>
            <w:r w:rsidRPr="005F3261">
              <w:t>(0.118)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0.0273</w:t>
            </w:r>
            <w:r w:rsidRPr="005F3261">
              <w:t xml:space="preserve"> </w:t>
            </w:r>
            <w:r w:rsidRPr="005F3261">
              <w:t>(0.119)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0.00906</w:t>
            </w:r>
            <w:r w:rsidRPr="005F3261">
              <w:t xml:space="preserve"> </w:t>
            </w:r>
            <w:r w:rsidRPr="005F3261">
              <w:t>(0.119)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hispanic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-0.305</w:t>
            </w:r>
            <w:r w:rsidRPr="005F3261">
              <w:rPr>
                <w:vertAlign w:val="superscript"/>
              </w:rPr>
              <w:t>***</w:t>
            </w:r>
            <w:r w:rsidRPr="005F3261">
              <w:t xml:space="preserve"> </w:t>
            </w:r>
            <w:r w:rsidRPr="005F3261">
              <w:t>(0.101)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-0.285</w:t>
            </w:r>
            <w:r w:rsidRPr="005F3261">
              <w:rPr>
                <w:vertAlign w:val="superscript"/>
              </w:rPr>
              <w:t>**</w:t>
            </w:r>
            <w:r w:rsidRPr="005F3261">
              <w:t xml:space="preserve"> </w:t>
            </w:r>
            <w:r w:rsidRPr="005F3261">
              <w:t>(0.139)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-0.350</w:t>
            </w:r>
            <w:r w:rsidRPr="005F3261">
              <w:rPr>
                <w:vertAlign w:val="superscript"/>
              </w:rPr>
              <w:t>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(0.156)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-0.292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(0.162)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asian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-0.213</w:t>
            </w:r>
            <w:r w:rsidRPr="005F3261">
              <w:t xml:space="preserve"> </w:t>
            </w:r>
            <w:r w:rsidRPr="005F3261">
              <w:t>(0.212)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-0.217</w:t>
            </w:r>
            <w:r w:rsidRPr="005F3261">
              <w:t xml:space="preserve"> </w:t>
            </w:r>
            <w:r w:rsidRPr="005F3261">
              <w:t>(0.198)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-0.199</w:t>
            </w:r>
            <w:r w:rsidRPr="005F3261">
              <w:t xml:space="preserve"> </w:t>
            </w:r>
            <w:r w:rsidRPr="005F3261">
              <w:t>(0.189)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-0.202</w:t>
            </w:r>
            <w:r w:rsidRPr="005F3261">
              <w:t xml:space="preserve"> </w:t>
            </w:r>
            <w:r w:rsidRPr="005F3261">
              <w:t>(0.192)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age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0.00282</w:t>
            </w:r>
            <w:r w:rsidRPr="005F3261">
              <w:t xml:space="preserve"> </w:t>
            </w:r>
            <w:r w:rsidRPr="005F3261">
              <w:t>(0.00456)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0.00232</w:t>
            </w:r>
            <w:r w:rsidRPr="005F3261">
              <w:t xml:space="preserve"> </w:t>
            </w:r>
            <w:r w:rsidRPr="005F3261">
              <w:t>(0.00358)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0.00137</w:t>
            </w:r>
            <w:r w:rsidRPr="005F3261">
              <w:t xml:space="preserve"> </w:t>
            </w:r>
            <w:r w:rsidRPr="005F3261">
              <w:t>(0.00399)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0.00201</w:t>
            </w:r>
            <w:r w:rsidRPr="005F3261">
              <w:t xml:space="preserve"> </w:t>
            </w:r>
            <w:r w:rsidRPr="005F3261">
              <w:t>(0.00371)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badeg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-0.231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(0.123)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-0.170</w:t>
            </w:r>
            <w:r w:rsidRPr="005F3261">
              <w:t xml:space="preserve"> </w:t>
            </w:r>
            <w:r w:rsidRPr="005F3261">
              <w:t>(0.117)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-0.152</w:t>
            </w:r>
            <w:r w:rsidRPr="005F3261">
              <w:t xml:space="preserve"> </w:t>
            </w:r>
            <w:r w:rsidRPr="005F3261">
              <w:t>(0.126)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-0.152</w:t>
            </w:r>
            <w:r w:rsidRPr="005F3261">
              <w:t xml:space="preserve"> </w:t>
            </w:r>
            <w:r w:rsidRPr="005F3261">
              <w:t>(0.120)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advdeg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-0.0466</w:t>
            </w:r>
            <w:r w:rsidRPr="005F3261">
              <w:t xml:space="preserve"> </w:t>
            </w:r>
            <w:r w:rsidRPr="005F3261">
              <w:t>(0.148)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-0.0470</w:t>
            </w:r>
            <w:r w:rsidRPr="005F3261">
              <w:t xml:space="preserve"> </w:t>
            </w:r>
            <w:r w:rsidRPr="005F3261">
              <w:t>(0.147)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-0.0135</w:t>
            </w:r>
            <w:r w:rsidRPr="005F3261">
              <w:t xml:space="preserve"> </w:t>
            </w:r>
            <w:r w:rsidRPr="005F3261">
              <w:t>(0.150)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-0.0457</w:t>
            </w:r>
            <w:r w:rsidRPr="005F3261">
              <w:t xml:space="preserve"> </w:t>
            </w:r>
            <w:r w:rsidRPr="005F3261">
              <w:t>(0.147)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somecoll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-0.0295</w:t>
            </w:r>
            <w:r w:rsidRPr="005F3261">
              <w:t xml:space="preserve"> </w:t>
            </w:r>
            <w:r w:rsidRPr="005F3261">
              <w:t>(0.158)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0.0101</w:t>
            </w:r>
            <w:r w:rsidRPr="005F3261">
              <w:t xml:space="preserve"> </w:t>
            </w:r>
            <w:r w:rsidRPr="005F3261">
              <w:t>(0.135)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-0.0115</w:t>
            </w:r>
            <w:r w:rsidRPr="005F3261">
              <w:t xml:space="preserve"> </w:t>
            </w:r>
            <w:r w:rsidRPr="005F3261">
              <w:t>(0.151)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0.0431</w:t>
            </w:r>
            <w:r w:rsidRPr="005F3261">
              <w:t xml:space="preserve"> </w:t>
            </w:r>
            <w:r w:rsidRPr="005F3261">
              <w:t>(0.146)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inclt50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0.257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(0.143)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0.0765</w:t>
            </w:r>
            <w:r w:rsidRPr="005F3261">
              <w:t xml:space="preserve"> </w:t>
            </w:r>
            <w:r w:rsidRPr="005F3261">
              <w:t>(0.130)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0.0773</w:t>
            </w:r>
            <w:r w:rsidRPr="005F3261">
              <w:t xml:space="preserve"> </w:t>
            </w:r>
            <w:r w:rsidRPr="005F3261">
              <w:t>(0.149)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0.0477</w:t>
            </w:r>
            <w:r w:rsidRPr="005F3261">
              <w:t xml:space="preserve"> </w:t>
            </w:r>
            <w:r w:rsidRPr="005F3261">
              <w:t>(0.136)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inc50100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0.311</w:t>
            </w:r>
            <w:r w:rsidRPr="005F3261">
              <w:rPr>
                <w:vertAlign w:val="superscript"/>
              </w:rPr>
              <w:t>**</w:t>
            </w:r>
            <w:r w:rsidRPr="005F3261">
              <w:t xml:space="preserve"> </w:t>
            </w:r>
            <w:r w:rsidRPr="005F3261">
              <w:t>(0.142)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0.151</w:t>
            </w:r>
            <w:r w:rsidRPr="005F3261">
              <w:t xml:space="preserve"> </w:t>
            </w:r>
            <w:r w:rsidRPr="005F3261">
              <w:t>(0.117)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0.182</w:t>
            </w:r>
            <w:r w:rsidRPr="005F3261">
              <w:t xml:space="preserve"> </w:t>
            </w:r>
            <w:r w:rsidRPr="005F3261">
              <w:t>(0.140)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0.135</w:t>
            </w:r>
            <w:r w:rsidRPr="005F3261">
              <w:t xml:space="preserve"> </w:t>
            </w:r>
            <w:r w:rsidRPr="005F3261">
              <w:t>(0.125)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unemp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0.404</w:t>
            </w:r>
            <w:r w:rsidRPr="005F3261">
              <w:rPr>
                <w:vertAlign w:val="superscript"/>
              </w:rPr>
              <w:t>**</w:t>
            </w:r>
            <w:r w:rsidRPr="005F3261">
              <w:t xml:space="preserve"> </w:t>
            </w:r>
            <w:r w:rsidRPr="005F3261">
              <w:t>(0.168)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0.176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(0.0951)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0.206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(0.123)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0.164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(0.0942)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selfemp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0.219</w:t>
            </w:r>
            <w:r w:rsidRPr="005F3261">
              <w:t xml:space="preserve"> </w:t>
            </w:r>
            <w:r w:rsidRPr="005F3261">
              <w:t>(0.149)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0.0646</w:t>
            </w:r>
            <w:r w:rsidRPr="005F3261">
              <w:t xml:space="preserve"> </w:t>
            </w:r>
            <w:r w:rsidRPr="005F3261">
              <w:t>(0.115)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0.0937</w:t>
            </w:r>
            <w:r w:rsidRPr="005F3261">
              <w:t xml:space="preserve"> </w:t>
            </w:r>
            <w:r w:rsidRPr="005F3261">
              <w:t>(0.130)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0.0652</w:t>
            </w:r>
            <w:r w:rsidRPr="005F3261">
              <w:t xml:space="preserve"> </w:t>
            </w:r>
            <w:r w:rsidRPr="005F3261">
              <w:t>(0.115)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ninworkforce</w:t>
            </w:r>
            <w:proofErr w:type="spellEnd"/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0.0677</w:t>
            </w:r>
            <w:r w:rsidRPr="005F3261">
              <w:t xml:space="preserve"> </w:t>
            </w:r>
            <w:r w:rsidRPr="005F3261">
              <w:t>(0.115)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-0.0161</w:t>
            </w:r>
            <w:r w:rsidRPr="005F3261">
              <w:t xml:space="preserve"> </w:t>
            </w:r>
            <w:r w:rsidRPr="005F3261">
              <w:t>(0.0970)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-0.0329</w:t>
            </w:r>
            <w:r w:rsidRPr="005F3261">
              <w:t xml:space="preserve"> </w:t>
            </w:r>
            <w:r w:rsidRPr="005F3261">
              <w:t>(0.101)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-0.0130</w:t>
            </w:r>
            <w:r w:rsidRPr="005F3261">
              <w:t xml:space="preserve"> </w:t>
            </w:r>
            <w:r w:rsidRPr="005F3261">
              <w:t>(0.0970)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demos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-0.0458</w:t>
            </w:r>
            <w:r w:rsidRPr="005F3261">
              <w:t xml:space="preserve"> </w:t>
            </w:r>
            <w:r w:rsidRPr="005F3261">
              <w:t>(0.270)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-0.231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(0.0682)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-0.222</w:t>
            </w:r>
            <w:r w:rsidRPr="005F3261">
              <w:rPr>
                <w:vertAlign w:val="superscript"/>
              </w:rPr>
              <w:t>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(0.127)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-0.222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(0.0674)</w:t>
            </w:r>
          </w:p>
        </w:tc>
      </w:tr>
      <w:tr w:rsidR="00311F04" w:rsidTr="00766E56">
        <w:tc>
          <w:tcPr>
            <w:tcW w:w="2005" w:type="dxa"/>
            <w:vAlign w:val="center"/>
          </w:tcPr>
          <w:p w:rsidR="00311F04" w:rsidRPr="000B2995" w:rsidRDefault="00311F04" w:rsidP="00C84A7C">
            <w:pPr>
              <w:rPr>
                <w:i/>
              </w:rPr>
            </w:pPr>
            <w:r w:rsidRPr="000B2995">
              <w:rPr>
                <w:i/>
              </w:rPr>
              <w:t>setratio0</w:t>
            </w:r>
          </w:p>
        </w:tc>
        <w:tc>
          <w:tcPr>
            <w:tcW w:w="1892" w:type="dxa"/>
            <w:vAlign w:val="bottom"/>
          </w:tcPr>
          <w:p w:rsidR="00311F04" w:rsidRPr="005F3261" w:rsidRDefault="00311F04" w:rsidP="004D5047">
            <w:r w:rsidRPr="005F3261">
              <w:t>0.455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(0.0996)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0.285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(0.0467)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5615C4">
            <w:r w:rsidRPr="005F3261">
              <w:t>0.328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(0.0544)</w:t>
            </w:r>
          </w:p>
        </w:tc>
        <w:tc>
          <w:tcPr>
            <w:tcW w:w="1893" w:type="dxa"/>
            <w:vAlign w:val="bottom"/>
          </w:tcPr>
          <w:p w:rsidR="00311F04" w:rsidRPr="005F3261" w:rsidRDefault="00311F04" w:rsidP="00311F04">
            <w:r w:rsidRPr="005F3261">
              <w:t>0.276</w:t>
            </w:r>
            <w:r w:rsidRPr="005F3261">
              <w:rPr>
                <w:vertAlign w:val="superscript"/>
              </w:rPr>
              <w:t>***</w:t>
            </w:r>
            <w:r w:rsidRPr="005F3261">
              <w:rPr>
                <w:vertAlign w:val="superscript"/>
              </w:rPr>
              <w:t xml:space="preserve"> </w:t>
            </w:r>
            <w:r w:rsidRPr="005F3261">
              <w:t>(0.0463)</w:t>
            </w:r>
          </w:p>
        </w:tc>
      </w:tr>
      <w:tr w:rsidR="00311F04" w:rsidTr="00553328">
        <w:tc>
          <w:tcPr>
            <w:tcW w:w="2005" w:type="dxa"/>
          </w:tcPr>
          <w:p w:rsidR="00311F04" w:rsidRDefault="00311F04">
            <w:r>
              <w:t>Observations</w:t>
            </w:r>
          </w:p>
        </w:tc>
        <w:tc>
          <w:tcPr>
            <w:tcW w:w="1892" w:type="dxa"/>
            <w:vAlign w:val="center"/>
          </w:tcPr>
          <w:p w:rsidR="00311F04" w:rsidRPr="00FE1305" w:rsidRDefault="00311F04" w:rsidP="00244FA4">
            <w:r w:rsidRPr="00FE1305">
              <w:t>2296</w:t>
            </w:r>
          </w:p>
        </w:tc>
        <w:tc>
          <w:tcPr>
            <w:tcW w:w="1893" w:type="dxa"/>
            <w:vAlign w:val="center"/>
          </w:tcPr>
          <w:p w:rsidR="00311F04" w:rsidRPr="00FE1305" w:rsidRDefault="00311F04" w:rsidP="00244FA4">
            <w:r w:rsidRPr="00FE1305">
              <w:t>1560</w:t>
            </w:r>
          </w:p>
        </w:tc>
        <w:tc>
          <w:tcPr>
            <w:tcW w:w="1893" w:type="dxa"/>
            <w:vAlign w:val="center"/>
          </w:tcPr>
          <w:p w:rsidR="00311F04" w:rsidRPr="00FE1305" w:rsidRDefault="00311F04" w:rsidP="00244FA4">
            <w:r w:rsidRPr="00FE1305">
              <w:t>1641</w:t>
            </w:r>
          </w:p>
        </w:tc>
        <w:tc>
          <w:tcPr>
            <w:tcW w:w="1893" w:type="dxa"/>
            <w:vAlign w:val="center"/>
          </w:tcPr>
          <w:p w:rsidR="00311F04" w:rsidRDefault="00311F04" w:rsidP="00244FA4">
            <w:r w:rsidRPr="00FE1305">
              <w:t>1521</w:t>
            </w:r>
          </w:p>
        </w:tc>
      </w:tr>
    </w:tbl>
    <w:p w:rsidR="00553328" w:rsidRDefault="00553328">
      <w:pPr>
        <w:rPr>
          <w:i/>
          <w:sz w:val="20"/>
          <w:szCs w:val="20"/>
        </w:rPr>
      </w:pPr>
    </w:p>
    <w:p w:rsidR="00560226" w:rsidRDefault="00560226">
      <w:pPr>
        <w:rPr>
          <w:i/>
          <w:sz w:val="20"/>
          <w:szCs w:val="20"/>
        </w:rPr>
      </w:pPr>
      <w:r w:rsidRPr="00DD0316">
        <w:rPr>
          <w:i/>
          <w:sz w:val="20"/>
          <w:szCs w:val="20"/>
        </w:rPr>
        <w:t>Note</w:t>
      </w:r>
      <w:r w:rsidRPr="00DD0316">
        <w:rPr>
          <w:sz w:val="20"/>
          <w:szCs w:val="20"/>
        </w:rPr>
        <w:t>: Standard errors in parenthesis (</w:t>
      </w:r>
      <w:r w:rsidRPr="00E26D69">
        <w:rPr>
          <w:sz w:val="20"/>
          <w:szCs w:val="20"/>
        </w:rPr>
        <w:t>***</w:t>
      </w:r>
      <w:r w:rsidRPr="00DD0316">
        <w:rPr>
          <w:sz w:val="20"/>
          <w:szCs w:val="20"/>
        </w:rPr>
        <w:t xml:space="preserve"> significant at 1%; </w:t>
      </w:r>
      <w:r w:rsidRPr="00E26D69">
        <w:rPr>
          <w:sz w:val="20"/>
          <w:szCs w:val="20"/>
        </w:rPr>
        <w:t>**</w:t>
      </w:r>
      <w:r w:rsidRPr="00DD0316">
        <w:rPr>
          <w:sz w:val="20"/>
          <w:szCs w:val="20"/>
        </w:rPr>
        <w:t xml:space="preserve"> significant at 5%; </w:t>
      </w:r>
      <w:r w:rsidRPr="00E26D69">
        <w:rPr>
          <w:sz w:val="20"/>
          <w:szCs w:val="20"/>
        </w:rPr>
        <w:t>*</w:t>
      </w:r>
      <w:r w:rsidRPr="00DD0316">
        <w:rPr>
          <w:sz w:val="20"/>
          <w:szCs w:val="20"/>
        </w:rPr>
        <w:t xml:space="preserve"> significant at 10%).</w:t>
      </w:r>
      <w:r>
        <w:rPr>
          <w:sz w:val="20"/>
          <w:szCs w:val="20"/>
        </w:rPr>
        <w:t xml:space="preserve">  The variable </w:t>
      </w:r>
      <w:proofErr w:type="spellStart"/>
      <w:r w:rsidRPr="009E215B">
        <w:rPr>
          <w:i/>
          <w:sz w:val="20"/>
          <w:szCs w:val="20"/>
        </w:rPr>
        <w:t>infectriskratio</w:t>
      </w:r>
      <w:proofErr w:type="spellEnd"/>
      <w:r>
        <w:rPr>
          <w:sz w:val="20"/>
          <w:szCs w:val="20"/>
        </w:rPr>
        <w:t xml:space="preserve"> is set equal to 0 if the player had not yet chosen the risky action.</w:t>
      </w:r>
      <w:bookmarkStart w:id="0" w:name="_GoBack"/>
      <w:bookmarkEnd w:id="0"/>
    </w:p>
    <w:sectPr w:rsidR="00560226" w:rsidSect="00E5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15"/>
    <w:rsid w:val="000B2995"/>
    <w:rsid w:val="00101AD1"/>
    <w:rsid w:val="00102860"/>
    <w:rsid w:val="00105806"/>
    <w:rsid w:val="00107620"/>
    <w:rsid w:val="001116B0"/>
    <w:rsid w:val="00112186"/>
    <w:rsid w:val="001A6E5D"/>
    <w:rsid w:val="00244FA4"/>
    <w:rsid w:val="00287A15"/>
    <w:rsid w:val="00311F04"/>
    <w:rsid w:val="00395711"/>
    <w:rsid w:val="003A1B1F"/>
    <w:rsid w:val="003A2CE3"/>
    <w:rsid w:val="003A2FBD"/>
    <w:rsid w:val="004162D2"/>
    <w:rsid w:val="00472802"/>
    <w:rsid w:val="004C0EBA"/>
    <w:rsid w:val="004D5047"/>
    <w:rsid w:val="00510AD3"/>
    <w:rsid w:val="0053107F"/>
    <w:rsid w:val="00553328"/>
    <w:rsid w:val="00560226"/>
    <w:rsid w:val="005615C4"/>
    <w:rsid w:val="005E1DEB"/>
    <w:rsid w:val="005F3261"/>
    <w:rsid w:val="005F5280"/>
    <w:rsid w:val="006618AA"/>
    <w:rsid w:val="00671DB2"/>
    <w:rsid w:val="006B2105"/>
    <w:rsid w:val="00710BF7"/>
    <w:rsid w:val="00782177"/>
    <w:rsid w:val="007C710E"/>
    <w:rsid w:val="00866AD3"/>
    <w:rsid w:val="0090794F"/>
    <w:rsid w:val="00913640"/>
    <w:rsid w:val="00926499"/>
    <w:rsid w:val="00954571"/>
    <w:rsid w:val="00963476"/>
    <w:rsid w:val="00986074"/>
    <w:rsid w:val="00991347"/>
    <w:rsid w:val="009B2461"/>
    <w:rsid w:val="009C158F"/>
    <w:rsid w:val="00A6278B"/>
    <w:rsid w:val="00A82645"/>
    <w:rsid w:val="00AF56C3"/>
    <w:rsid w:val="00B67CC3"/>
    <w:rsid w:val="00B74DE6"/>
    <w:rsid w:val="00C042DC"/>
    <w:rsid w:val="00C61F8E"/>
    <w:rsid w:val="00C815DB"/>
    <w:rsid w:val="00C82715"/>
    <w:rsid w:val="00C96401"/>
    <w:rsid w:val="00D00CBA"/>
    <w:rsid w:val="00D8691E"/>
    <w:rsid w:val="00DB1FCE"/>
    <w:rsid w:val="00DD0DBE"/>
    <w:rsid w:val="00E27813"/>
    <w:rsid w:val="00E53175"/>
    <w:rsid w:val="00E95FA2"/>
    <w:rsid w:val="00EC28DA"/>
    <w:rsid w:val="00F41365"/>
    <w:rsid w:val="00FA33E6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332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332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7</cp:revision>
  <dcterms:created xsi:type="dcterms:W3CDTF">2012-11-28T17:50:00Z</dcterms:created>
  <dcterms:modified xsi:type="dcterms:W3CDTF">2012-11-28T18:00:00Z</dcterms:modified>
</cp:coreProperties>
</file>