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91" w:rsidRPr="004B6889" w:rsidRDefault="00BF5391" w:rsidP="00BF5391">
      <w:pPr>
        <w:ind w:left="-567" w:right="2434" w:hanging="284"/>
        <w:rPr>
          <w:b/>
          <w:bCs/>
        </w:rPr>
      </w:pPr>
      <w:r>
        <w:rPr>
          <w:b/>
          <w:bCs/>
        </w:rPr>
        <w:t>SUPPORTING INFORMATION 8.</w:t>
      </w:r>
      <w:r w:rsidRPr="004B6889">
        <w:rPr>
          <w:b/>
          <w:bCs/>
        </w:rPr>
        <w:t xml:space="preserve"> Assessment of Risk of Bias in Randomized Controlled Trials in Key Question #2 (Treatment)</w:t>
      </w:r>
    </w:p>
    <w:p w:rsidR="00BF5391" w:rsidRDefault="00BF5391" w:rsidP="00BF5391">
      <w:pPr>
        <w:ind w:right="3154"/>
        <w:rPr>
          <w:b/>
          <w:bCs/>
        </w:rPr>
      </w:pPr>
    </w:p>
    <w:p w:rsidR="00BF5391" w:rsidRPr="004B6889" w:rsidRDefault="00BF5391" w:rsidP="00BF5391">
      <w:pPr>
        <w:ind w:right="3154"/>
        <w:rPr>
          <w:b/>
          <w:bCs/>
        </w:rPr>
      </w:pPr>
    </w:p>
    <w:tbl>
      <w:tblPr>
        <w:tblW w:w="13451" w:type="dxa"/>
        <w:tblInd w:w="-835" w:type="dxa"/>
        <w:tblBorders>
          <w:top w:val="single" w:sz="18" w:space="0" w:color="000000"/>
          <w:bottom w:val="single" w:sz="18" w:space="0" w:color="auto"/>
        </w:tblBorders>
        <w:tblLayout w:type="fixed"/>
        <w:tblCellMar>
          <w:left w:w="16" w:type="dxa"/>
          <w:right w:w="16" w:type="dxa"/>
        </w:tblCellMar>
        <w:tblLook w:val="0000" w:firstRow="0" w:lastRow="0" w:firstColumn="0" w:lastColumn="0" w:noHBand="0" w:noVBand="0"/>
      </w:tblPr>
      <w:tblGrid>
        <w:gridCol w:w="1418"/>
        <w:gridCol w:w="963"/>
        <w:gridCol w:w="1080"/>
        <w:gridCol w:w="1170"/>
        <w:gridCol w:w="1980"/>
        <w:gridCol w:w="1710"/>
        <w:gridCol w:w="1080"/>
        <w:gridCol w:w="1260"/>
        <w:gridCol w:w="1530"/>
        <w:gridCol w:w="1260"/>
      </w:tblGrid>
      <w:tr w:rsidR="00BF5391" w:rsidRPr="004B6889" w:rsidTr="006D02AC">
        <w:tblPrEx>
          <w:tblCellMar>
            <w:top w:w="0" w:type="dxa"/>
            <w:bottom w:w="0" w:type="dxa"/>
          </w:tblCellMar>
        </w:tblPrEx>
        <w:tc>
          <w:tcPr>
            <w:tcW w:w="1418" w:type="dxa"/>
            <w:tcBorders>
              <w:top w:val="nil"/>
              <w:bottom w:val="single" w:sz="18" w:space="0" w:color="000000"/>
            </w:tcBorders>
            <w:vAlign w:val="bottom"/>
          </w:tcPr>
          <w:p w:rsidR="00BF5391" w:rsidRPr="004B6889"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rPr>
                <w:b/>
                <w:sz w:val="18"/>
              </w:rPr>
            </w:pPr>
          </w:p>
        </w:tc>
        <w:tc>
          <w:tcPr>
            <w:tcW w:w="12033" w:type="dxa"/>
            <w:gridSpan w:val="9"/>
            <w:tcBorders>
              <w:top w:val="nil"/>
              <w:bottom w:val="single" w:sz="18" w:space="0" w:color="000000"/>
            </w:tcBorders>
          </w:tcPr>
          <w:p w:rsidR="00BF5391" w:rsidRPr="004B6889"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jc w:val="center"/>
              <w:rPr>
                <w:b/>
                <w:sz w:val="18"/>
              </w:rPr>
            </w:pPr>
            <w:r w:rsidRPr="004B6889">
              <w:rPr>
                <w:b/>
                <w:sz w:val="18"/>
              </w:rPr>
              <w:t xml:space="preserve">Cochrane Risk of Bias Tool </w:t>
            </w:r>
            <w:r>
              <w:rPr>
                <w:b/>
                <w:sz w:val="18"/>
              </w:rPr>
              <w:t>Domains</w:t>
            </w:r>
            <w:r>
              <w:rPr>
                <w:rFonts w:eastAsia="SimSun"/>
                <w:b/>
                <w:bCs/>
                <w:sz w:val="18"/>
                <w:lang w:eastAsia="zh-CN"/>
              </w:rPr>
              <w:t>*</w:t>
            </w:r>
          </w:p>
          <w:p w:rsidR="00BF5391" w:rsidRPr="004B6889"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jc w:val="center"/>
              <w:rPr>
                <w:b/>
                <w:sz w:val="18"/>
              </w:rPr>
            </w:pPr>
          </w:p>
        </w:tc>
      </w:tr>
      <w:tr w:rsidR="00BF5391" w:rsidRPr="004B6889" w:rsidTr="006D02AC">
        <w:tblPrEx>
          <w:tblCellMar>
            <w:top w:w="0" w:type="dxa"/>
            <w:bottom w:w="0" w:type="dxa"/>
          </w:tblCellMar>
        </w:tblPrEx>
        <w:tc>
          <w:tcPr>
            <w:tcW w:w="1418" w:type="dxa"/>
            <w:tcBorders>
              <w:top w:val="single" w:sz="18" w:space="0" w:color="000000"/>
              <w:bottom w:val="single" w:sz="18" w:space="0" w:color="000000"/>
            </w:tcBorders>
            <w:vAlign w:val="bottom"/>
          </w:tcPr>
          <w:p w:rsidR="00BF5391" w:rsidRPr="004B6889"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rPr>
                <w:b/>
                <w:sz w:val="18"/>
              </w:rPr>
            </w:pPr>
            <w:r>
              <w:rPr>
                <w:b/>
                <w:sz w:val="18"/>
              </w:rPr>
              <w:t>Trial</w:t>
            </w:r>
            <w:r w:rsidRPr="004B6889">
              <w:rPr>
                <w:b/>
                <w:sz w:val="18"/>
              </w:rPr>
              <w:t>,</w:t>
            </w:r>
          </w:p>
          <w:p w:rsidR="00BF5391" w:rsidRPr="004B6889"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rPr>
                <w:b/>
                <w:sz w:val="18"/>
              </w:rPr>
            </w:pPr>
            <w:r w:rsidRPr="004B6889">
              <w:rPr>
                <w:b/>
                <w:sz w:val="18"/>
              </w:rPr>
              <w:t>Year,</w:t>
            </w:r>
          </w:p>
          <w:p w:rsidR="00BF5391" w:rsidRPr="004B6889"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rPr>
                <w:b/>
                <w:sz w:val="18"/>
              </w:rPr>
            </w:pPr>
            <w:r w:rsidRPr="004B6889">
              <w:rPr>
                <w:b/>
                <w:sz w:val="18"/>
              </w:rPr>
              <w:t>Country</w:t>
            </w:r>
          </w:p>
        </w:tc>
        <w:tc>
          <w:tcPr>
            <w:tcW w:w="963" w:type="dxa"/>
            <w:tcBorders>
              <w:top w:val="single" w:sz="18" w:space="0" w:color="000000"/>
              <w:bottom w:val="single" w:sz="18" w:space="0" w:color="000000"/>
            </w:tcBorders>
            <w:vAlign w:val="bottom"/>
          </w:tcPr>
          <w:p w:rsidR="00BF5391" w:rsidRPr="004B6889"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jc w:val="center"/>
              <w:rPr>
                <w:b/>
                <w:sz w:val="18"/>
              </w:rPr>
            </w:pPr>
            <w:r>
              <w:rPr>
                <w:b/>
                <w:sz w:val="18"/>
              </w:rPr>
              <w:t>Random</w:t>
            </w:r>
          </w:p>
          <w:p w:rsidR="00BF5391" w:rsidRPr="004B6889"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jc w:val="center"/>
              <w:rPr>
                <w:b/>
                <w:sz w:val="18"/>
              </w:rPr>
            </w:pPr>
            <w:r w:rsidRPr="004B6889">
              <w:rPr>
                <w:b/>
                <w:sz w:val="18"/>
              </w:rPr>
              <w:t>Sequence Generation</w:t>
            </w:r>
          </w:p>
        </w:tc>
        <w:tc>
          <w:tcPr>
            <w:tcW w:w="1080" w:type="dxa"/>
            <w:tcBorders>
              <w:top w:val="single" w:sz="18" w:space="0" w:color="000000"/>
              <w:bottom w:val="single" w:sz="18" w:space="0" w:color="000000"/>
            </w:tcBorders>
            <w:vAlign w:val="bottom"/>
          </w:tcPr>
          <w:p w:rsidR="00BF5391" w:rsidRPr="004B6889"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jc w:val="center"/>
              <w:rPr>
                <w:b/>
                <w:sz w:val="18"/>
              </w:rPr>
            </w:pPr>
          </w:p>
          <w:p w:rsidR="00BF5391" w:rsidRPr="004B6889"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jc w:val="center"/>
              <w:rPr>
                <w:b/>
                <w:sz w:val="18"/>
              </w:rPr>
            </w:pPr>
            <w:r w:rsidRPr="004B6889">
              <w:rPr>
                <w:b/>
                <w:sz w:val="18"/>
              </w:rPr>
              <w:t>Allocation Concealment</w:t>
            </w:r>
          </w:p>
        </w:tc>
        <w:tc>
          <w:tcPr>
            <w:tcW w:w="1170" w:type="dxa"/>
            <w:tcBorders>
              <w:top w:val="single" w:sz="18" w:space="0" w:color="000000"/>
              <w:bottom w:val="single" w:sz="18" w:space="0" w:color="000000"/>
            </w:tcBorders>
            <w:vAlign w:val="bottom"/>
          </w:tcPr>
          <w:p w:rsidR="00BF5391" w:rsidRPr="004B6889"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jc w:val="center"/>
              <w:rPr>
                <w:b/>
                <w:sz w:val="18"/>
              </w:rPr>
            </w:pPr>
          </w:p>
          <w:p w:rsidR="00BF5391" w:rsidRPr="004B6889"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jc w:val="center"/>
              <w:rPr>
                <w:b/>
                <w:sz w:val="18"/>
              </w:rPr>
            </w:pPr>
            <w:r w:rsidRPr="004B6889">
              <w:rPr>
                <w:b/>
                <w:sz w:val="18"/>
              </w:rPr>
              <w:t>Blinding</w:t>
            </w:r>
            <w:r>
              <w:rPr>
                <w:b/>
                <w:sz w:val="18"/>
              </w:rPr>
              <w:t xml:space="preserve"> of Participants and Personnel</w:t>
            </w:r>
          </w:p>
        </w:tc>
        <w:tc>
          <w:tcPr>
            <w:tcW w:w="1980" w:type="dxa"/>
            <w:tcBorders>
              <w:top w:val="single" w:sz="18" w:space="0" w:color="000000"/>
              <w:bottom w:val="single" w:sz="18" w:space="0" w:color="000000"/>
            </w:tcBorders>
            <w:vAlign w:val="bottom"/>
          </w:tcPr>
          <w:p w:rsidR="00BF5391" w:rsidRPr="000B06CC"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vertAlign w:val="superscript"/>
              </w:rPr>
            </w:pPr>
            <w:r>
              <w:rPr>
                <w:b/>
                <w:sz w:val="18"/>
              </w:rPr>
              <w:t>Blinding of Outcome Assessment</w:t>
            </w:r>
            <w:r w:rsidRPr="00DC4C77">
              <w:rPr>
                <w:b/>
                <w:sz w:val="18"/>
              </w:rPr>
              <w:t>†</w:t>
            </w:r>
          </w:p>
        </w:tc>
        <w:tc>
          <w:tcPr>
            <w:tcW w:w="1710" w:type="dxa"/>
            <w:tcBorders>
              <w:top w:val="single" w:sz="18" w:space="0" w:color="000000"/>
              <w:bottom w:val="single" w:sz="18" w:space="0" w:color="000000"/>
              <w:right w:val="nil"/>
            </w:tcBorders>
            <w:vAlign w:val="bottom"/>
          </w:tcPr>
          <w:p w:rsidR="00BF5391" w:rsidRPr="004B6889"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rPr>
            </w:pPr>
          </w:p>
          <w:p w:rsidR="00BF5391" w:rsidRPr="000B06CC"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vertAlign w:val="superscript"/>
              </w:rPr>
            </w:pPr>
            <w:r w:rsidRPr="004B6889">
              <w:rPr>
                <w:b/>
                <w:sz w:val="18"/>
              </w:rPr>
              <w:t>Incomplete Outcome Data</w:t>
            </w:r>
            <w:r w:rsidRPr="00DC4C77">
              <w:rPr>
                <w:b/>
                <w:sz w:val="18"/>
              </w:rPr>
              <w:t>†</w:t>
            </w:r>
          </w:p>
        </w:tc>
        <w:tc>
          <w:tcPr>
            <w:tcW w:w="1080" w:type="dxa"/>
            <w:tcBorders>
              <w:top w:val="single" w:sz="18" w:space="0" w:color="000000"/>
              <w:left w:val="nil"/>
              <w:bottom w:val="single" w:sz="18" w:space="0" w:color="000000"/>
            </w:tcBorders>
            <w:vAlign w:val="bottom"/>
          </w:tcPr>
          <w:p w:rsidR="00BF5391" w:rsidRPr="004B6889"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jc w:val="center"/>
              <w:rPr>
                <w:b/>
                <w:sz w:val="18"/>
              </w:rPr>
            </w:pPr>
          </w:p>
          <w:p w:rsidR="00BF5391" w:rsidRPr="004B6889"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jc w:val="center"/>
              <w:rPr>
                <w:b/>
                <w:sz w:val="18"/>
              </w:rPr>
            </w:pPr>
            <w:r w:rsidRPr="004B6889">
              <w:rPr>
                <w:b/>
                <w:sz w:val="18"/>
              </w:rPr>
              <w:t>Selective Outcome Reporting</w:t>
            </w:r>
          </w:p>
        </w:tc>
        <w:tc>
          <w:tcPr>
            <w:tcW w:w="1260" w:type="dxa"/>
            <w:tcBorders>
              <w:top w:val="single" w:sz="18" w:space="0" w:color="000000"/>
              <w:bottom w:val="single" w:sz="18" w:space="0" w:color="000000"/>
            </w:tcBorders>
            <w:vAlign w:val="bottom"/>
          </w:tcPr>
          <w:p w:rsidR="00BF5391" w:rsidRPr="000B06CC"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jc w:val="center"/>
              <w:rPr>
                <w:sz w:val="18"/>
              </w:rPr>
            </w:pPr>
            <w:r>
              <w:rPr>
                <w:b/>
                <w:sz w:val="18"/>
              </w:rPr>
              <w:t>Pharmaceutical Industry Funding‡</w:t>
            </w:r>
          </w:p>
        </w:tc>
        <w:tc>
          <w:tcPr>
            <w:tcW w:w="1530" w:type="dxa"/>
            <w:tcBorders>
              <w:top w:val="single" w:sz="18" w:space="0" w:color="000000"/>
              <w:bottom w:val="single" w:sz="18" w:space="0" w:color="000000"/>
            </w:tcBorders>
            <w:vAlign w:val="bottom"/>
          </w:tcPr>
          <w:p w:rsidR="00BF5391" w:rsidRPr="004B6889"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jc w:val="center"/>
              <w:rPr>
                <w:b/>
                <w:sz w:val="18"/>
              </w:rPr>
            </w:pPr>
          </w:p>
          <w:p w:rsidR="00BF5391" w:rsidRPr="000B06CC"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jc w:val="center"/>
              <w:rPr>
                <w:b/>
                <w:sz w:val="18"/>
              </w:rPr>
            </w:pPr>
            <w:r>
              <w:rPr>
                <w:b/>
                <w:sz w:val="18"/>
              </w:rPr>
              <w:t>Author-Industry Financial Ties and/or Industry Employment</w:t>
            </w:r>
            <w:r w:rsidRPr="00DC4C77">
              <w:rPr>
                <w:b/>
                <w:sz w:val="18"/>
              </w:rPr>
              <w:t>‡</w:t>
            </w:r>
          </w:p>
        </w:tc>
        <w:tc>
          <w:tcPr>
            <w:tcW w:w="1260" w:type="dxa"/>
            <w:tcBorders>
              <w:top w:val="single" w:sz="18" w:space="0" w:color="000000"/>
              <w:bottom w:val="single" w:sz="18" w:space="0" w:color="000000"/>
            </w:tcBorders>
            <w:vAlign w:val="bottom"/>
          </w:tcPr>
          <w:p w:rsidR="00BF5391" w:rsidRPr="004B6889"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jc w:val="center"/>
              <w:rPr>
                <w:b/>
                <w:sz w:val="18"/>
              </w:rPr>
            </w:pPr>
            <w:r w:rsidRPr="004B6889">
              <w:rPr>
                <w:b/>
                <w:sz w:val="18"/>
              </w:rPr>
              <w:t>Other Sources of Bias</w:t>
            </w:r>
          </w:p>
        </w:tc>
      </w:tr>
      <w:tr w:rsidR="00BF5391" w:rsidRPr="004B6889" w:rsidTr="006D02AC">
        <w:tblPrEx>
          <w:tblCellMar>
            <w:top w:w="0" w:type="dxa"/>
            <w:bottom w:w="0" w:type="dxa"/>
          </w:tblCellMar>
        </w:tblPrEx>
        <w:trPr>
          <w:trHeight w:val="389"/>
        </w:trPr>
        <w:tc>
          <w:tcPr>
            <w:tcW w:w="1418" w:type="dxa"/>
          </w:tcPr>
          <w:p w:rsidR="00BF5391" w:rsidRPr="00DA4BE3"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olor w:val="000000"/>
                <w:sz w:val="16"/>
                <w:szCs w:val="16"/>
              </w:rPr>
            </w:pPr>
            <w:r w:rsidRPr="00DA4BE3">
              <w:rPr>
                <w:color w:val="000000"/>
                <w:sz w:val="16"/>
                <w:szCs w:val="16"/>
              </w:rPr>
              <w:t>CREATE, 2007, Canada – Citalopram vs. placebo</w:t>
            </w:r>
            <w:r>
              <w:rPr>
                <w:color w:val="000000"/>
                <w:sz w:val="16"/>
                <w:szCs w:val="16"/>
              </w:rPr>
              <w:t xml:space="preserve"> </w:t>
            </w:r>
            <w:r w:rsidRPr="00066A98">
              <w:rPr>
                <w:color w:val="000000"/>
                <w:sz w:val="16"/>
                <w:szCs w:val="16"/>
              </w:rPr>
              <w:t>[</w:t>
            </w:r>
            <w:r>
              <w:rPr>
                <w:color w:val="000000"/>
                <w:sz w:val="16"/>
                <w:szCs w:val="16"/>
              </w:rPr>
              <w:t>30]</w:t>
            </w:r>
          </w:p>
        </w:tc>
        <w:tc>
          <w:tcPr>
            <w:tcW w:w="963" w:type="dxa"/>
            <w:vAlign w:val="center"/>
          </w:tcPr>
          <w:p w:rsidR="00BF5391" w:rsidRPr="004E1532" w:rsidRDefault="00BF5391" w:rsidP="006D02AC">
            <w:pPr>
              <w:jc w:val="center"/>
              <w:rPr>
                <w:sz w:val="16"/>
                <w:szCs w:val="16"/>
              </w:rPr>
            </w:pPr>
            <w:r>
              <w:rPr>
                <w:sz w:val="16"/>
                <w:szCs w:val="16"/>
              </w:rPr>
              <w:t>Low</w:t>
            </w:r>
          </w:p>
        </w:tc>
        <w:tc>
          <w:tcPr>
            <w:tcW w:w="1080" w:type="dxa"/>
            <w:vAlign w:val="center"/>
          </w:tcPr>
          <w:p w:rsidR="00BF5391" w:rsidRPr="004E1532" w:rsidRDefault="00BF5391" w:rsidP="006D02AC">
            <w:pPr>
              <w:jc w:val="center"/>
              <w:rPr>
                <w:sz w:val="16"/>
                <w:szCs w:val="16"/>
              </w:rPr>
            </w:pPr>
            <w:r>
              <w:rPr>
                <w:sz w:val="16"/>
                <w:szCs w:val="16"/>
              </w:rPr>
              <w:t>Low</w:t>
            </w:r>
          </w:p>
        </w:tc>
        <w:tc>
          <w:tcPr>
            <w:tcW w:w="1170" w:type="dxa"/>
            <w:vAlign w:val="center"/>
          </w:tcPr>
          <w:p w:rsidR="00BF5391" w:rsidRPr="004E1532" w:rsidRDefault="00BF5391" w:rsidP="006D02AC">
            <w:pPr>
              <w:jc w:val="center"/>
              <w:rPr>
                <w:sz w:val="16"/>
                <w:szCs w:val="16"/>
              </w:rPr>
            </w:pPr>
            <w:r>
              <w:rPr>
                <w:sz w:val="16"/>
                <w:szCs w:val="16"/>
              </w:rPr>
              <w:t>Low</w:t>
            </w:r>
          </w:p>
        </w:tc>
        <w:tc>
          <w:tcPr>
            <w:tcW w:w="1980" w:type="dxa"/>
            <w:vAlign w:val="center"/>
          </w:tcPr>
          <w:p w:rsidR="00BF5391" w:rsidRPr="004E1532" w:rsidRDefault="00BF5391" w:rsidP="006D02AC">
            <w:pPr>
              <w:rPr>
                <w:sz w:val="16"/>
                <w:szCs w:val="16"/>
              </w:rPr>
            </w:pPr>
            <w:r w:rsidRPr="004E1532">
              <w:rPr>
                <w:sz w:val="16"/>
                <w:szCs w:val="16"/>
              </w:rPr>
              <w:t>Observer-</w:t>
            </w:r>
            <w:r>
              <w:rPr>
                <w:sz w:val="16"/>
                <w:szCs w:val="16"/>
              </w:rPr>
              <w:t>rated: Low</w:t>
            </w:r>
          </w:p>
          <w:p w:rsidR="00BF5391" w:rsidRPr="004E1532" w:rsidRDefault="00BF5391" w:rsidP="006D02AC">
            <w:pPr>
              <w:rPr>
                <w:sz w:val="16"/>
                <w:szCs w:val="16"/>
              </w:rPr>
            </w:pPr>
            <w:r w:rsidRPr="004E1532">
              <w:rPr>
                <w:sz w:val="16"/>
                <w:szCs w:val="16"/>
              </w:rPr>
              <w:t>Self-repo</w:t>
            </w:r>
            <w:r>
              <w:rPr>
                <w:sz w:val="16"/>
                <w:szCs w:val="16"/>
              </w:rPr>
              <w:t>rt: Low</w:t>
            </w:r>
          </w:p>
          <w:p w:rsidR="00BF5391" w:rsidRPr="004E1532" w:rsidRDefault="00BF5391" w:rsidP="006D02AC">
            <w:pPr>
              <w:rPr>
                <w:sz w:val="16"/>
                <w:szCs w:val="16"/>
              </w:rPr>
            </w:pPr>
            <w:r w:rsidRPr="004E1532">
              <w:rPr>
                <w:sz w:val="16"/>
                <w:szCs w:val="16"/>
              </w:rPr>
              <w:t>C</w:t>
            </w:r>
            <w:r>
              <w:rPr>
                <w:sz w:val="16"/>
                <w:szCs w:val="16"/>
              </w:rPr>
              <w:t>HD</w:t>
            </w:r>
            <w:r w:rsidRPr="004E1532">
              <w:rPr>
                <w:sz w:val="16"/>
                <w:szCs w:val="16"/>
              </w:rPr>
              <w:t xml:space="preserve">: </w:t>
            </w:r>
            <w:r>
              <w:rPr>
                <w:sz w:val="16"/>
                <w:szCs w:val="16"/>
              </w:rPr>
              <w:t>Low</w:t>
            </w:r>
          </w:p>
        </w:tc>
        <w:tc>
          <w:tcPr>
            <w:tcW w:w="1710" w:type="dxa"/>
            <w:tcBorders>
              <w:right w:val="nil"/>
            </w:tcBorders>
            <w:vAlign w:val="center"/>
          </w:tcPr>
          <w:p w:rsidR="00BF5391" w:rsidRPr="004E1532" w:rsidRDefault="00BF5391" w:rsidP="006D02AC">
            <w:pPr>
              <w:rPr>
                <w:sz w:val="16"/>
                <w:szCs w:val="16"/>
              </w:rPr>
            </w:pPr>
            <w:r w:rsidRPr="004E1532">
              <w:rPr>
                <w:sz w:val="16"/>
                <w:szCs w:val="16"/>
              </w:rPr>
              <w:t>Observer-</w:t>
            </w:r>
            <w:r>
              <w:rPr>
                <w:sz w:val="16"/>
                <w:szCs w:val="16"/>
              </w:rPr>
              <w:t>rated: Low</w:t>
            </w:r>
          </w:p>
          <w:p w:rsidR="00BF5391" w:rsidRPr="004E1532" w:rsidRDefault="00BF5391" w:rsidP="006D02AC">
            <w:pPr>
              <w:rPr>
                <w:sz w:val="16"/>
                <w:szCs w:val="16"/>
              </w:rPr>
            </w:pPr>
            <w:r w:rsidRPr="004E1532">
              <w:rPr>
                <w:sz w:val="16"/>
                <w:szCs w:val="16"/>
              </w:rPr>
              <w:t>Self-repo</w:t>
            </w:r>
            <w:r>
              <w:rPr>
                <w:sz w:val="16"/>
                <w:szCs w:val="16"/>
              </w:rPr>
              <w:t>rt: Low</w:t>
            </w:r>
          </w:p>
          <w:p w:rsidR="00BF5391" w:rsidRPr="004E1532" w:rsidRDefault="00BF5391" w:rsidP="006D02AC">
            <w:pPr>
              <w:rPr>
                <w:sz w:val="16"/>
                <w:szCs w:val="16"/>
              </w:rPr>
            </w:pPr>
            <w:r w:rsidRPr="004E1532">
              <w:rPr>
                <w:sz w:val="16"/>
                <w:szCs w:val="16"/>
              </w:rPr>
              <w:t>C</w:t>
            </w:r>
            <w:r>
              <w:rPr>
                <w:sz w:val="16"/>
                <w:szCs w:val="16"/>
              </w:rPr>
              <w:t>HD</w:t>
            </w:r>
            <w:r w:rsidRPr="004E1532">
              <w:rPr>
                <w:sz w:val="16"/>
                <w:szCs w:val="16"/>
              </w:rPr>
              <w:t xml:space="preserve">: </w:t>
            </w:r>
            <w:r>
              <w:rPr>
                <w:sz w:val="16"/>
                <w:szCs w:val="16"/>
              </w:rPr>
              <w:t>Low</w:t>
            </w:r>
          </w:p>
        </w:tc>
        <w:tc>
          <w:tcPr>
            <w:tcW w:w="1080" w:type="dxa"/>
            <w:tcBorders>
              <w:left w:val="nil"/>
            </w:tcBorders>
            <w:vAlign w:val="center"/>
          </w:tcPr>
          <w:p w:rsidR="00BF5391" w:rsidRPr="004E1532" w:rsidRDefault="00BF5391" w:rsidP="006D02AC">
            <w:pPr>
              <w:jc w:val="center"/>
              <w:rPr>
                <w:sz w:val="16"/>
                <w:szCs w:val="16"/>
              </w:rPr>
            </w:pPr>
            <w:r>
              <w:rPr>
                <w:sz w:val="16"/>
                <w:szCs w:val="16"/>
              </w:rPr>
              <w:t>Low</w:t>
            </w:r>
          </w:p>
        </w:tc>
        <w:tc>
          <w:tcPr>
            <w:tcW w:w="1260" w:type="dxa"/>
            <w:vAlign w:val="center"/>
          </w:tcPr>
          <w:p w:rsidR="00BF5391" w:rsidRPr="004E1532" w:rsidRDefault="00BF5391" w:rsidP="006D02AC">
            <w:pPr>
              <w:jc w:val="center"/>
              <w:rPr>
                <w:sz w:val="16"/>
                <w:szCs w:val="16"/>
              </w:rPr>
            </w:pPr>
            <w:r>
              <w:rPr>
                <w:sz w:val="16"/>
                <w:szCs w:val="16"/>
              </w:rPr>
              <w:t>Low</w:t>
            </w:r>
          </w:p>
        </w:tc>
        <w:tc>
          <w:tcPr>
            <w:tcW w:w="1530" w:type="dxa"/>
            <w:vAlign w:val="center"/>
          </w:tcPr>
          <w:p w:rsidR="00BF5391" w:rsidRPr="004E1532" w:rsidRDefault="00BF5391" w:rsidP="006D02AC">
            <w:pPr>
              <w:jc w:val="center"/>
              <w:rPr>
                <w:sz w:val="16"/>
                <w:szCs w:val="16"/>
              </w:rPr>
            </w:pPr>
            <w:r>
              <w:rPr>
                <w:sz w:val="16"/>
                <w:szCs w:val="16"/>
              </w:rPr>
              <w:t>Unclear</w:t>
            </w:r>
          </w:p>
        </w:tc>
        <w:tc>
          <w:tcPr>
            <w:tcW w:w="1260" w:type="dxa"/>
            <w:vAlign w:val="center"/>
          </w:tcPr>
          <w:p w:rsidR="00BF5391" w:rsidRPr="004E1532" w:rsidRDefault="00BF5391" w:rsidP="006D02AC">
            <w:pPr>
              <w:jc w:val="center"/>
              <w:rPr>
                <w:sz w:val="16"/>
                <w:szCs w:val="16"/>
              </w:rPr>
            </w:pPr>
            <w:r>
              <w:rPr>
                <w:sz w:val="16"/>
                <w:szCs w:val="16"/>
              </w:rPr>
              <w:t>Low</w:t>
            </w:r>
          </w:p>
        </w:tc>
      </w:tr>
      <w:tr w:rsidR="00BF5391" w:rsidRPr="004B6889" w:rsidTr="006D02AC">
        <w:tblPrEx>
          <w:tblCellMar>
            <w:top w:w="0" w:type="dxa"/>
            <w:bottom w:w="0" w:type="dxa"/>
          </w:tblCellMar>
        </w:tblPrEx>
        <w:trPr>
          <w:trHeight w:val="389"/>
        </w:trPr>
        <w:tc>
          <w:tcPr>
            <w:tcW w:w="1418" w:type="dxa"/>
          </w:tcPr>
          <w:p w:rsidR="00BF5391" w:rsidRPr="00DA4BE3"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
              <w:rPr>
                <w:color w:val="000000"/>
                <w:sz w:val="16"/>
                <w:szCs w:val="16"/>
              </w:rPr>
            </w:pPr>
            <w:r w:rsidRPr="00DA4BE3">
              <w:rPr>
                <w:color w:val="000000"/>
                <w:sz w:val="16"/>
                <w:szCs w:val="16"/>
              </w:rPr>
              <w:t>CREATE, 2007, Canada – IPT + CM vs. CM</w:t>
            </w:r>
            <w:r>
              <w:rPr>
                <w:color w:val="000000"/>
                <w:sz w:val="16"/>
                <w:szCs w:val="16"/>
              </w:rPr>
              <w:t xml:space="preserve"> </w:t>
            </w:r>
            <w:r w:rsidRPr="00066A98">
              <w:rPr>
                <w:color w:val="000000"/>
                <w:sz w:val="16"/>
                <w:szCs w:val="16"/>
              </w:rPr>
              <w:t>[</w:t>
            </w:r>
            <w:r>
              <w:rPr>
                <w:color w:val="000000"/>
                <w:sz w:val="16"/>
                <w:szCs w:val="16"/>
              </w:rPr>
              <w:t>30]</w:t>
            </w:r>
          </w:p>
        </w:tc>
        <w:tc>
          <w:tcPr>
            <w:tcW w:w="963" w:type="dxa"/>
            <w:vAlign w:val="center"/>
          </w:tcPr>
          <w:p w:rsidR="00BF5391" w:rsidRPr="004E1532" w:rsidRDefault="00BF5391" w:rsidP="006D02AC">
            <w:pPr>
              <w:jc w:val="center"/>
              <w:rPr>
                <w:sz w:val="16"/>
                <w:szCs w:val="16"/>
              </w:rPr>
            </w:pPr>
            <w:r>
              <w:rPr>
                <w:sz w:val="16"/>
                <w:szCs w:val="16"/>
              </w:rPr>
              <w:t>Low</w:t>
            </w:r>
          </w:p>
        </w:tc>
        <w:tc>
          <w:tcPr>
            <w:tcW w:w="1080" w:type="dxa"/>
            <w:vAlign w:val="center"/>
          </w:tcPr>
          <w:p w:rsidR="00BF5391" w:rsidRPr="004E1532" w:rsidRDefault="00BF5391" w:rsidP="006D02AC">
            <w:pPr>
              <w:jc w:val="center"/>
              <w:rPr>
                <w:sz w:val="16"/>
                <w:szCs w:val="16"/>
              </w:rPr>
            </w:pPr>
            <w:r>
              <w:rPr>
                <w:sz w:val="16"/>
                <w:szCs w:val="16"/>
              </w:rPr>
              <w:t>Low</w:t>
            </w:r>
          </w:p>
        </w:tc>
        <w:tc>
          <w:tcPr>
            <w:tcW w:w="1170" w:type="dxa"/>
            <w:vAlign w:val="center"/>
          </w:tcPr>
          <w:p w:rsidR="00BF5391" w:rsidRPr="004E1532" w:rsidRDefault="00BF5391" w:rsidP="006D02AC">
            <w:pPr>
              <w:jc w:val="center"/>
              <w:rPr>
                <w:sz w:val="16"/>
                <w:szCs w:val="16"/>
              </w:rPr>
            </w:pPr>
            <w:r>
              <w:rPr>
                <w:sz w:val="16"/>
                <w:szCs w:val="16"/>
              </w:rPr>
              <w:t>High</w:t>
            </w:r>
          </w:p>
        </w:tc>
        <w:tc>
          <w:tcPr>
            <w:tcW w:w="1980" w:type="dxa"/>
            <w:vAlign w:val="center"/>
          </w:tcPr>
          <w:p w:rsidR="00BF5391" w:rsidRPr="004E1532" w:rsidRDefault="00BF5391" w:rsidP="006D02AC">
            <w:pPr>
              <w:rPr>
                <w:sz w:val="16"/>
                <w:szCs w:val="16"/>
              </w:rPr>
            </w:pPr>
            <w:r w:rsidRPr="004E1532">
              <w:rPr>
                <w:sz w:val="16"/>
                <w:szCs w:val="16"/>
              </w:rPr>
              <w:t>Observer-</w:t>
            </w:r>
            <w:r>
              <w:rPr>
                <w:sz w:val="16"/>
                <w:szCs w:val="16"/>
              </w:rPr>
              <w:t>rated: Low</w:t>
            </w:r>
          </w:p>
          <w:p w:rsidR="00BF5391" w:rsidRPr="004E1532" w:rsidRDefault="00BF5391" w:rsidP="006D02AC">
            <w:pPr>
              <w:rPr>
                <w:sz w:val="16"/>
                <w:szCs w:val="16"/>
              </w:rPr>
            </w:pPr>
            <w:r w:rsidRPr="004E1532">
              <w:rPr>
                <w:sz w:val="16"/>
                <w:szCs w:val="16"/>
              </w:rPr>
              <w:t>Self-repo</w:t>
            </w:r>
            <w:r>
              <w:rPr>
                <w:sz w:val="16"/>
                <w:szCs w:val="16"/>
              </w:rPr>
              <w:t>rt: High</w:t>
            </w:r>
          </w:p>
          <w:p w:rsidR="00BF5391" w:rsidRPr="004E1532" w:rsidRDefault="00BF5391" w:rsidP="006D02AC">
            <w:pPr>
              <w:rPr>
                <w:sz w:val="16"/>
                <w:szCs w:val="16"/>
              </w:rPr>
            </w:pPr>
            <w:r>
              <w:rPr>
                <w:sz w:val="16"/>
                <w:szCs w:val="16"/>
              </w:rPr>
              <w:t>CHD</w:t>
            </w:r>
            <w:r w:rsidRPr="004E1532">
              <w:rPr>
                <w:sz w:val="16"/>
                <w:szCs w:val="16"/>
              </w:rPr>
              <w:t xml:space="preserve">: </w:t>
            </w:r>
            <w:r>
              <w:rPr>
                <w:sz w:val="16"/>
                <w:szCs w:val="16"/>
              </w:rPr>
              <w:t>Low</w:t>
            </w:r>
          </w:p>
        </w:tc>
        <w:tc>
          <w:tcPr>
            <w:tcW w:w="1710" w:type="dxa"/>
            <w:tcBorders>
              <w:right w:val="nil"/>
            </w:tcBorders>
            <w:vAlign w:val="center"/>
          </w:tcPr>
          <w:p w:rsidR="00BF5391" w:rsidRPr="004E1532" w:rsidRDefault="00BF5391" w:rsidP="006D02AC">
            <w:pPr>
              <w:rPr>
                <w:sz w:val="16"/>
                <w:szCs w:val="16"/>
              </w:rPr>
            </w:pPr>
            <w:r w:rsidRPr="004E1532">
              <w:rPr>
                <w:sz w:val="16"/>
                <w:szCs w:val="16"/>
              </w:rPr>
              <w:t>Observer-</w:t>
            </w:r>
            <w:r>
              <w:rPr>
                <w:sz w:val="16"/>
                <w:szCs w:val="16"/>
              </w:rPr>
              <w:t>rated: Low</w:t>
            </w:r>
          </w:p>
          <w:p w:rsidR="00BF5391" w:rsidRPr="004E1532" w:rsidRDefault="00BF5391" w:rsidP="006D02AC">
            <w:pPr>
              <w:rPr>
                <w:sz w:val="16"/>
                <w:szCs w:val="16"/>
              </w:rPr>
            </w:pPr>
            <w:r w:rsidRPr="004E1532">
              <w:rPr>
                <w:sz w:val="16"/>
                <w:szCs w:val="16"/>
              </w:rPr>
              <w:t>Self-repo</w:t>
            </w:r>
            <w:r>
              <w:rPr>
                <w:sz w:val="16"/>
                <w:szCs w:val="16"/>
              </w:rPr>
              <w:t>rt: Low</w:t>
            </w:r>
          </w:p>
          <w:p w:rsidR="00BF5391" w:rsidRPr="004E1532" w:rsidRDefault="00BF5391" w:rsidP="006D02AC">
            <w:pPr>
              <w:rPr>
                <w:sz w:val="16"/>
                <w:szCs w:val="16"/>
              </w:rPr>
            </w:pPr>
            <w:r>
              <w:rPr>
                <w:sz w:val="16"/>
                <w:szCs w:val="16"/>
              </w:rPr>
              <w:t>CHD</w:t>
            </w:r>
            <w:r w:rsidRPr="004E1532">
              <w:rPr>
                <w:sz w:val="16"/>
                <w:szCs w:val="16"/>
              </w:rPr>
              <w:t xml:space="preserve"> </w:t>
            </w:r>
            <w:r>
              <w:rPr>
                <w:sz w:val="16"/>
                <w:szCs w:val="16"/>
              </w:rPr>
              <w:t>Low</w:t>
            </w:r>
          </w:p>
        </w:tc>
        <w:tc>
          <w:tcPr>
            <w:tcW w:w="1080" w:type="dxa"/>
            <w:tcBorders>
              <w:left w:val="nil"/>
            </w:tcBorders>
            <w:vAlign w:val="center"/>
          </w:tcPr>
          <w:p w:rsidR="00BF5391" w:rsidRPr="004E1532" w:rsidRDefault="00BF5391" w:rsidP="006D02AC">
            <w:pPr>
              <w:jc w:val="center"/>
              <w:rPr>
                <w:sz w:val="16"/>
                <w:szCs w:val="16"/>
              </w:rPr>
            </w:pPr>
            <w:r>
              <w:rPr>
                <w:sz w:val="16"/>
                <w:szCs w:val="16"/>
              </w:rPr>
              <w:t>Low</w:t>
            </w:r>
          </w:p>
        </w:tc>
        <w:tc>
          <w:tcPr>
            <w:tcW w:w="1260" w:type="dxa"/>
            <w:vAlign w:val="center"/>
          </w:tcPr>
          <w:p w:rsidR="00BF5391" w:rsidRPr="004E1532" w:rsidRDefault="00BF5391" w:rsidP="006D02AC">
            <w:pPr>
              <w:jc w:val="center"/>
              <w:rPr>
                <w:sz w:val="16"/>
                <w:szCs w:val="16"/>
              </w:rPr>
            </w:pPr>
            <w:r>
              <w:rPr>
                <w:sz w:val="16"/>
                <w:szCs w:val="16"/>
              </w:rPr>
              <w:t>Low</w:t>
            </w:r>
          </w:p>
        </w:tc>
        <w:tc>
          <w:tcPr>
            <w:tcW w:w="1530" w:type="dxa"/>
            <w:vAlign w:val="center"/>
          </w:tcPr>
          <w:p w:rsidR="00BF5391" w:rsidRPr="004E1532" w:rsidRDefault="00BF5391" w:rsidP="006D02AC">
            <w:pPr>
              <w:jc w:val="center"/>
              <w:rPr>
                <w:sz w:val="16"/>
                <w:szCs w:val="16"/>
              </w:rPr>
            </w:pPr>
            <w:r>
              <w:rPr>
                <w:sz w:val="16"/>
                <w:szCs w:val="16"/>
              </w:rPr>
              <w:t>Low</w:t>
            </w:r>
          </w:p>
        </w:tc>
        <w:tc>
          <w:tcPr>
            <w:tcW w:w="1260" w:type="dxa"/>
            <w:vAlign w:val="center"/>
          </w:tcPr>
          <w:p w:rsidR="00BF5391" w:rsidRPr="004E1532" w:rsidRDefault="00BF5391" w:rsidP="006D02AC">
            <w:pPr>
              <w:jc w:val="center"/>
              <w:rPr>
                <w:sz w:val="16"/>
                <w:szCs w:val="16"/>
              </w:rPr>
            </w:pPr>
            <w:r>
              <w:rPr>
                <w:sz w:val="16"/>
                <w:szCs w:val="16"/>
              </w:rPr>
              <w:t>Low</w:t>
            </w:r>
          </w:p>
        </w:tc>
      </w:tr>
      <w:tr w:rsidR="00BF5391" w:rsidRPr="004B6889" w:rsidTr="006D02AC">
        <w:tblPrEx>
          <w:tblCellMar>
            <w:top w:w="0" w:type="dxa"/>
            <w:bottom w:w="0" w:type="dxa"/>
          </w:tblCellMar>
        </w:tblPrEx>
        <w:trPr>
          <w:trHeight w:val="389"/>
        </w:trPr>
        <w:tc>
          <w:tcPr>
            <w:tcW w:w="1418" w:type="dxa"/>
          </w:tcPr>
          <w:p w:rsidR="00BF5391" w:rsidRPr="00E50BA4"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olor w:val="000000"/>
                <w:sz w:val="16"/>
                <w:szCs w:val="20"/>
              </w:rPr>
            </w:pPr>
            <w:r>
              <w:rPr>
                <w:color w:val="000000"/>
                <w:sz w:val="16"/>
                <w:szCs w:val="20"/>
              </w:rPr>
              <w:t>ENRICHD</w:t>
            </w:r>
            <w:r w:rsidRPr="00E50BA4">
              <w:rPr>
                <w:color w:val="000000"/>
                <w:sz w:val="16"/>
                <w:szCs w:val="20"/>
              </w:rPr>
              <w:t xml:space="preserve">, 2003, United </w:t>
            </w:r>
            <w:r w:rsidRPr="00DA4BE3">
              <w:rPr>
                <w:color w:val="000000"/>
                <w:sz w:val="16"/>
                <w:szCs w:val="16"/>
              </w:rPr>
              <w:t>States</w:t>
            </w:r>
            <w:r>
              <w:rPr>
                <w:color w:val="000000"/>
                <w:sz w:val="16"/>
                <w:szCs w:val="16"/>
              </w:rPr>
              <w:t xml:space="preserve"> </w:t>
            </w:r>
            <w:r w:rsidRPr="00066A98">
              <w:rPr>
                <w:color w:val="000000"/>
                <w:sz w:val="16"/>
                <w:szCs w:val="16"/>
              </w:rPr>
              <w:t>[</w:t>
            </w:r>
            <w:r>
              <w:rPr>
                <w:color w:val="000000"/>
                <w:sz w:val="16"/>
                <w:szCs w:val="16"/>
              </w:rPr>
              <w:t>31]</w:t>
            </w:r>
          </w:p>
        </w:tc>
        <w:tc>
          <w:tcPr>
            <w:tcW w:w="963" w:type="dxa"/>
            <w:vAlign w:val="center"/>
          </w:tcPr>
          <w:p w:rsidR="00BF5391" w:rsidRPr="004E1532" w:rsidRDefault="00BF5391" w:rsidP="006D02AC">
            <w:pPr>
              <w:jc w:val="center"/>
              <w:rPr>
                <w:sz w:val="16"/>
                <w:szCs w:val="16"/>
              </w:rPr>
            </w:pPr>
            <w:r>
              <w:rPr>
                <w:sz w:val="16"/>
                <w:szCs w:val="16"/>
              </w:rPr>
              <w:t>Low</w:t>
            </w:r>
          </w:p>
        </w:tc>
        <w:tc>
          <w:tcPr>
            <w:tcW w:w="1080" w:type="dxa"/>
            <w:vAlign w:val="center"/>
          </w:tcPr>
          <w:p w:rsidR="00BF5391" w:rsidRPr="004E1532" w:rsidRDefault="00BF5391" w:rsidP="006D02AC">
            <w:pPr>
              <w:jc w:val="center"/>
              <w:rPr>
                <w:sz w:val="16"/>
                <w:szCs w:val="16"/>
              </w:rPr>
            </w:pPr>
            <w:r>
              <w:rPr>
                <w:sz w:val="16"/>
                <w:szCs w:val="16"/>
              </w:rPr>
              <w:t>Low</w:t>
            </w:r>
          </w:p>
        </w:tc>
        <w:tc>
          <w:tcPr>
            <w:tcW w:w="1170" w:type="dxa"/>
            <w:vAlign w:val="center"/>
          </w:tcPr>
          <w:p w:rsidR="00BF5391" w:rsidRPr="004E1532" w:rsidRDefault="00BF5391" w:rsidP="006D02AC">
            <w:pPr>
              <w:jc w:val="center"/>
              <w:rPr>
                <w:sz w:val="16"/>
                <w:szCs w:val="16"/>
              </w:rPr>
            </w:pPr>
            <w:r>
              <w:rPr>
                <w:sz w:val="16"/>
                <w:szCs w:val="16"/>
              </w:rPr>
              <w:t>High</w:t>
            </w:r>
          </w:p>
        </w:tc>
        <w:tc>
          <w:tcPr>
            <w:tcW w:w="1980" w:type="dxa"/>
            <w:vAlign w:val="center"/>
          </w:tcPr>
          <w:p w:rsidR="00BF5391" w:rsidRPr="004E1532" w:rsidRDefault="00BF5391" w:rsidP="006D02AC">
            <w:pPr>
              <w:rPr>
                <w:sz w:val="16"/>
                <w:szCs w:val="16"/>
              </w:rPr>
            </w:pPr>
            <w:r w:rsidRPr="004E1532">
              <w:rPr>
                <w:sz w:val="16"/>
                <w:szCs w:val="16"/>
              </w:rPr>
              <w:t>Observer-</w:t>
            </w:r>
            <w:r>
              <w:rPr>
                <w:sz w:val="16"/>
                <w:szCs w:val="16"/>
              </w:rPr>
              <w:t>rated: Unclear</w:t>
            </w:r>
          </w:p>
          <w:p w:rsidR="00BF5391" w:rsidRPr="004E1532" w:rsidRDefault="00BF5391" w:rsidP="006D02AC">
            <w:pPr>
              <w:rPr>
                <w:sz w:val="16"/>
                <w:szCs w:val="16"/>
              </w:rPr>
            </w:pPr>
            <w:r w:rsidRPr="004E1532">
              <w:rPr>
                <w:sz w:val="16"/>
                <w:szCs w:val="16"/>
              </w:rPr>
              <w:t>Self-repo</w:t>
            </w:r>
            <w:r>
              <w:rPr>
                <w:sz w:val="16"/>
                <w:szCs w:val="16"/>
              </w:rPr>
              <w:t>rt: High</w:t>
            </w:r>
          </w:p>
          <w:p w:rsidR="00BF5391" w:rsidRPr="004E1532" w:rsidRDefault="00BF5391" w:rsidP="006D02AC">
            <w:pPr>
              <w:rPr>
                <w:sz w:val="16"/>
                <w:szCs w:val="16"/>
              </w:rPr>
            </w:pPr>
            <w:r>
              <w:rPr>
                <w:sz w:val="16"/>
                <w:szCs w:val="16"/>
              </w:rPr>
              <w:t>CHD</w:t>
            </w:r>
            <w:r w:rsidRPr="004E1532">
              <w:rPr>
                <w:sz w:val="16"/>
                <w:szCs w:val="16"/>
              </w:rPr>
              <w:t xml:space="preserve">: </w:t>
            </w:r>
            <w:r>
              <w:rPr>
                <w:sz w:val="16"/>
                <w:szCs w:val="16"/>
              </w:rPr>
              <w:t>Low</w:t>
            </w:r>
          </w:p>
        </w:tc>
        <w:tc>
          <w:tcPr>
            <w:tcW w:w="1710" w:type="dxa"/>
            <w:tcBorders>
              <w:right w:val="nil"/>
            </w:tcBorders>
            <w:vAlign w:val="center"/>
          </w:tcPr>
          <w:p w:rsidR="00BF5391" w:rsidRPr="004E1532" w:rsidRDefault="00BF5391" w:rsidP="006D02AC">
            <w:pPr>
              <w:rPr>
                <w:sz w:val="16"/>
                <w:szCs w:val="16"/>
              </w:rPr>
            </w:pPr>
            <w:r w:rsidRPr="004E1532">
              <w:rPr>
                <w:sz w:val="16"/>
                <w:szCs w:val="16"/>
              </w:rPr>
              <w:t>Observer-</w:t>
            </w:r>
            <w:r>
              <w:rPr>
                <w:sz w:val="16"/>
                <w:szCs w:val="16"/>
              </w:rPr>
              <w:t>rated: Low</w:t>
            </w:r>
          </w:p>
          <w:p w:rsidR="00BF5391" w:rsidRPr="004E1532" w:rsidRDefault="00BF5391" w:rsidP="006D02AC">
            <w:pPr>
              <w:rPr>
                <w:sz w:val="16"/>
                <w:szCs w:val="16"/>
              </w:rPr>
            </w:pPr>
            <w:r w:rsidRPr="004E1532">
              <w:rPr>
                <w:sz w:val="16"/>
                <w:szCs w:val="16"/>
              </w:rPr>
              <w:t>Self-repo</w:t>
            </w:r>
            <w:r>
              <w:rPr>
                <w:sz w:val="16"/>
                <w:szCs w:val="16"/>
              </w:rPr>
              <w:t>rt: Low</w:t>
            </w:r>
          </w:p>
          <w:p w:rsidR="00BF5391" w:rsidRPr="004E1532" w:rsidRDefault="00BF5391" w:rsidP="006D02AC">
            <w:pPr>
              <w:rPr>
                <w:sz w:val="16"/>
                <w:szCs w:val="16"/>
              </w:rPr>
            </w:pPr>
            <w:r>
              <w:rPr>
                <w:sz w:val="16"/>
                <w:szCs w:val="16"/>
              </w:rPr>
              <w:t>CHD</w:t>
            </w:r>
            <w:r w:rsidRPr="004E1532">
              <w:rPr>
                <w:sz w:val="16"/>
                <w:szCs w:val="16"/>
              </w:rPr>
              <w:t xml:space="preserve">: </w:t>
            </w:r>
            <w:r>
              <w:rPr>
                <w:sz w:val="16"/>
                <w:szCs w:val="16"/>
              </w:rPr>
              <w:t>Low</w:t>
            </w:r>
          </w:p>
        </w:tc>
        <w:tc>
          <w:tcPr>
            <w:tcW w:w="1080" w:type="dxa"/>
            <w:tcBorders>
              <w:left w:val="nil"/>
            </w:tcBorders>
            <w:vAlign w:val="center"/>
          </w:tcPr>
          <w:p w:rsidR="00BF5391" w:rsidRPr="004E1532" w:rsidRDefault="00BF5391" w:rsidP="006D02AC">
            <w:pPr>
              <w:jc w:val="center"/>
              <w:rPr>
                <w:sz w:val="16"/>
                <w:szCs w:val="16"/>
              </w:rPr>
            </w:pPr>
            <w:r>
              <w:rPr>
                <w:sz w:val="16"/>
                <w:szCs w:val="16"/>
              </w:rPr>
              <w:t>Low</w:t>
            </w:r>
          </w:p>
        </w:tc>
        <w:tc>
          <w:tcPr>
            <w:tcW w:w="1260" w:type="dxa"/>
            <w:vAlign w:val="center"/>
          </w:tcPr>
          <w:p w:rsidR="00BF5391" w:rsidRPr="004E1532" w:rsidRDefault="00BF5391" w:rsidP="006D02AC">
            <w:pPr>
              <w:jc w:val="center"/>
              <w:rPr>
                <w:sz w:val="16"/>
                <w:szCs w:val="16"/>
              </w:rPr>
            </w:pPr>
            <w:r>
              <w:rPr>
                <w:sz w:val="16"/>
                <w:szCs w:val="16"/>
              </w:rPr>
              <w:t>Low</w:t>
            </w:r>
          </w:p>
        </w:tc>
        <w:tc>
          <w:tcPr>
            <w:tcW w:w="1530" w:type="dxa"/>
            <w:vAlign w:val="center"/>
          </w:tcPr>
          <w:p w:rsidR="00BF5391" w:rsidRPr="004E1532" w:rsidRDefault="00BF5391" w:rsidP="006D02AC">
            <w:pPr>
              <w:jc w:val="center"/>
              <w:rPr>
                <w:sz w:val="16"/>
                <w:szCs w:val="16"/>
              </w:rPr>
            </w:pPr>
            <w:r>
              <w:rPr>
                <w:sz w:val="16"/>
                <w:szCs w:val="16"/>
              </w:rPr>
              <w:t>Low</w:t>
            </w:r>
          </w:p>
        </w:tc>
        <w:tc>
          <w:tcPr>
            <w:tcW w:w="1260" w:type="dxa"/>
            <w:vAlign w:val="center"/>
          </w:tcPr>
          <w:p w:rsidR="00BF5391" w:rsidRPr="004E1532" w:rsidRDefault="00BF5391" w:rsidP="006D02AC">
            <w:pPr>
              <w:jc w:val="center"/>
              <w:rPr>
                <w:sz w:val="16"/>
                <w:szCs w:val="16"/>
              </w:rPr>
            </w:pPr>
            <w:r>
              <w:rPr>
                <w:sz w:val="16"/>
                <w:szCs w:val="16"/>
              </w:rPr>
              <w:t>Low</w:t>
            </w:r>
          </w:p>
        </w:tc>
      </w:tr>
      <w:tr w:rsidR="00BF5391" w:rsidRPr="004B6889" w:rsidTr="006D02AC">
        <w:tblPrEx>
          <w:tblCellMar>
            <w:top w:w="0" w:type="dxa"/>
            <w:bottom w:w="0" w:type="dxa"/>
          </w:tblCellMar>
        </w:tblPrEx>
        <w:trPr>
          <w:trHeight w:val="389"/>
        </w:trPr>
        <w:tc>
          <w:tcPr>
            <w:tcW w:w="1418" w:type="dxa"/>
          </w:tcPr>
          <w:p w:rsidR="00BF5391"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
              <w:rPr>
                <w:color w:val="000000"/>
                <w:sz w:val="16"/>
                <w:szCs w:val="20"/>
              </w:rPr>
            </w:pPr>
            <w:r>
              <w:rPr>
                <w:color w:val="000000"/>
                <w:sz w:val="16"/>
                <w:szCs w:val="20"/>
              </w:rPr>
              <w:t>Fraguas, 2009,</w:t>
            </w:r>
          </w:p>
          <w:p w:rsidR="00BF5391" w:rsidRPr="00E50BA4"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
              <w:rPr>
                <w:color w:val="000000"/>
                <w:sz w:val="16"/>
                <w:szCs w:val="20"/>
              </w:rPr>
            </w:pPr>
            <w:r>
              <w:rPr>
                <w:color w:val="000000"/>
                <w:sz w:val="16"/>
                <w:szCs w:val="20"/>
              </w:rPr>
              <w:t xml:space="preserve">Brazil </w:t>
            </w:r>
            <w:r w:rsidRPr="00066A98">
              <w:rPr>
                <w:color w:val="000000"/>
                <w:sz w:val="16"/>
                <w:szCs w:val="20"/>
              </w:rPr>
              <w:t>[</w:t>
            </w:r>
            <w:r>
              <w:rPr>
                <w:color w:val="000000"/>
                <w:sz w:val="16"/>
                <w:szCs w:val="20"/>
              </w:rPr>
              <w:t>28]</w:t>
            </w:r>
          </w:p>
        </w:tc>
        <w:tc>
          <w:tcPr>
            <w:tcW w:w="963" w:type="dxa"/>
            <w:vAlign w:val="center"/>
          </w:tcPr>
          <w:p w:rsidR="00BF5391" w:rsidRPr="004E1532" w:rsidRDefault="00BF5391" w:rsidP="006D02AC">
            <w:pPr>
              <w:jc w:val="center"/>
              <w:rPr>
                <w:sz w:val="16"/>
                <w:szCs w:val="16"/>
              </w:rPr>
            </w:pPr>
            <w:r>
              <w:rPr>
                <w:sz w:val="16"/>
                <w:szCs w:val="16"/>
              </w:rPr>
              <w:t>Unclear</w:t>
            </w:r>
          </w:p>
        </w:tc>
        <w:tc>
          <w:tcPr>
            <w:tcW w:w="1080" w:type="dxa"/>
            <w:vAlign w:val="center"/>
          </w:tcPr>
          <w:p w:rsidR="00BF5391" w:rsidRPr="004E1532" w:rsidRDefault="00BF5391" w:rsidP="006D02AC">
            <w:pPr>
              <w:jc w:val="center"/>
              <w:rPr>
                <w:sz w:val="16"/>
                <w:szCs w:val="16"/>
              </w:rPr>
            </w:pPr>
            <w:r>
              <w:rPr>
                <w:sz w:val="16"/>
                <w:szCs w:val="16"/>
              </w:rPr>
              <w:t>Unclear</w:t>
            </w:r>
          </w:p>
        </w:tc>
        <w:tc>
          <w:tcPr>
            <w:tcW w:w="1170" w:type="dxa"/>
            <w:vAlign w:val="center"/>
          </w:tcPr>
          <w:p w:rsidR="00BF5391" w:rsidRPr="004E1532" w:rsidRDefault="00BF5391" w:rsidP="006D02AC">
            <w:pPr>
              <w:jc w:val="center"/>
              <w:rPr>
                <w:sz w:val="16"/>
                <w:szCs w:val="16"/>
              </w:rPr>
            </w:pPr>
            <w:r>
              <w:rPr>
                <w:sz w:val="16"/>
                <w:szCs w:val="16"/>
              </w:rPr>
              <w:t>Low</w:t>
            </w:r>
          </w:p>
        </w:tc>
        <w:tc>
          <w:tcPr>
            <w:tcW w:w="1980" w:type="dxa"/>
            <w:vAlign w:val="center"/>
          </w:tcPr>
          <w:p w:rsidR="00BF5391" w:rsidRPr="004E1532" w:rsidRDefault="00BF5391" w:rsidP="006D02AC">
            <w:pPr>
              <w:rPr>
                <w:sz w:val="16"/>
                <w:szCs w:val="16"/>
              </w:rPr>
            </w:pPr>
            <w:r w:rsidRPr="004E1532">
              <w:rPr>
                <w:sz w:val="16"/>
                <w:szCs w:val="16"/>
              </w:rPr>
              <w:t>Observer-rated: Unclear</w:t>
            </w:r>
          </w:p>
          <w:p w:rsidR="00BF5391" w:rsidRPr="004E1532" w:rsidRDefault="00BF5391" w:rsidP="006D02AC">
            <w:pPr>
              <w:rPr>
                <w:sz w:val="16"/>
                <w:szCs w:val="16"/>
              </w:rPr>
            </w:pPr>
            <w:r w:rsidRPr="004E1532">
              <w:rPr>
                <w:sz w:val="16"/>
                <w:szCs w:val="16"/>
              </w:rPr>
              <w:t>Self-repo</w:t>
            </w:r>
            <w:r>
              <w:rPr>
                <w:sz w:val="16"/>
                <w:szCs w:val="16"/>
              </w:rPr>
              <w:t>rt: NA</w:t>
            </w:r>
          </w:p>
          <w:p w:rsidR="00BF5391" w:rsidRPr="004E1532" w:rsidRDefault="00BF5391" w:rsidP="006D02AC">
            <w:pPr>
              <w:rPr>
                <w:sz w:val="16"/>
                <w:szCs w:val="16"/>
              </w:rPr>
            </w:pPr>
            <w:r>
              <w:rPr>
                <w:sz w:val="16"/>
                <w:szCs w:val="16"/>
              </w:rPr>
              <w:t>CHD</w:t>
            </w:r>
            <w:r w:rsidRPr="004E1532">
              <w:rPr>
                <w:sz w:val="16"/>
                <w:szCs w:val="16"/>
              </w:rPr>
              <w:t xml:space="preserve">: </w:t>
            </w:r>
            <w:r>
              <w:rPr>
                <w:sz w:val="16"/>
                <w:szCs w:val="16"/>
              </w:rPr>
              <w:t>NA</w:t>
            </w:r>
          </w:p>
        </w:tc>
        <w:tc>
          <w:tcPr>
            <w:tcW w:w="1710" w:type="dxa"/>
            <w:tcBorders>
              <w:right w:val="nil"/>
            </w:tcBorders>
            <w:vAlign w:val="center"/>
          </w:tcPr>
          <w:p w:rsidR="00BF5391" w:rsidRPr="004E1532" w:rsidRDefault="00BF5391" w:rsidP="006D02AC">
            <w:pPr>
              <w:rPr>
                <w:sz w:val="16"/>
                <w:szCs w:val="16"/>
              </w:rPr>
            </w:pPr>
            <w:r w:rsidRPr="004E1532">
              <w:rPr>
                <w:sz w:val="16"/>
                <w:szCs w:val="16"/>
              </w:rPr>
              <w:t xml:space="preserve">Observer-rated: </w:t>
            </w:r>
            <w:r>
              <w:rPr>
                <w:sz w:val="16"/>
                <w:szCs w:val="16"/>
              </w:rPr>
              <w:t>Low</w:t>
            </w:r>
          </w:p>
          <w:p w:rsidR="00BF5391" w:rsidRPr="004E1532" w:rsidRDefault="00BF5391" w:rsidP="006D02AC">
            <w:pPr>
              <w:rPr>
                <w:sz w:val="16"/>
                <w:szCs w:val="16"/>
              </w:rPr>
            </w:pPr>
            <w:r w:rsidRPr="004E1532">
              <w:rPr>
                <w:sz w:val="16"/>
                <w:szCs w:val="16"/>
              </w:rPr>
              <w:t>Self-repo</w:t>
            </w:r>
            <w:r>
              <w:rPr>
                <w:sz w:val="16"/>
                <w:szCs w:val="16"/>
              </w:rPr>
              <w:t>rt: NA</w:t>
            </w:r>
          </w:p>
          <w:p w:rsidR="00BF5391" w:rsidRPr="004E1532" w:rsidRDefault="00BF5391" w:rsidP="006D02AC">
            <w:pPr>
              <w:rPr>
                <w:sz w:val="16"/>
                <w:szCs w:val="16"/>
              </w:rPr>
            </w:pPr>
            <w:r>
              <w:rPr>
                <w:sz w:val="16"/>
                <w:szCs w:val="16"/>
              </w:rPr>
              <w:t>CHD</w:t>
            </w:r>
            <w:r w:rsidRPr="004E1532">
              <w:rPr>
                <w:sz w:val="16"/>
                <w:szCs w:val="16"/>
              </w:rPr>
              <w:t xml:space="preserve">: </w:t>
            </w:r>
            <w:r>
              <w:rPr>
                <w:sz w:val="16"/>
                <w:szCs w:val="16"/>
              </w:rPr>
              <w:t>NA</w:t>
            </w:r>
          </w:p>
        </w:tc>
        <w:tc>
          <w:tcPr>
            <w:tcW w:w="1080" w:type="dxa"/>
            <w:tcBorders>
              <w:left w:val="nil"/>
            </w:tcBorders>
            <w:vAlign w:val="center"/>
          </w:tcPr>
          <w:p w:rsidR="00BF5391" w:rsidRPr="004E1532" w:rsidRDefault="00BF5391" w:rsidP="006D02AC">
            <w:pPr>
              <w:jc w:val="center"/>
              <w:rPr>
                <w:sz w:val="16"/>
                <w:szCs w:val="16"/>
              </w:rPr>
            </w:pPr>
            <w:r>
              <w:rPr>
                <w:sz w:val="16"/>
                <w:szCs w:val="16"/>
              </w:rPr>
              <w:t>Unclear</w:t>
            </w:r>
          </w:p>
        </w:tc>
        <w:tc>
          <w:tcPr>
            <w:tcW w:w="1260" w:type="dxa"/>
            <w:vAlign w:val="center"/>
          </w:tcPr>
          <w:p w:rsidR="00BF5391" w:rsidRPr="004E1532" w:rsidRDefault="00BF5391" w:rsidP="006D02AC">
            <w:pPr>
              <w:jc w:val="center"/>
              <w:rPr>
                <w:sz w:val="16"/>
                <w:szCs w:val="16"/>
              </w:rPr>
            </w:pPr>
            <w:r>
              <w:rPr>
                <w:sz w:val="16"/>
                <w:szCs w:val="16"/>
              </w:rPr>
              <w:t>Low</w:t>
            </w:r>
          </w:p>
        </w:tc>
        <w:tc>
          <w:tcPr>
            <w:tcW w:w="1530" w:type="dxa"/>
            <w:vAlign w:val="center"/>
          </w:tcPr>
          <w:p w:rsidR="00BF5391" w:rsidRPr="004E1532" w:rsidRDefault="00BF5391" w:rsidP="006D02AC">
            <w:pPr>
              <w:jc w:val="center"/>
              <w:rPr>
                <w:sz w:val="16"/>
                <w:szCs w:val="16"/>
              </w:rPr>
            </w:pPr>
            <w:r>
              <w:rPr>
                <w:sz w:val="16"/>
                <w:szCs w:val="16"/>
              </w:rPr>
              <w:t>Unclear</w:t>
            </w:r>
          </w:p>
        </w:tc>
        <w:tc>
          <w:tcPr>
            <w:tcW w:w="1260" w:type="dxa"/>
            <w:vAlign w:val="center"/>
          </w:tcPr>
          <w:p w:rsidR="00BF5391" w:rsidRPr="000B06CC" w:rsidRDefault="00BF5391" w:rsidP="006D02AC">
            <w:pPr>
              <w:jc w:val="center"/>
              <w:rPr>
                <w:sz w:val="16"/>
                <w:szCs w:val="16"/>
              </w:rPr>
            </w:pPr>
            <w:r>
              <w:rPr>
                <w:sz w:val="16"/>
                <w:szCs w:val="16"/>
              </w:rPr>
              <w:t>Unclear</w:t>
            </w:r>
            <w:r w:rsidRPr="00DC4C77">
              <w:rPr>
                <w:sz w:val="16"/>
                <w:szCs w:val="16"/>
              </w:rPr>
              <w:t>§</w:t>
            </w:r>
          </w:p>
        </w:tc>
      </w:tr>
      <w:tr w:rsidR="00BF5391" w:rsidRPr="004B6889" w:rsidTr="006D02AC">
        <w:tblPrEx>
          <w:tblCellMar>
            <w:top w:w="0" w:type="dxa"/>
            <w:bottom w:w="0" w:type="dxa"/>
          </w:tblCellMar>
        </w:tblPrEx>
        <w:trPr>
          <w:trHeight w:val="389"/>
        </w:trPr>
        <w:tc>
          <w:tcPr>
            <w:tcW w:w="1418" w:type="dxa"/>
          </w:tcPr>
          <w:p w:rsidR="00BF5391" w:rsidRPr="00E50BA4"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
              <w:rPr>
                <w:color w:val="000000"/>
                <w:sz w:val="16"/>
                <w:szCs w:val="20"/>
              </w:rPr>
            </w:pPr>
            <w:r w:rsidRPr="00E50BA4">
              <w:rPr>
                <w:color w:val="000000"/>
                <w:sz w:val="16"/>
                <w:szCs w:val="20"/>
              </w:rPr>
              <w:t>Honig, 2007</w:t>
            </w:r>
            <w:proofErr w:type="gramStart"/>
            <w:r w:rsidRPr="00C41D05">
              <w:rPr>
                <w:color w:val="000000"/>
                <w:sz w:val="16"/>
                <w:szCs w:val="20"/>
              </w:rPr>
              <w:t>,</w:t>
            </w:r>
            <w:r>
              <w:rPr>
                <w:color w:val="000000"/>
                <w:sz w:val="16"/>
                <w:szCs w:val="20"/>
              </w:rPr>
              <w:t>|</w:t>
            </w:r>
            <w:proofErr w:type="gramEnd"/>
            <w:r>
              <w:rPr>
                <w:color w:val="000000"/>
                <w:sz w:val="16"/>
                <w:szCs w:val="20"/>
              </w:rPr>
              <w:t>|</w:t>
            </w:r>
            <w:r w:rsidRPr="00E50BA4">
              <w:rPr>
                <w:color w:val="000000"/>
                <w:sz w:val="16"/>
                <w:szCs w:val="20"/>
              </w:rPr>
              <w:t xml:space="preserve"> Netherlands</w:t>
            </w:r>
            <w:r>
              <w:rPr>
                <w:color w:val="000000"/>
                <w:sz w:val="16"/>
                <w:szCs w:val="20"/>
              </w:rPr>
              <w:t xml:space="preserve"> </w:t>
            </w:r>
            <w:r w:rsidRPr="00066A98">
              <w:rPr>
                <w:color w:val="000000"/>
                <w:sz w:val="16"/>
                <w:szCs w:val="20"/>
              </w:rPr>
              <w:t>[</w:t>
            </w:r>
            <w:r>
              <w:rPr>
                <w:color w:val="000000"/>
                <w:sz w:val="16"/>
                <w:szCs w:val="20"/>
              </w:rPr>
              <w:t>32]</w:t>
            </w:r>
          </w:p>
        </w:tc>
        <w:tc>
          <w:tcPr>
            <w:tcW w:w="963" w:type="dxa"/>
            <w:vAlign w:val="center"/>
          </w:tcPr>
          <w:p w:rsidR="00BF5391" w:rsidRPr="004E1532" w:rsidRDefault="00BF5391" w:rsidP="006D02AC">
            <w:pPr>
              <w:jc w:val="center"/>
              <w:rPr>
                <w:sz w:val="16"/>
                <w:szCs w:val="16"/>
              </w:rPr>
            </w:pPr>
            <w:r>
              <w:rPr>
                <w:sz w:val="16"/>
                <w:szCs w:val="16"/>
              </w:rPr>
              <w:t>Low</w:t>
            </w:r>
          </w:p>
        </w:tc>
        <w:tc>
          <w:tcPr>
            <w:tcW w:w="1080" w:type="dxa"/>
            <w:vAlign w:val="center"/>
          </w:tcPr>
          <w:p w:rsidR="00BF5391" w:rsidRPr="004E1532" w:rsidRDefault="00BF5391" w:rsidP="006D02AC">
            <w:pPr>
              <w:jc w:val="center"/>
              <w:rPr>
                <w:sz w:val="16"/>
                <w:szCs w:val="16"/>
              </w:rPr>
            </w:pPr>
            <w:r>
              <w:rPr>
                <w:sz w:val="16"/>
                <w:szCs w:val="16"/>
              </w:rPr>
              <w:t>Low</w:t>
            </w:r>
          </w:p>
        </w:tc>
        <w:tc>
          <w:tcPr>
            <w:tcW w:w="1170" w:type="dxa"/>
            <w:vAlign w:val="center"/>
          </w:tcPr>
          <w:p w:rsidR="00BF5391" w:rsidRPr="004E1532" w:rsidRDefault="00BF5391" w:rsidP="006D02AC">
            <w:pPr>
              <w:jc w:val="center"/>
              <w:rPr>
                <w:sz w:val="16"/>
                <w:szCs w:val="16"/>
              </w:rPr>
            </w:pPr>
            <w:r>
              <w:rPr>
                <w:sz w:val="16"/>
                <w:szCs w:val="16"/>
              </w:rPr>
              <w:t>Low</w:t>
            </w:r>
          </w:p>
        </w:tc>
        <w:tc>
          <w:tcPr>
            <w:tcW w:w="1980" w:type="dxa"/>
            <w:vAlign w:val="center"/>
          </w:tcPr>
          <w:p w:rsidR="00BF5391" w:rsidRPr="004E1532" w:rsidRDefault="00BF5391" w:rsidP="006D02AC">
            <w:pPr>
              <w:rPr>
                <w:sz w:val="16"/>
                <w:szCs w:val="16"/>
              </w:rPr>
            </w:pPr>
            <w:r w:rsidRPr="004E1532">
              <w:rPr>
                <w:sz w:val="16"/>
                <w:szCs w:val="16"/>
              </w:rPr>
              <w:t>Observer-rated: Unclear</w:t>
            </w:r>
          </w:p>
          <w:p w:rsidR="00BF5391" w:rsidRPr="004E1532" w:rsidRDefault="00BF5391" w:rsidP="006D02AC">
            <w:pPr>
              <w:rPr>
                <w:sz w:val="16"/>
                <w:szCs w:val="16"/>
              </w:rPr>
            </w:pPr>
            <w:r w:rsidRPr="004E1532">
              <w:rPr>
                <w:sz w:val="16"/>
                <w:szCs w:val="16"/>
              </w:rPr>
              <w:t>Self-repo</w:t>
            </w:r>
            <w:r>
              <w:rPr>
                <w:sz w:val="16"/>
                <w:szCs w:val="16"/>
              </w:rPr>
              <w:t>rt: Low</w:t>
            </w:r>
          </w:p>
          <w:p w:rsidR="00BF5391" w:rsidRPr="004E1532" w:rsidRDefault="00BF5391" w:rsidP="006D02AC">
            <w:pPr>
              <w:rPr>
                <w:sz w:val="16"/>
                <w:szCs w:val="16"/>
              </w:rPr>
            </w:pPr>
            <w:r>
              <w:rPr>
                <w:sz w:val="16"/>
                <w:szCs w:val="16"/>
              </w:rPr>
              <w:t>CHD</w:t>
            </w:r>
            <w:r w:rsidRPr="004E1532">
              <w:rPr>
                <w:sz w:val="16"/>
                <w:szCs w:val="16"/>
              </w:rPr>
              <w:t xml:space="preserve">: </w:t>
            </w:r>
            <w:r>
              <w:rPr>
                <w:sz w:val="16"/>
                <w:szCs w:val="16"/>
              </w:rPr>
              <w:t>Low</w:t>
            </w:r>
          </w:p>
        </w:tc>
        <w:tc>
          <w:tcPr>
            <w:tcW w:w="1710" w:type="dxa"/>
            <w:tcBorders>
              <w:right w:val="nil"/>
            </w:tcBorders>
            <w:vAlign w:val="center"/>
          </w:tcPr>
          <w:p w:rsidR="00BF5391" w:rsidRPr="004E1532" w:rsidRDefault="00BF5391" w:rsidP="006D02AC">
            <w:pPr>
              <w:rPr>
                <w:sz w:val="16"/>
                <w:szCs w:val="16"/>
              </w:rPr>
            </w:pPr>
            <w:r w:rsidRPr="004E1532">
              <w:rPr>
                <w:sz w:val="16"/>
                <w:szCs w:val="16"/>
              </w:rPr>
              <w:t>Observer-</w:t>
            </w:r>
            <w:r>
              <w:rPr>
                <w:sz w:val="16"/>
                <w:szCs w:val="16"/>
              </w:rPr>
              <w:t>rated: Low</w:t>
            </w:r>
          </w:p>
          <w:p w:rsidR="00BF5391" w:rsidRPr="004E1532" w:rsidRDefault="00BF5391" w:rsidP="006D02AC">
            <w:pPr>
              <w:rPr>
                <w:sz w:val="16"/>
                <w:szCs w:val="16"/>
              </w:rPr>
            </w:pPr>
            <w:r w:rsidRPr="004E1532">
              <w:rPr>
                <w:sz w:val="16"/>
                <w:szCs w:val="16"/>
              </w:rPr>
              <w:t>Self-repo</w:t>
            </w:r>
            <w:r>
              <w:rPr>
                <w:sz w:val="16"/>
                <w:szCs w:val="16"/>
              </w:rPr>
              <w:t>rt: Low</w:t>
            </w:r>
          </w:p>
          <w:p w:rsidR="00BF5391" w:rsidRPr="004E1532" w:rsidRDefault="00BF5391" w:rsidP="006D02AC">
            <w:pPr>
              <w:rPr>
                <w:sz w:val="16"/>
                <w:szCs w:val="16"/>
              </w:rPr>
            </w:pPr>
            <w:r>
              <w:rPr>
                <w:sz w:val="16"/>
                <w:szCs w:val="16"/>
              </w:rPr>
              <w:t>CHD</w:t>
            </w:r>
            <w:r w:rsidRPr="004E1532">
              <w:rPr>
                <w:sz w:val="16"/>
                <w:szCs w:val="16"/>
              </w:rPr>
              <w:t xml:space="preserve">: </w:t>
            </w:r>
            <w:r>
              <w:rPr>
                <w:sz w:val="16"/>
                <w:szCs w:val="16"/>
              </w:rPr>
              <w:t>Low</w:t>
            </w:r>
          </w:p>
        </w:tc>
        <w:tc>
          <w:tcPr>
            <w:tcW w:w="1080" w:type="dxa"/>
            <w:tcBorders>
              <w:left w:val="nil"/>
            </w:tcBorders>
            <w:vAlign w:val="center"/>
          </w:tcPr>
          <w:p w:rsidR="00BF5391" w:rsidRPr="004E1532" w:rsidRDefault="00BF5391" w:rsidP="006D02AC">
            <w:pPr>
              <w:jc w:val="center"/>
              <w:rPr>
                <w:sz w:val="16"/>
                <w:szCs w:val="16"/>
              </w:rPr>
            </w:pPr>
            <w:r>
              <w:rPr>
                <w:sz w:val="16"/>
                <w:szCs w:val="16"/>
              </w:rPr>
              <w:t>Unclear</w:t>
            </w:r>
          </w:p>
        </w:tc>
        <w:tc>
          <w:tcPr>
            <w:tcW w:w="1260" w:type="dxa"/>
            <w:vAlign w:val="center"/>
          </w:tcPr>
          <w:p w:rsidR="00BF5391" w:rsidRPr="004E1532" w:rsidRDefault="00BF5391" w:rsidP="006D02AC">
            <w:pPr>
              <w:jc w:val="center"/>
              <w:rPr>
                <w:sz w:val="16"/>
                <w:szCs w:val="16"/>
              </w:rPr>
            </w:pPr>
            <w:r>
              <w:rPr>
                <w:sz w:val="16"/>
                <w:szCs w:val="16"/>
              </w:rPr>
              <w:t>High</w:t>
            </w:r>
          </w:p>
        </w:tc>
        <w:tc>
          <w:tcPr>
            <w:tcW w:w="1530" w:type="dxa"/>
            <w:vAlign w:val="center"/>
          </w:tcPr>
          <w:p w:rsidR="00BF5391" w:rsidRPr="00841DBC" w:rsidRDefault="00BF5391" w:rsidP="006D02AC">
            <w:pPr>
              <w:jc w:val="center"/>
              <w:rPr>
                <w:sz w:val="16"/>
                <w:szCs w:val="16"/>
              </w:rPr>
            </w:pPr>
            <w:r>
              <w:rPr>
                <w:sz w:val="16"/>
                <w:szCs w:val="16"/>
              </w:rPr>
              <w:t>Unclear¶</w:t>
            </w:r>
          </w:p>
        </w:tc>
        <w:tc>
          <w:tcPr>
            <w:tcW w:w="1260" w:type="dxa"/>
            <w:vAlign w:val="center"/>
          </w:tcPr>
          <w:p w:rsidR="00BF5391" w:rsidRPr="004E1532" w:rsidRDefault="00BF5391" w:rsidP="006D02AC">
            <w:pPr>
              <w:jc w:val="center"/>
              <w:rPr>
                <w:sz w:val="16"/>
                <w:szCs w:val="16"/>
              </w:rPr>
            </w:pPr>
            <w:r>
              <w:rPr>
                <w:sz w:val="16"/>
                <w:szCs w:val="16"/>
              </w:rPr>
              <w:t>Low</w:t>
            </w:r>
          </w:p>
        </w:tc>
      </w:tr>
      <w:tr w:rsidR="00BF5391" w:rsidRPr="004B6889" w:rsidTr="006D02AC">
        <w:tblPrEx>
          <w:tblCellMar>
            <w:top w:w="0" w:type="dxa"/>
            <w:bottom w:w="0" w:type="dxa"/>
          </w:tblCellMar>
        </w:tblPrEx>
        <w:trPr>
          <w:trHeight w:val="389"/>
        </w:trPr>
        <w:tc>
          <w:tcPr>
            <w:tcW w:w="1418" w:type="dxa"/>
          </w:tcPr>
          <w:p w:rsidR="00BF5391" w:rsidRPr="00E50BA4"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
              <w:rPr>
                <w:color w:val="000000"/>
                <w:sz w:val="16"/>
                <w:szCs w:val="20"/>
                <w:lang w:val="da-DK"/>
              </w:rPr>
            </w:pPr>
            <w:r>
              <w:rPr>
                <w:color w:val="000000"/>
                <w:sz w:val="16"/>
                <w:szCs w:val="20"/>
                <w:lang w:val="da-DK"/>
              </w:rPr>
              <w:t>MIND-IT</w:t>
            </w:r>
            <w:r w:rsidRPr="00E50BA4">
              <w:rPr>
                <w:color w:val="000000"/>
                <w:sz w:val="16"/>
                <w:szCs w:val="20"/>
                <w:lang w:val="da-DK"/>
              </w:rPr>
              <w:t>, 2007</w:t>
            </w:r>
            <w:r w:rsidRPr="00C41D05">
              <w:rPr>
                <w:color w:val="000000"/>
                <w:sz w:val="16"/>
                <w:szCs w:val="20"/>
                <w:lang w:val="da-DK"/>
              </w:rPr>
              <w:t>,</w:t>
            </w:r>
            <w:r>
              <w:rPr>
                <w:color w:val="000000"/>
                <w:sz w:val="16"/>
                <w:szCs w:val="20"/>
                <w:lang w:val="da-DK"/>
              </w:rPr>
              <w:t>||</w:t>
            </w:r>
            <w:r w:rsidRPr="00E50BA4">
              <w:rPr>
                <w:color w:val="000000"/>
                <w:sz w:val="16"/>
                <w:szCs w:val="20"/>
                <w:lang w:val="da-DK"/>
              </w:rPr>
              <w:t xml:space="preserve"> </w:t>
            </w:r>
            <w:r w:rsidRPr="00DA4BE3">
              <w:rPr>
                <w:color w:val="000000"/>
                <w:sz w:val="16"/>
                <w:szCs w:val="16"/>
                <w:lang w:val="da-DK"/>
              </w:rPr>
              <w:t>Netherlands</w:t>
            </w:r>
            <w:r>
              <w:rPr>
                <w:color w:val="000000"/>
                <w:sz w:val="16"/>
                <w:szCs w:val="16"/>
                <w:lang w:val="da-DK"/>
              </w:rPr>
              <w:t xml:space="preserve"> </w:t>
            </w:r>
            <w:r w:rsidRPr="00066A98">
              <w:rPr>
                <w:color w:val="000000"/>
                <w:sz w:val="16"/>
                <w:szCs w:val="16"/>
                <w:lang w:val="da-DK"/>
              </w:rPr>
              <w:t>[</w:t>
            </w:r>
            <w:r>
              <w:rPr>
                <w:color w:val="000000"/>
                <w:sz w:val="16"/>
                <w:szCs w:val="16"/>
                <w:lang w:val="da-DK"/>
              </w:rPr>
              <w:t>33]</w:t>
            </w:r>
          </w:p>
        </w:tc>
        <w:tc>
          <w:tcPr>
            <w:tcW w:w="963" w:type="dxa"/>
            <w:vAlign w:val="center"/>
          </w:tcPr>
          <w:p w:rsidR="00BF5391" w:rsidRPr="004E1532" w:rsidRDefault="00BF5391" w:rsidP="006D02AC">
            <w:pPr>
              <w:jc w:val="center"/>
              <w:rPr>
                <w:sz w:val="16"/>
                <w:szCs w:val="16"/>
              </w:rPr>
            </w:pPr>
            <w:r>
              <w:rPr>
                <w:sz w:val="16"/>
                <w:szCs w:val="16"/>
              </w:rPr>
              <w:t>Low</w:t>
            </w:r>
          </w:p>
        </w:tc>
        <w:tc>
          <w:tcPr>
            <w:tcW w:w="1080" w:type="dxa"/>
            <w:vAlign w:val="center"/>
          </w:tcPr>
          <w:p w:rsidR="00BF5391" w:rsidRPr="004E1532" w:rsidRDefault="00BF5391" w:rsidP="006D02AC">
            <w:pPr>
              <w:jc w:val="center"/>
              <w:rPr>
                <w:sz w:val="16"/>
                <w:szCs w:val="16"/>
              </w:rPr>
            </w:pPr>
            <w:r>
              <w:rPr>
                <w:sz w:val="16"/>
                <w:szCs w:val="16"/>
              </w:rPr>
              <w:t>Low</w:t>
            </w:r>
          </w:p>
        </w:tc>
        <w:tc>
          <w:tcPr>
            <w:tcW w:w="1170" w:type="dxa"/>
            <w:vAlign w:val="center"/>
          </w:tcPr>
          <w:p w:rsidR="00BF5391" w:rsidRPr="004E1532" w:rsidRDefault="00BF5391" w:rsidP="006D02AC">
            <w:pPr>
              <w:jc w:val="center"/>
              <w:rPr>
                <w:sz w:val="16"/>
                <w:szCs w:val="16"/>
              </w:rPr>
            </w:pPr>
            <w:r>
              <w:rPr>
                <w:sz w:val="16"/>
                <w:szCs w:val="16"/>
              </w:rPr>
              <w:t>High</w:t>
            </w:r>
          </w:p>
        </w:tc>
        <w:tc>
          <w:tcPr>
            <w:tcW w:w="1980" w:type="dxa"/>
            <w:vAlign w:val="center"/>
          </w:tcPr>
          <w:p w:rsidR="00BF5391" w:rsidRPr="004E1532" w:rsidRDefault="00BF5391" w:rsidP="006D02AC">
            <w:pPr>
              <w:rPr>
                <w:sz w:val="16"/>
                <w:szCs w:val="16"/>
              </w:rPr>
            </w:pPr>
            <w:r w:rsidRPr="004E1532">
              <w:rPr>
                <w:sz w:val="16"/>
                <w:szCs w:val="16"/>
              </w:rPr>
              <w:t>Observer-</w:t>
            </w:r>
            <w:r>
              <w:rPr>
                <w:sz w:val="16"/>
                <w:szCs w:val="16"/>
              </w:rPr>
              <w:t>rated: NA</w:t>
            </w:r>
          </w:p>
          <w:p w:rsidR="00BF5391" w:rsidRPr="004E1532" w:rsidRDefault="00BF5391" w:rsidP="006D02AC">
            <w:pPr>
              <w:rPr>
                <w:sz w:val="16"/>
                <w:szCs w:val="16"/>
              </w:rPr>
            </w:pPr>
            <w:r w:rsidRPr="004E1532">
              <w:rPr>
                <w:sz w:val="16"/>
                <w:szCs w:val="16"/>
              </w:rPr>
              <w:t>Self-repo</w:t>
            </w:r>
            <w:r>
              <w:rPr>
                <w:sz w:val="16"/>
                <w:szCs w:val="16"/>
              </w:rPr>
              <w:t>rt: High</w:t>
            </w:r>
          </w:p>
          <w:p w:rsidR="00BF5391" w:rsidRPr="004E1532" w:rsidRDefault="00BF5391" w:rsidP="006D02AC">
            <w:pPr>
              <w:rPr>
                <w:sz w:val="16"/>
                <w:szCs w:val="16"/>
              </w:rPr>
            </w:pPr>
            <w:r>
              <w:rPr>
                <w:sz w:val="16"/>
                <w:szCs w:val="16"/>
              </w:rPr>
              <w:t>CHD</w:t>
            </w:r>
            <w:r w:rsidRPr="004E1532">
              <w:rPr>
                <w:sz w:val="16"/>
                <w:szCs w:val="16"/>
              </w:rPr>
              <w:t xml:space="preserve">: </w:t>
            </w:r>
            <w:r>
              <w:rPr>
                <w:sz w:val="16"/>
                <w:szCs w:val="16"/>
              </w:rPr>
              <w:t>Low</w:t>
            </w:r>
          </w:p>
        </w:tc>
        <w:tc>
          <w:tcPr>
            <w:tcW w:w="1710" w:type="dxa"/>
            <w:tcBorders>
              <w:right w:val="nil"/>
            </w:tcBorders>
            <w:vAlign w:val="center"/>
          </w:tcPr>
          <w:p w:rsidR="00BF5391" w:rsidRPr="004E1532" w:rsidRDefault="00BF5391" w:rsidP="006D02AC">
            <w:pPr>
              <w:rPr>
                <w:sz w:val="16"/>
                <w:szCs w:val="16"/>
              </w:rPr>
            </w:pPr>
            <w:r w:rsidRPr="004E1532">
              <w:rPr>
                <w:sz w:val="16"/>
                <w:szCs w:val="16"/>
              </w:rPr>
              <w:t>Observer-</w:t>
            </w:r>
            <w:r>
              <w:rPr>
                <w:sz w:val="16"/>
                <w:szCs w:val="16"/>
              </w:rPr>
              <w:t>rated: NA</w:t>
            </w:r>
          </w:p>
          <w:p w:rsidR="00BF5391" w:rsidRPr="004E1532" w:rsidRDefault="00BF5391" w:rsidP="006D02AC">
            <w:pPr>
              <w:rPr>
                <w:sz w:val="16"/>
                <w:szCs w:val="16"/>
              </w:rPr>
            </w:pPr>
            <w:r w:rsidRPr="004E1532">
              <w:rPr>
                <w:sz w:val="16"/>
                <w:szCs w:val="16"/>
              </w:rPr>
              <w:t>Self-repo</w:t>
            </w:r>
            <w:r>
              <w:rPr>
                <w:sz w:val="16"/>
                <w:szCs w:val="16"/>
              </w:rPr>
              <w:t>rt: High</w:t>
            </w:r>
          </w:p>
          <w:p w:rsidR="00BF5391" w:rsidRPr="004E1532" w:rsidRDefault="00BF5391" w:rsidP="006D02AC">
            <w:pPr>
              <w:rPr>
                <w:sz w:val="16"/>
                <w:szCs w:val="16"/>
              </w:rPr>
            </w:pPr>
            <w:r>
              <w:rPr>
                <w:sz w:val="16"/>
                <w:szCs w:val="16"/>
              </w:rPr>
              <w:t>CHD</w:t>
            </w:r>
            <w:r w:rsidRPr="004E1532">
              <w:rPr>
                <w:sz w:val="16"/>
                <w:szCs w:val="16"/>
              </w:rPr>
              <w:t xml:space="preserve">: </w:t>
            </w:r>
            <w:r>
              <w:rPr>
                <w:sz w:val="16"/>
                <w:szCs w:val="16"/>
              </w:rPr>
              <w:t>Low</w:t>
            </w:r>
          </w:p>
        </w:tc>
        <w:tc>
          <w:tcPr>
            <w:tcW w:w="1080" w:type="dxa"/>
            <w:tcBorders>
              <w:left w:val="nil"/>
            </w:tcBorders>
            <w:vAlign w:val="center"/>
          </w:tcPr>
          <w:p w:rsidR="00BF5391" w:rsidRPr="004E1532" w:rsidRDefault="00BF5391" w:rsidP="006D02AC">
            <w:pPr>
              <w:jc w:val="center"/>
              <w:rPr>
                <w:sz w:val="16"/>
                <w:szCs w:val="16"/>
              </w:rPr>
            </w:pPr>
            <w:r>
              <w:rPr>
                <w:sz w:val="16"/>
                <w:szCs w:val="16"/>
              </w:rPr>
              <w:t>Low</w:t>
            </w:r>
          </w:p>
        </w:tc>
        <w:tc>
          <w:tcPr>
            <w:tcW w:w="1260" w:type="dxa"/>
            <w:vAlign w:val="center"/>
          </w:tcPr>
          <w:p w:rsidR="00BF5391" w:rsidRPr="004E1532" w:rsidRDefault="00BF5391" w:rsidP="006D02AC">
            <w:pPr>
              <w:jc w:val="center"/>
              <w:rPr>
                <w:sz w:val="16"/>
                <w:szCs w:val="16"/>
              </w:rPr>
            </w:pPr>
            <w:r>
              <w:rPr>
                <w:sz w:val="16"/>
                <w:szCs w:val="16"/>
              </w:rPr>
              <w:t>Low</w:t>
            </w:r>
          </w:p>
        </w:tc>
        <w:tc>
          <w:tcPr>
            <w:tcW w:w="1530" w:type="dxa"/>
            <w:vAlign w:val="center"/>
          </w:tcPr>
          <w:p w:rsidR="00BF5391" w:rsidRPr="004E1532" w:rsidRDefault="00BF5391" w:rsidP="006D02AC">
            <w:pPr>
              <w:jc w:val="center"/>
              <w:rPr>
                <w:sz w:val="16"/>
                <w:szCs w:val="16"/>
              </w:rPr>
            </w:pPr>
            <w:r>
              <w:rPr>
                <w:sz w:val="16"/>
                <w:szCs w:val="16"/>
              </w:rPr>
              <w:t>Low</w:t>
            </w:r>
          </w:p>
        </w:tc>
        <w:tc>
          <w:tcPr>
            <w:tcW w:w="1260" w:type="dxa"/>
            <w:vAlign w:val="center"/>
          </w:tcPr>
          <w:p w:rsidR="00BF5391" w:rsidRPr="00280B51" w:rsidRDefault="00BF5391" w:rsidP="006D02AC">
            <w:pPr>
              <w:jc w:val="center"/>
              <w:rPr>
                <w:sz w:val="16"/>
                <w:szCs w:val="16"/>
              </w:rPr>
            </w:pPr>
            <w:r>
              <w:rPr>
                <w:sz w:val="16"/>
                <w:szCs w:val="16"/>
              </w:rPr>
              <w:t>High#</w:t>
            </w:r>
          </w:p>
        </w:tc>
      </w:tr>
      <w:tr w:rsidR="00BF5391" w:rsidRPr="004B6889" w:rsidTr="006D02AC">
        <w:tblPrEx>
          <w:tblCellMar>
            <w:top w:w="0" w:type="dxa"/>
            <w:bottom w:w="0" w:type="dxa"/>
          </w:tblCellMar>
        </w:tblPrEx>
        <w:trPr>
          <w:trHeight w:val="389"/>
        </w:trPr>
        <w:tc>
          <w:tcPr>
            <w:tcW w:w="1418" w:type="dxa"/>
          </w:tcPr>
          <w:p w:rsidR="00BF5391" w:rsidRPr="00E50BA4"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
              <w:rPr>
                <w:color w:val="000000"/>
                <w:sz w:val="16"/>
                <w:szCs w:val="20"/>
              </w:rPr>
            </w:pPr>
            <w:r>
              <w:rPr>
                <w:color w:val="000000"/>
                <w:sz w:val="16"/>
                <w:szCs w:val="20"/>
              </w:rPr>
              <w:t>SADHART</w:t>
            </w:r>
            <w:r w:rsidRPr="00E50BA4">
              <w:rPr>
                <w:color w:val="000000"/>
                <w:sz w:val="16"/>
                <w:szCs w:val="20"/>
              </w:rPr>
              <w:t xml:space="preserve">, 2002, United States, Canada, Europe, </w:t>
            </w:r>
            <w:r w:rsidRPr="00DA4BE3">
              <w:rPr>
                <w:color w:val="000000"/>
                <w:sz w:val="16"/>
                <w:szCs w:val="16"/>
              </w:rPr>
              <w:t>Australia</w:t>
            </w:r>
            <w:r>
              <w:rPr>
                <w:color w:val="000000"/>
                <w:sz w:val="16"/>
                <w:szCs w:val="16"/>
              </w:rPr>
              <w:t xml:space="preserve"> </w:t>
            </w:r>
            <w:r w:rsidRPr="00066A98">
              <w:rPr>
                <w:color w:val="000000"/>
                <w:sz w:val="16"/>
                <w:szCs w:val="16"/>
              </w:rPr>
              <w:t>[</w:t>
            </w:r>
            <w:r>
              <w:rPr>
                <w:color w:val="000000"/>
                <w:sz w:val="16"/>
                <w:szCs w:val="16"/>
              </w:rPr>
              <w:t>34]</w:t>
            </w:r>
          </w:p>
        </w:tc>
        <w:tc>
          <w:tcPr>
            <w:tcW w:w="963" w:type="dxa"/>
            <w:vAlign w:val="center"/>
          </w:tcPr>
          <w:p w:rsidR="00BF5391" w:rsidRPr="004E1532" w:rsidRDefault="00BF5391" w:rsidP="006D02AC">
            <w:pPr>
              <w:jc w:val="center"/>
              <w:rPr>
                <w:sz w:val="16"/>
                <w:szCs w:val="16"/>
              </w:rPr>
            </w:pPr>
            <w:r>
              <w:rPr>
                <w:sz w:val="16"/>
                <w:szCs w:val="16"/>
              </w:rPr>
              <w:t>Unclear</w:t>
            </w:r>
          </w:p>
        </w:tc>
        <w:tc>
          <w:tcPr>
            <w:tcW w:w="1080" w:type="dxa"/>
            <w:vAlign w:val="center"/>
          </w:tcPr>
          <w:p w:rsidR="00BF5391" w:rsidRPr="004E1532" w:rsidRDefault="00BF5391" w:rsidP="006D02AC">
            <w:pPr>
              <w:jc w:val="center"/>
              <w:rPr>
                <w:sz w:val="16"/>
                <w:szCs w:val="16"/>
              </w:rPr>
            </w:pPr>
            <w:r>
              <w:rPr>
                <w:sz w:val="16"/>
                <w:szCs w:val="16"/>
              </w:rPr>
              <w:t>Unclear</w:t>
            </w:r>
          </w:p>
        </w:tc>
        <w:tc>
          <w:tcPr>
            <w:tcW w:w="1170" w:type="dxa"/>
            <w:vAlign w:val="center"/>
          </w:tcPr>
          <w:p w:rsidR="00BF5391" w:rsidRPr="004E1532" w:rsidRDefault="00BF5391" w:rsidP="006D02AC">
            <w:pPr>
              <w:jc w:val="center"/>
              <w:rPr>
                <w:sz w:val="16"/>
                <w:szCs w:val="16"/>
              </w:rPr>
            </w:pPr>
            <w:r>
              <w:rPr>
                <w:sz w:val="16"/>
                <w:szCs w:val="16"/>
              </w:rPr>
              <w:t>Low</w:t>
            </w:r>
          </w:p>
        </w:tc>
        <w:tc>
          <w:tcPr>
            <w:tcW w:w="1980" w:type="dxa"/>
            <w:vAlign w:val="center"/>
          </w:tcPr>
          <w:p w:rsidR="00BF5391" w:rsidRPr="004E1532" w:rsidRDefault="00BF5391" w:rsidP="006D02AC">
            <w:pPr>
              <w:rPr>
                <w:sz w:val="16"/>
                <w:szCs w:val="16"/>
              </w:rPr>
            </w:pPr>
            <w:r w:rsidRPr="004E1532">
              <w:rPr>
                <w:sz w:val="16"/>
                <w:szCs w:val="16"/>
              </w:rPr>
              <w:t>Observer-</w:t>
            </w:r>
            <w:r>
              <w:rPr>
                <w:sz w:val="16"/>
                <w:szCs w:val="16"/>
              </w:rPr>
              <w:t>rated: Unclear</w:t>
            </w:r>
          </w:p>
          <w:p w:rsidR="00BF5391" w:rsidRPr="004E1532" w:rsidRDefault="00BF5391" w:rsidP="006D02AC">
            <w:pPr>
              <w:rPr>
                <w:sz w:val="16"/>
                <w:szCs w:val="16"/>
              </w:rPr>
            </w:pPr>
            <w:r w:rsidRPr="004E1532">
              <w:rPr>
                <w:sz w:val="16"/>
                <w:szCs w:val="16"/>
              </w:rPr>
              <w:t>Self-repo</w:t>
            </w:r>
            <w:r>
              <w:rPr>
                <w:sz w:val="16"/>
                <w:szCs w:val="16"/>
              </w:rPr>
              <w:t>rt: NA</w:t>
            </w:r>
          </w:p>
          <w:p w:rsidR="00BF5391" w:rsidRPr="004E1532" w:rsidRDefault="00BF5391" w:rsidP="006D02AC">
            <w:pPr>
              <w:rPr>
                <w:sz w:val="16"/>
                <w:szCs w:val="16"/>
              </w:rPr>
            </w:pPr>
            <w:r>
              <w:rPr>
                <w:sz w:val="16"/>
                <w:szCs w:val="16"/>
              </w:rPr>
              <w:t>CHD</w:t>
            </w:r>
            <w:r w:rsidRPr="004E1532">
              <w:rPr>
                <w:sz w:val="16"/>
                <w:szCs w:val="16"/>
              </w:rPr>
              <w:t xml:space="preserve">: </w:t>
            </w:r>
            <w:r>
              <w:rPr>
                <w:sz w:val="16"/>
                <w:szCs w:val="16"/>
              </w:rPr>
              <w:t>Low</w:t>
            </w:r>
          </w:p>
        </w:tc>
        <w:tc>
          <w:tcPr>
            <w:tcW w:w="1710" w:type="dxa"/>
            <w:tcBorders>
              <w:right w:val="nil"/>
            </w:tcBorders>
            <w:vAlign w:val="center"/>
          </w:tcPr>
          <w:p w:rsidR="00BF5391" w:rsidRPr="004E1532" w:rsidRDefault="00BF5391" w:rsidP="006D02AC">
            <w:pPr>
              <w:rPr>
                <w:sz w:val="16"/>
                <w:szCs w:val="16"/>
              </w:rPr>
            </w:pPr>
            <w:r w:rsidRPr="004E1532">
              <w:rPr>
                <w:sz w:val="16"/>
                <w:szCs w:val="16"/>
              </w:rPr>
              <w:t>Observer-</w:t>
            </w:r>
            <w:r>
              <w:rPr>
                <w:sz w:val="16"/>
                <w:szCs w:val="16"/>
              </w:rPr>
              <w:t>rated: Low</w:t>
            </w:r>
          </w:p>
          <w:p w:rsidR="00BF5391" w:rsidRPr="004E1532" w:rsidRDefault="00BF5391" w:rsidP="006D02AC">
            <w:pPr>
              <w:rPr>
                <w:sz w:val="16"/>
                <w:szCs w:val="16"/>
              </w:rPr>
            </w:pPr>
            <w:r w:rsidRPr="004E1532">
              <w:rPr>
                <w:sz w:val="16"/>
                <w:szCs w:val="16"/>
              </w:rPr>
              <w:t>Self-repo</w:t>
            </w:r>
            <w:r>
              <w:rPr>
                <w:sz w:val="16"/>
                <w:szCs w:val="16"/>
              </w:rPr>
              <w:t>rt: Low</w:t>
            </w:r>
          </w:p>
          <w:p w:rsidR="00BF5391" w:rsidRPr="004E1532" w:rsidRDefault="00BF5391" w:rsidP="006D02AC">
            <w:pPr>
              <w:rPr>
                <w:sz w:val="16"/>
                <w:szCs w:val="16"/>
              </w:rPr>
            </w:pPr>
            <w:r>
              <w:rPr>
                <w:sz w:val="16"/>
                <w:szCs w:val="16"/>
              </w:rPr>
              <w:t>CHD</w:t>
            </w:r>
            <w:r w:rsidRPr="004E1532">
              <w:rPr>
                <w:sz w:val="16"/>
                <w:szCs w:val="16"/>
              </w:rPr>
              <w:t xml:space="preserve">: </w:t>
            </w:r>
            <w:r>
              <w:rPr>
                <w:sz w:val="16"/>
                <w:szCs w:val="16"/>
              </w:rPr>
              <w:t>Low</w:t>
            </w:r>
          </w:p>
        </w:tc>
        <w:tc>
          <w:tcPr>
            <w:tcW w:w="1080" w:type="dxa"/>
            <w:tcBorders>
              <w:left w:val="nil"/>
            </w:tcBorders>
            <w:vAlign w:val="center"/>
          </w:tcPr>
          <w:p w:rsidR="00BF5391" w:rsidRPr="004E1532" w:rsidRDefault="00BF5391" w:rsidP="006D02AC">
            <w:pPr>
              <w:jc w:val="center"/>
              <w:rPr>
                <w:sz w:val="16"/>
                <w:szCs w:val="16"/>
              </w:rPr>
            </w:pPr>
            <w:r>
              <w:rPr>
                <w:sz w:val="16"/>
                <w:szCs w:val="16"/>
              </w:rPr>
              <w:t>Unclear</w:t>
            </w:r>
          </w:p>
        </w:tc>
        <w:tc>
          <w:tcPr>
            <w:tcW w:w="1260" w:type="dxa"/>
            <w:vAlign w:val="center"/>
          </w:tcPr>
          <w:p w:rsidR="00BF5391" w:rsidRPr="004E1532" w:rsidRDefault="00BF5391" w:rsidP="006D02AC">
            <w:pPr>
              <w:jc w:val="center"/>
              <w:rPr>
                <w:sz w:val="16"/>
                <w:szCs w:val="16"/>
              </w:rPr>
            </w:pPr>
            <w:r>
              <w:rPr>
                <w:sz w:val="16"/>
                <w:szCs w:val="16"/>
              </w:rPr>
              <w:t>High</w:t>
            </w:r>
          </w:p>
        </w:tc>
        <w:tc>
          <w:tcPr>
            <w:tcW w:w="1530" w:type="dxa"/>
            <w:vAlign w:val="center"/>
          </w:tcPr>
          <w:p w:rsidR="00BF5391" w:rsidRPr="004E1532" w:rsidRDefault="00BF5391" w:rsidP="006D02AC">
            <w:pPr>
              <w:jc w:val="center"/>
              <w:rPr>
                <w:sz w:val="16"/>
                <w:szCs w:val="16"/>
              </w:rPr>
            </w:pPr>
            <w:r>
              <w:rPr>
                <w:sz w:val="16"/>
                <w:szCs w:val="16"/>
              </w:rPr>
              <w:t>High</w:t>
            </w:r>
          </w:p>
        </w:tc>
        <w:tc>
          <w:tcPr>
            <w:tcW w:w="1260" w:type="dxa"/>
            <w:vAlign w:val="center"/>
          </w:tcPr>
          <w:p w:rsidR="00BF5391" w:rsidRPr="004E1532" w:rsidRDefault="00BF5391" w:rsidP="006D02AC">
            <w:pPr>
              <w:jc w:val="center"/>
              <w:rPr>
                <w:sz w:val="16"/>
                <w:szCs w:val="16"/>
              </w:rPr>
            </w:pPr>
            <w:r>
              <w:rPr>
                <w:sz w:val="16"/>
                <w:szCs w:val="16"/>
              </w:rPr>
              <w:t>Low</w:t>
            </w:r>
          </w:p>
        </w:tc>
      </w:tr>
      <w:tr w:rsidR="00BF5391" w:rsidRPr="004B6889" w:rsidTr="006D02AC">
        <w:tblPrEx>
          <w:tblCellMar>
            <w:top w:w="0" w:type="dxa"/>
            <w:bottom w:w="0" w:type="dxa"/>
          </w:tblCellMar>
        </w:tblPrEx>
        <w:trPr>
          <w:trHeight w:val="389"/>
        </w:trPr>
        <w:tc>
          <w:tcPr>
            <w:tcW w:w="1418" w:type="dxa"/>
          </w:tcPr>
          <w:p w:rsidR="00BF5391" w:rsidRPr="00E50BA4"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
              <w:rPr>
                <w:color w:val="000000"/>
                <w:sz w:val="16"/>
                <w:szCs w:val="20"/>
                <w:lang w:val="da-DK"/>
              </w:rPr>
            </w:pPr>
            <w:r>
              <w:rPr>
                <w:color w:val="000000"/>
                <w:sz w:val="16"/>
                <w:szCs w:val="20"/>
                <w:lang w:val="da-DK"/>
              </w:rPr>
              <w:t xml:space="preserve">SADHART-CHF, 2010, United States </w:t>
            </w:r>
            <w:r w:rsidRPr="00066A98">
              <w:rPr>
                <w:color w:val="000000"/>
                <w:sz w:val="16"/>
                <w:szCs w:val="20"/>
                <w:lang w:val="da-DK"/>
              </w:rPr>
              <w:t>[</w:t>
            </w:r>
            <w:r>
              <w:rPr>
                <w:color w:val="000000"/>
                <w:sz w:val="16"/>
                <w:szCs w:val="20"/>
                <w:lang w:val="da-DK"/>
              </w:rPr>
              <w:t>29]</w:t>
            </w:r>
          </w:p>
        </w:tc>
        <w:tc>
          <w:tcPr>
            <w:tcW w:w="963" w:type="dxa"/>
            <w:vAlign w:val="center"/>
          </w:tcPr>
          <w:p w:rsidR="00BF5391" w:rsidRPr="004E1532" w:rsidRDefault="00BF5391" w:rsidP="006D02AC">
            <w:pPr>
              <w:jc w:val="center"/>
              <w:rPr>
                <w:sz w:val="16"/>
                <w:szCs w:val="16"/>
              </w:rPr>
            </w:pPr>
            <w:r>
              <w:rPr>
                <w:sz w:val="16"/>
                <w:szCs w:val="16"/>
              </w:rPr>
              <w:t>Low</w:t>
            </w:r>
          </w:p>
        </w:tc>
        <w:tc>
          <w:tcPr>
            <w:tcW w:w="1080" w:type="dxa"/>
            <w:vAlign w:val="center"/>
          </w:tcPr>
          <w:p w:rsidR="00BF5391" w:rsidRPr="004E1532" w:rsidRDefault="00BF5391" w:rsidP="006D02AC">
            <w:pPr>
              <w:jc w:val="center"/>
              <w:rPr>
                <w:sz w:val="16"/>
                <w:szCs w:val="16"/>
              </w:rPr>
            </w:pPr>
            <w:r>
              <w:rPr>
                <w:sz w:val="16"/>
                <w:szCs w:val="16"/>
              </w:rPr>
              <w:t>Low</w:t>
            </w:r>
          </w:p>
        </w:tc>
        <w:tc>
          <w:tcPr>
            <w:tcW w:w="1170" w:type="dxa"/>
            <w:vAlign w:val="center"/>
          </w:tcPr>
          <w:p w:rsidR="00BF5391" w:rsidRPr="004E1532" w:rsidRDefault="00BF5391" w:rsidP="006D02AC">
            <w:pPr>
              <w:jc w:val="center"/>
              <w:rPr>
                <w:sz w:val="16"/>
                <w:szCs w:val="16"/>
              </w:rPr>
            </w:pPr>
            <w:r>
              <w:rPr>
                <w:sz w:val="16"/>
                <w:szCs w:val="16"/>
              </w:rPr>
              <w:t>Low</w:t>
            </w:r>
          </w:p>
        </w:tc>
        <w:tc>
          <w:tcPr>
            <w:tcW w:w="1980" w:type="dxa"/>
            <w:vAlign w:val="center"/>
          </w:tcPr>
          <w:p w:rsidR="00BF5391" w:rsidRPr="004E1532" w:rsidRDefault="00BF5391" w:rsidP="006D02AC">
            <w:pPr>
              <w:rPr>
                <w:sz w:val="16"/>
                <w:szCs w:val="16"/>
              </w:rPr>
            </w:pPr>
            <w:r w:rsidRPr="004E1532">
              <w:rPr>
                <w:sz w:val="16"/>
                <w:szCs w:val="16"/>
              </w:rPr>
              <w:t>Observer-</w:t>
            </w:r>
            <w:r>
              <w:rPr>
                <w:sz w:val="16"/>
                <w:szCs w:val="16"/>
              </w:rPr>
              <w:t>rated: Unclear</w:t>
            </w:r>
          </w:p>
          <w:p w:rsidR="00BF5391" w:rsidRPr="004E1532" w:rsidRDefault="00BF5391" w:rsidP="006D02AC">
            <w:pPr>
              <w:rPr>
                <w:sz w:val="16"/>
                <w:szCs w:val="16"/>
              </w:rPr>
            </w:pPr>
            <w:r w:rsidRPr="004E1532">
              <w:rPr>
                <w:sz w:val="16"/>
                <w:szCs w:val="16"/>
              </w:rPr>
              <w:t>Self-repo</w:t>
            </w:r>
            <w:r>
              <w:rPr>
                <w:sz w:val="16"/>
                <w:szCs w:val="16"/>
              </w:rPr>
              <w:t>rt: NA</w:t>
            </w:r>
          </w:p>
          <w:p w:rsidR="00BF5391" w:rsidRPr="004E1532" w:rsidRDefault="00BF5391" w:rsidP="006D02AC">
            <w:pPr>
              <w:rPr>
                <w:sz w:val="16"/>
                <w:szCs w:val="16"/>
              </w:rPr>
            </w:pPr>
            <w:r>
              <w:rPr>
                <w:sz w:val="16"/>
                <w:szCs w:val="16"/>
              </w:rPr>
              <w:t>CHD</w:t>
            </w:r>
            <w:r w:rsidRPr="004E1532">
              <w:rPr>
                <w:sz w:val="16"/>
                <w:szCs w:val="16"/>
              </w:rPr>
              <w:t xml:space="preserve">: </w:t>
            </w:r>
            <w:r>
              <w:rPr>
                <w:sz w:val="16"/>
                <w:szCs w:val="16"/>
              </w:rPr>
              <w:t>Low</w:t>
            </w:r>
          </w:p>
        </w:tc>
        <w:tc>
          <w:tcPr>
            <w:tcW w:w="1710" w:type="dxa"/>
            <w:tcBorders>
              <w:right w:val="nil"/>
            </w:tcBorders>
            <w:vAlign w:val="center"/>
          </w:tcPr>
          <w:p w:rsidR="00BF5391" w:rsidRPr="004E1532" w:rsidRDefault="00BF5391" w:rsidP="006D02AC">
            <w:pPr>
              <w:rPr>
                <w:sz w:val="16"/>
                <w:szCs w:val="16"/>
              </w:rPr>
            </w:pPr>
            <w:r w:rsidRPr="004E1532">
              <w:rPr>
                <w:sz w:val="16"/>
                <w:szCs w:val="16"/>
              </w:rPr>
              <w:t>Observer-</w:t>
            </w:r>
            <w:r>
              <w:rPr>
                <w:sz w:val="16"/>
                <w:szCs w:val="16"/>
              </w:rPr>
              <w:t>rated: Low</w:t>
            </w:r>
          </w:p>
          <w:p w:rsidR="00BF5391" w:rsidRPr="004E1532" w:rsidRDefault="00BF5391" w:rsidP="006D02AC">
            <w:pPr>
              <w:rPr>
                <w:sz w:val="16"/>
                <w:szCs w:val="16"/>
              </w:rPr>
            </w:pPr>
            <w:r w:rsidRPr="004E1532">
              <w:rPr>
                <w:sz w:val="16"/>
                <w:szCs w:val="16"/>
              </w:rPr>
              <w:t>Self-repo</w:t>
            </w:r>
            <w:r>
              <w:rPr>
                <w:sz w:val="16"/>
                <w:szCs w:val="16"/>
              </w:rPr>
              <w:t>rt: NA</w:t>
            </w:r>
          </w:p>
          <w:p w:rsidR="00BF5391" w:rsidRPr="004E1532" w:rsidRDefault="00BF5391" w:rsidP="006D02AC">
            <w:pPr>
              <w:rPr>
                <w:sz w:val="16"/>
                <w:szCs w:val="16"/>
              </w:rPr>
            </w:pPr>
            <w:r>
              <w:rPr>
                <w:sz w:val="16"/>
                <w:szCs w:val="16"/>
              </w:rPr>
              <w:t>CHD</w:t>
            </w:r>
            <w:r w:rsidRPr="004E1532">
              <w:rPr>
                <w:sz w:val="16"/>
                <w:szCs w:val="16"/>
              </w:rPr>
              <w:t xml:space="preserve">: </w:t>
            </w:r>
            <w:r>
              <w:rPr>
                <w:sz w:val="16"/>
                <w:szCs w:val="16"/>
              </w:rPr>
              <w:t>Low</w:t>
            </w:r>
          </w:p>
        </w:tc>
        <w:tc>
          <w:tcPr>
            <w:tcW w:w="1080" w:type="dxa"/>
            <w:tcBorders>
              <w:left w:val="nil"/>
            </w:tcBorders>
            <w:vAlign w:val="center"/>
          </w:tcPr>
          <w:p w:rsidR="00BF5391" w:rsidRPr="004E1532" w:rsidRDefault="00BF5391" w:rsidP="006D02AC">
            <w:pPr>
              <w:jc w:val="center"/>
              <w:rPr>
                <w:sz w:val="16"/>
                <w:szCs w:val="16"/>
              </w:rPr>
            </w:pPr>
            <w:r>
              <w:rPr>
                <w:sz w:val="16"/>
                <w:szCs w:val="16"/>
              </w:rPr>
              <w:t>Low</w:t>
            </w:r>
          </w:p>
        </w:tc>
        <w:tc>
          <w:tcPr>
            <w:tcW w:w="1260" w:type="dxa"/>
            <w:vAlign w:val="center"/>
          </w:tcPr>
          <w:p w:rsidR="00BF5391" w:rsidRPr="004E1532" w:rsidRDefault="00BF5391" w:rsidP="006D02AC">
            <w:pPr>
              <w:jc w:val="center"/>
              <w:rPr>
                <w:sz w:val="16"/>
                <w:szCs w:val="16"/>
              </w:rPr>
            </w:pPr>
            <w:r>
              <w:rPr>
                <w:sz w:val="16"/>
                <w:szCs w:val="16"/>
              </w:rPr>
              <w:t>Low</w:t>
            </w:r>
          </w:p>
        </w:tc>
        <w:tc>
          <w:tcPr>
            <w:tcW w:w="1530" w:type="dxa"/>
            <w:vAlign w:val="center"/>
          </w:tcPr>
          <w:p w:rsidR="00BF5391" w:rsidRPr="004E1532" w:rsidRDefault="00BF5391" w:rsidP="006D02AC">
            <w:pPr>
              <w:jc w:val="center"/>
              <w:rPr>
                <w:sz w:val="16"/>
                <w:szCs w:val="16"/>
              </w:rPr>
            </w:pPr>
            <w:r>
              <w:rPr>
                <w:sz w:val="16"/>
                <w:szCs w:val="16"/>
              </w:rPr>
              <w:t>Low</w:t>
            </w:r>
          </w:p>
        </w:tc>
        <w:tc>
          <w:tcPr>
            <w:tcW w:w="1260" w:type="dxa"/>
            <w:vAlign w:val="center"/>
          </w:tcPr>
          <w:p w:rsidR="00BF5391" w:rsidRPr="004E1532" w:rsidRDefault="00BF5391" w:rsidP="006D02AC">
            <w:pPr>
              <w:jc w:val="center"/>
              <w:rPr>
                <w:sz w:val="16"/>
                <w:szCs w:val="16"/>
              </w:rPr>
            </w:pPr>
            <w:r>
              <w:rPr>
                <w:sz w:val="16"/>
                <w:szCs w:val="16"/>
              </w:rPr>
              <w:t>Low</w:t>
            </w:r>
          </w:p>
        </w:tc>
      </w:tr>
      <w:tr w:rsidR="00BF5391" w:rsidRPr="004B6889" w:rsidTr="006D02AC">
        <w:tblPrEx>
          <w:tblCellMar>
            <w:top w:w="0" w:type="dxa"/>
            <w:bottom w:w="0" w:type="dxa"/>
          </w:tblCellMar>
        </w:tblPrEx>
        <w:trPr>
          <w:trHeight w:val="389"/>
        </w:trPr>
        <w:tc>
          <w:tcPr>
            <w:tcW w:w="1418" w:type="dxa"/>
          </w:tcPr>
          <w:p w:rsidR="00BF5391" w:rsidRPr="004B6889" w:rsidRDefault="00BF5391" w:rsidP="006D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rPr>
                <w:sz w:val="18"/>
              </w:rPr>
            </w:pPr>
            <w:r w:rsidRPr="00E50BA4">
              <w:rPr>
                <w:color w:val="000000"/>
                <w:sz w:val="16"/>
                <w:szCs w:val="20"/>
              </w:rPr>
              <w:t>Strik, 2000, Netherlands</w:t>
            </w:r>
            <w:r>
              <w:rPr>
                <w:color w:val="000000"/>
                <w:sz w:val="16"/>
                <w:szCs w:val="20"/>
              </w:rPr>
              <w:t xml:space="preserve"> </w:t>
            </w:r>
            <w:r w:rsidRPr="00066A98">
              <w:rPr>
                <w:color w:val="000000"/>
                <w:sz w:val="16"/>
                <w:szCs w:val="20"/>
              </w:rPr>
              <w:t>[</w:t>
            </w:r>
            <w:r>
              <w:rPr>
                <w:color w:val="000000"/>
                <w:sz w:val="16"/>
                <w:szCs w:val="20"/>
              </w:rPr>
              <w:t>35]</w:t>
            </w:r>
          </w:p>
        </w:tc>
        <w:tc>
          <w:tcPr>
            <w:tcW w:w="963" w:type="dxa"/>
            <w:vAlign w:val="center"/>
          </w:tcPr>
          <w:p w:rsidR="00BF5391" w:rsidRPr="004E1532" w:rsidRDefault="00BF5391" w:rsidP="006D02AC">
            <w:pPr>
              <w:jc w:val="center"/>
              <w:rPr>
                <w:sz w:val="16"/>
                <w:szCs w:val="16"/>
              </w:rPr>
            </w:pPr>
            <w:r w:rsidRPr="004E1532">
              <w:rPr>
                <w:sz w:val="16"/>
                <w:szCs w:val="16"/>
              </w:rPr>
              <w:t>Unclear</w:t>
            </w:r>
          </w:p>
        </w:tc>
        <w:tc>
          <w:tcPr>
            <w:tcW w:w="1080" w:type="dxa"/>
            <w:vAlign w:val="center"/>
          </w:tcPr>
          <w:p w:rsidR="00BF5391" w:rsidRPr="004E1532" w:rsidRDefault="00BF5391" w:rsidP="006D02AC">
            <w:pPr>
              <w:jc w:val="center"/>
              <w:rPr>
                <w:sz w:val="16"/>
                <w:szCs w:val="16"/>
              </w:rPr>
            </w:pPr>
            <w:r w:rsidRPr="004E1532">
              <w:rPr>
                <w:sz w:val="16"/>
                <w:szCs w:val="16"/>
              </w:rPr>
              <w:t>Unclear</w:t>
            </w:r>
          </w:p>
        </w:tc>
        <w:tc>
          <w:tcPr>
            <w:tcW w:w="1170" w:type="dxa"/>
            <w:vAlign w:val="center"/>
          </w:tcPr>
          <w:p w:rsidR="00BF5391" w:rsidRPr="004E1532" w:rsidRDefault="00BF5391" w:rsidP="006D02AC">
            <w:pPr>
              <w:jc w:val="center"/>
              <w:rPr>
                <w:sz w:val="16"/>
                <w:szCs w:val="16"/>
              </w:rPr>
            </w:pPr>
            <w:r w:rsidRPr="004E1532">
              <w:rPr>
                <w:sz w:val="16"/>
                <w:szCs w:val="16"/>
              </w:rPr>
              <w:t>Low</w:t>
            </w:r>
          </w:p>
        </w:tc>
        <w:tc>
          <w:tcPr>
            <w:tcW w:w="1980" w:type="dxa"/>
            <w:vAlign w:val="center"/>
          </w:tcPr>
          <w:p w:rsidR="00BF5391" w:rsidRPr="004E1532" w:rsidRDefault="00BF5391" w:rsidP="006D02AC">
            <w:pPr>
              <w:rPr>
                <w:sz w:val="16"/>
                <w:szCs w:val="16"/>
              </w:rPr>
            </w:pPr>
            <w:r w:rsidRPr="004E1532">
              <w:rPr>
                <w:sz w:val="16"/>
                <w:szCs w:val="16"/>
              </w:rPr>
              <w:t>Observer-rated: Unclear</w:t>
            </w:r>
          </w:p>
          <w:p w:rsidR="00BF5391" w:rsidRPr="004E1532" w:rsidRDefault="00BF5391" w:rsidP="006D02AC">
            <w:pPr>
              <w:rPr>
                <w:sz w:val="16"/>
                <w:szCs w:val="16"/>
              </w:rPr>
            </w:pPr>
            <w:r w:rsidRPr="004E1532">
              <w:rPr>
                <w:sz w:val="16"/>
                <w:szCs w:val="16"/>
              </w:rPr>
              <w:t>Self-report: NA</w:t>
            </w:r>
          </w:p>
          <w:p w:rsidR="00BF5391" w:rsidRPr="004E1532" w:rsidRDefault="00BF5391" w:rsidP="006D02AC">
            <w:pPr>
              <w:rPr>
                <w:sz w:val="16"/>
                <w:szCs w:val="16"/>
              </w:rPr>
            </w:pPr>
            <w:r>
              <w:rPr>
                <w:sz w:val="16"/>
                <w:szCs w:val="16"/>
              </w:rPr>
              <w:t>CHD</w:t>
            </w:r>
            <w:r w:rsidRPr="004E1532">
              <w:rPr>
                <w:sz w:val="16"/>
                <w:szCs w:val="16"/>
              </w:rPr>
              <w:t>: Unclear</w:t>
            </w:r>
          </w:p>
        </w:tc>
        <w:tc>
          <w:tcPr>
            <w:tcW w:w="1710" w:type="dxa"/>
            <w:tcBorders>
              <w:right w:val="nil"/>
            </w:tcBorders>
            <w:vAlign w:val="center"/>
          </w:tcPr>
          <w:p w:rsidR="00BF5391" w:rsidRPr="004E1532" w:rsidRDefault="00BF5391" w:rsidP="006D02AC">
            <w:pPr>
              <w:rPr>
                <w:sz w:val="16"/>
                <w:szCs w:val="16"/>
              </w:rPr>
            </w:pPr>
            <w:r w:rsidRPr="004E1532">
              <w:rPr>
                <w:sz w:val="16"/>
                <w:szCs w:val="16"/>
              </w:rPr>
              <w:t xml:space="preserve">Observer-rated: </w:t>
            </w:r>
            <w:r>
              <w:rPr>
                <w:sz w:val="16"/>
                <w:szCs w:val="16"/>
              </w:rPr>
              <w:t>Low</w:t>
            </w:r>
          </w:p>
          <w:p w:rsidR="00BF5391" w:rsidRPr="004E1532" w:rsidRDefault="00BF5391" w:rsidP="006D02AC">
            <w:pPr>
              <w:rPr>
                <w:sz w:val="16"/>
                <w:szCs w:val="16"/>
              </w:rPr>
            </w:pPr>
            <w:r w:rsidRPr="004E1532">
              <w:rPr>
                <w:sz w:val="16"/>
                <w:szCs w:val="16"/>
              </w:rPr>
              <w:t>Self-report: NA</w:t>
            </w:r>
          </w:p>
          <w:p w:rsidR="00BF5391" w:rsidRPr="004E1532" w:rsidRDefault="00BF5391" w:rsidP="006D02AC">
            <w:pPr>
              <w:rPr>
                <w:sz w:val="16"/>
                <w:szCs w:val="16"/>
              </w:rPr>
            </w:pPr>
            <w:r>
              <w:rPr>
                <w:sz w:val="16"/>
                <w:szCs w:val="16"/>
              </w:rPr>
              <w:t>CHD</w:t>
            </w:r>
            <w:r w:rsidRPr="004E1532">
              <w:rPr>
                <w:sz w:val="16"/>
                <w:szCs w:val="16"/>
              </w:rPr>
              <w:t xml:space="preserve">: </w:t>
            </w:r>
            <w:r>
              <w:rPr>
                <w:sz w:val="16"/>
                <w:szCs w:val="16"/>
              </w:rPr>
              <w:t>Low</w:t>
            </w:r>
          </w:p>
        </w:tc>
        <w:tc>
          <w:tcPr>
            <w:tcW w:w="1080" w:type="dxa"/>
            <w:tcBorders>
              <w:left w:val="nil"/>
            </w:tcBorders>
            <w:vAlign w:val="center"/>
          </w:tcPr>
          <w:p w:rsidR="00BF5391" w:rsidRPr="004E1532" w:rsidRDefault="00BF5391" w:rsidP="006D02AC">
            <w:pPr>
              <w:jc w:val="center"/>
              <w:rPr>
                <w:sz w:val="16"/>
                <w:szCs w:val="16"/>
              </w:rPr>
            </w:pPr>
            <w:r>
              <w:rPr>
                <w:sz w:val="16"/>
                <w:szCs w:val="16"/>
              </w:rPr>
              <w:t>Unclear</w:t>
            </w:r>
          </w:p>
        </w:tc>
        <w:tc>
          <w:tcPr>
            <w:tcW w:w="1260" w:type="dxa"/>
            <w:vAlign w:val="center"/>
          </w:tcPr>
          <w:p w:rsidR="00BF5391" w:rsidRPr="004E1532" w:rsidRDefault="00BF5391" w:rsidP="006D02AC">
            <w:pPr>
              <w:jc w:val="center"/>
              <w:rPr>
                <w:sz w:val="16"/>
                <w:szCs w:val="16"/>
              </w:rPr>
            </w:pPr>
            <w:r>
              <w:rPr>
                <w:sz w:val="16"/>
                <w:szCs w:val="16"/>
              </w:rPr>
              <w:t>High</w:t>
            </w:r>
          </w:p>
        </w:tc>
        <w:tc>
          <w:tcPr>
            <w:tcW w:w="1530" w:type="dxa"/>
            <w:vAlign w:val="center"/>
          </w:tcPr>
          <w:p w:rsidR="00BF5391" w:rsidRPr="004E1532" w:rsidRDefault="00BF5391" w:rsidP="006D02AC">
            <w:pPr>
              <w:jc w:val="center"/>
              <w:rPr>
                <w:sz w:val="16"/>
                <w:szCs w:val="16"/>
              </w:rPr>
            </w:pPr>
            <w:r>
              <w:rPr>
                <w:sz w:val="16"/>
                <w:szCs w:val="16"/>
              </w:rPr>
              <w:t>High</w:t>
            </w:r>
          </w:p>
        </w:tc>
        <w:tc>
          <w:tcPr>
            <w:tcW w:w="1260" w:type="dxa"/>
            <w:vAlign w:val="center"/>
          </w:tcPr>
          <w:p w:rsidR="00BF5391" w:rsidRPr="004E1532" w:rsidRDefault="00BF5391" w:rsidP="006D02AC">
            <w:pPr>
              <w:jc w:val="center"/>
              <w:rPr>
                <w:sz w:val="16"/>
                <w:szCs w:val="16"/>
              </w:rPr>
            </w:pPr>
            <w:r>
              <w:rPr>
                <w:sz w:val="16"/>
                <w:szCs w:val="16"/>
              </w:rPr>
              <w:t>Low</w:t>
            </w:r>
          </w:p>
        </w:tc>
      </w:tr>
    </w:tbl>
    <w:p w:rsidR="00BF5391" w:rsidRPr="00280B51" w:rsidRDefault="00BF5391" w:rsidP="00BF5391">
      <w:pPr>
        <w:ind w:left="-851" w:right="874"/>
        <w:rPr>
          <w:rFonts w:eastAsia="SimSun"/>
          <w:bCs/>
          <w:sz w:val="20"/>
          <w:lang w:eastAsia="zh-CN"/>
        </w:rPr>
      </w:pPr>
      <w:r>
        <w:rPr>
          <w:rFonts w:eastAsia="SimSun"/>
          <w:bCs/>
          <w:sz w:val="22"/>
          <w:szCs w:val="22"/>
          <w:lang w:eastAsia="zh-CN"/>
        </w:rPr>
        <w:t>*</w:t>
      </w:r>
      <w:r w:rsidRPr="003C0AC4">
        <w:rPr>
          <w:rFonts w:eastAsia="SimSun"/>
          <w:bCs/>
          <w:sz w:val="22"/>
          <w:szCs w:val="22"/>
          <w:lang w:eastAsia="zh-CN"/>
        </w:rPr>
        <w:t xml:space="preserve"> See Appendix </w:t>
      </w:r>
      <w:r>
        <w:rPr>
          <w:rFonts w:eastAsia="SimSun"/>
          <w:bCs/>
          <w:sz w:val="22"/>
          <w:szCs w:val="22"/>
          <w:lang w:eastAsia="zh-CN"/>
        </w:rPr>
        <w:t>6</w:t>
      </w:r>
      <w:r w:rsidRPr="003C0AC4">
        <w:rPr>
          <w:rFonts w:eastAsia="SimSun"/>
          <w:bCs/>
          <w:sz w:val="22"/>
          <w:szCs w:val="22"/>
          <w:lang w:eastAsia="zh-CN"/>
        </w:rPr>
        <w:t xml:space="preserve"> for domain descriptions. Domains are scored as ‘high’, ‘low’, or ‘uncertain’ risk of bias. Risk of bias ratings were based only on published information. Coding notes are available from the corresponding author. </w:t>
      </w:r>
      <w:r>
        <w:rPr>
          <w:rFonts w:eastAsia="SimSun"/>
          <w:bCs/>
          <w:sz w:val="22"/>
          <w:szCs w:val="22"/>
          <w:lang w:eastAsia="zh-CN"/>
        </w:rPr>
        <w:t xml:space="preserve">† </w:t>
      </w:r>
      <w:r w:rsidRPr="003C0AC4">
        <w:rPr>
          <w:rFonts w:eastAsia="SimSun"/>
          <w:bCs/>
          <w:sz w:val="22"/>
          <w:szCs w:val="22"/>
          <w:lang w:eastAsia="zh-CN"/>
        </w:rPr>
        <w:t xml:space="preserve">Ratings are provided for observer-rated depression scales, </w:t>
      </w:r>
      <w:r w:rsidRPr="003C0AC4">
        <w:rPr>
          <w:rFonts w:eastAsia="SimSun"/>
          <w:bCs/>
          <w:sz w:val="22"/>
          <w:szCs w:val="22"/>
          <w:lang w:eastAsia="zh-CN"/>
        </w:rPr>
        <w:lastRenderedPageBreak/>
        <w:t xml:space="preserve">self-report depression questionnaires, and cardiovascular outcomes. </w:t>
      </w:r>
      <w:r>
        <w:rPr>
          <w:rFonts w:eastAsia="SimSun"/>
          <w:bCs/>
          <w:sz w:val="22"/>
          <w:szCs w:val="22"/>
          <w:lang w:eastAsia="zh-CN"/>
        </w:rPr>
        <w:t xml:space="preserve">‡ </w:t>
      </w:r>
      <w:r w:rsidRPr="003C0AC4">
        <w:rPr>
          <w:rFonts w:eastAsia="SimSun"/>
          <w:bCs/>
          <w:sz w:val="22"/>
          <w:szCs w:val="22"/>
          <w:lang w:eastAsia="zh-CN"/>
        </w:rPr>
        <w:t xml:space="preserve">Additional domain added to standard Cochrane Risk of Bias tool. </w:t>
      </w:r>
      <w:r w:rsidRPr="00DC4C77">
        <w:rPr>
          <w:sz w:val="22"/>
          <w:szCs w:val="22"/>
        </w:rPr>
        <w:t>§</w:t>
      </w:r>
      <w:r w:rsidRPr="003C0AC4">
        <w:rPr>
          <w:rFonts w:eastAsia="SimSun"/>
          <w:bCs/>
          <w:sz w:val="22"/>
          <w:szCs w:val="22"/>
          <w:vertAlign w:val="superscript"/>
          <w:lang w:eastAsia="zh-CN"/>
        </w:rPr>
        <w:t xml:space="preserve"> </w:t>
      </w:r>
      <w:r w:rsidRPr="003C0AC4">
        <w:rPr>
          <w:rFonts w:eastAsia="SimSun"/>
          <w:bCs/>
          <w:sz w:val="22"/>
          <w:szCs w:val="22"/>
          <w:lang w:eastAsia="zh-CN"/>
        </w:rPr>
        <w:t xml:space="preserve">Trial halted after an unplanned interim analysis of a small number of patients (total N = 37) showed a high placebo response. It is possible that early stopping could have actually reduced the effect that would have been found, although it is unknown whether or not this is case. </w:t>
      </w:r>
      <w:r>
        <w:rPr>
          <w:rFonts w:eastAsia="SimSun"/>
          <w:bCs/>
          <w:sz w:val="20"/>
          <w:lang w:eastAsia="zh-CN"/>
        </w:rPr>
        <w:t xml:space="preserve">|| </w:t>
      </w:r>
      <w:r w:rsidRPr="001A2F88">
        <w:rPr>
          <w:sz w:val="22"/>
          <w:szCs w:val="20"/>
        </w:rPr>
        <w:t>The</w:t>
      </w:r>
      <w:r>
        <w:rPr>
          <w:sz w:val="22"/>
          <w:szCs w:val="20"/>
        </w:rPr>
        <w:t xml:space="preserve"> Honig, </w:t>
      </w:r>
      <w:r w:rsidRPr="0022620C">
        <w:rPr>
          <w:sz w:val="22"/>
          <w:szCs w:val="22"/>
        </w:rPr>
        <w:t>2007</w:t>
      </w:r>
      <w:r>
        <w:rPr>
          <w:sz w:val="22"/>
          <w:szCs w:val="22"/>
        </w:rPr>
        <w:t xml:space="preserve"> </w:t>
      </w:r>
      <w:r w:rsidRPr="004F53A4">
        <w:rPr>
          <w:sz w:val="22"/>
          <w:szCs w:val="22"/>
        </w:rPr>
        <w:t>[</w:t>
      </w:r>
      <w:r>
        <w:rPr>
          <w:sz w:val="22"/>
          <w:szCs w:val="22"/>
        </w:rPr>
        <w:t>32]</w:t>
      </w:r>
      <w:r>
        <w:rPr>
          <w:sz w:val="22"/>
          <w:szCs w:val="20"/>
        </w:rPr>
        <w:t xml:space="preserve"> study was an RCT nested within the MIND-IT </w:t>
      </w:r>
      <w:r w:rsidRPr="0022620C">
        <w:rPr>
          <w:sz w:val="22"/>
          <w:szCs w:val="22"/>
        </w:rPr>
        <w:t>study</w:t>
      </w:r>
      <w:r>
        <w:rPr>
          <w:sz w:val="22"/>
          <w:szCs w:val="22"/>
        </w:rPr>
        <w:t xml:space="preserve"> </w:t>
      </w:r>
      <w:r w:rsidRPr="004F53A4">
        <w:rPr>
          <w:sz w:val="22"/>
          <w:szCs w:val="22"/>
        </w:rPr>
        <w:t>[</w:t>
      </w:r>
      <w:r>
        <w:rPr>
          <w:sz w:val="22"/>
          <w:szCs w:val="22"/>
        </w:rPr>
        <w:t>33]</w:t>
      </w:r>
      <w:r>
        <w:rPr>
          <w:color w:val="000000"/>
          <w:sz w:val="22"/>
          <w:szCs w:val="22"/>
          <w:lang w:val="da-DK"/>
        </w:rPr>
        <w:t xml:space="preserve">. ¶ Author-industry financial ties were not reported. The authors of the MIND-IT trial </w:t>
      </w:r>
      <w:r w:rsidRPr="004F53A4">
        <w:rPr>
          <w:color w:val="000000"/>
          <w:sz w:val="22"/>
          <w:szCs w:val="22"/>
          <w:lang w:val="da-DK"/>
        </w:rPr>
        <w:t>[</w:t>
      </w:r>
      <w:r>
        <w:rPr>
          <w:color w:val="000000"/>
          <w:sz w:val="22"/>
          <w:szCs w:val="22"/>
          <w:lang w:val="da-DK"/>
        </w:rPr>
        <w:t xml:space="preserve">33], of which the Honig, 2007 study </w:t>
      </w:r>
      <w:r w:rsidRPr="004F53A4">
        <w:rPr>
          <w:color w:val="000000"/>
          <w:sz w:val="22"/>
          <w:szCs w:val="22"/>
          <w:lang w:val="da-DK"/>
        </w:rPr>
        <w:t>[</w:t>
      </w:r>
      <w:r>
        <w:rPr>
          <w:color w:val="000000"/>
          <w:sz w:val="22"/>
          <w:szCs w:val="22"/>
          <w:lang w:val="da-DK"/>
        </w:rPr>
        <w:t>32]</w:t>
      </w:r>
      <w:r>
        <w:rPr>
          <w:color w:val="000000"/>
          <w:sz w:val="22"/>
          <w:szCs w:val="22"/>
        </w:rPr>
        <w:t xml:space="preserve"> was a nested RCT, declared no conflicts of interest.</w:t>
      </w:r>
      <w:r>
        <w:rPr>
          <w:sz w:val="22"/>
          <w:szCs w:val="20"/>
        </w:rPr>
        <w:t xml:space="preserve"> However, of the 12 authors of </w:t>
      </w:r>
      <w:r>
        <w:rPr>
          <w:color w:val="000000"/>
          <w:sz w:val="22"/>
          <w:szCs w:val="22"/>
          <w:lang w:val="da-DK"/>
        </w:rPr>
        <w:t xml:space="preserve">the Honig, 2007 study </w:t>
      </w:r>
      <w:r w:rsidRPr="004F53A4">
        <w:rPr>
          <w:color w:val="000000"/>
          <w:sz w:val="22"/>
          <w:szCs w:val="22"/>
          <w:lang w:val="da-DK"/>
        </w:rPr>
        <w:t>[</w:t>
      </w:r>
      <w:r>
        <w:rPr>
          <w:color w:val="000000"/>
          <w:sz w:val="22"/>
          <w:szCs w:val="22"/>
          <w:lang w:val="da-DK"/>
        </w:rPr>
        <w:t xml:space="preserve">32] only 9 were authors of the published MIND-IT report </w:t>
      </w:r>
      <w:r w:rsidRPr="004F53A4">
        <w:rPr>
          <w:color w:val="000000"/>
          <w:sz w:val="22"/>
          <w:szCs w:val="22"/>
          <w:lang w:val="da-DK"/>
        </w:rPr>
        <w:t>[</w:t>
      </w:r>
      <w:r>
        <w:rPr>
          <w:color w:val="000000"/>
          <w:sz w:val="22"/>
          <w:szCs w:val="22"/>
          <w:lang w:val="da-DK"/>
        </w:rPr>
        <w:t>33].</w:t>
      </w:r>
      <w:r w:rsidRPr="00C9748D">
        <w:rPr>
          <w:color w:val="000000"/>
          <w:sz w:val="22"/>
          <w:szCs w:val="22"/>
          <w:lang w:val="da-DK"/>
        </w:rPr>
        <w:t xml:space="preserve"> </w:t>
      </w:r>
      <w:r>
        <w:rPr>
          <w:rFonts w:eastAsia="SimSun"/>
          <w:bCs/>
          <w:sz w:val="22"/>
          <w:szCs w:val="22"/>
          <w:lang w:eastAsia="zh-CN"/>
        </w:rPr>
        <w:t xml:space="preserve"># </w:t>
      </w:r>
      <w:r w:rsidRPr="004C6C1C">
        <w:rPr>
          <w:rFonts w:eastAsia="SimSun"/>
          <w:bCs/>
          <w:sz w:val="22"/>
          <w:szCs w:val="22"/>
          <w:lang w:eastAsia="zh-CN"/>
        </w:rPr>
        <w:t xml:space="preserve">Reported depression outcomes were assessed at 18 months post-myocardial infarction (0-9 months after completion of treatment), and breakdown of timing of assessment was not reported. </w:t>
      </w:r>
    </w:p>
    <w:p w:rsidR="00BF5391" w:rsidRDefault="00BF5391" w:rsidP="00BF5391">
      <w:pPr>
        <w:ind w:left="-851" w:right="874"/>
        <w:rPr>
          <w:rFonts w:eastAsia="SimSun"/>
          <w:bCs/>
          <w:sz w:val="20"/>
          <w:lang w:eastAsia="zh-CN"/>
        </w:rPr>
      </w:pPr>
    </w:p>
    <w:p w:rsidR="00231DB5" w:rsidRDefault="00BF5391" w:rsidP="00BF5391">
      <w:pPr>
        <w:ind w:left="-851" w:right="814"/>
      </w:pPr>
      <w:r>
        <w:rPr>
          <w:sz w:val="22"/>
          <w:szCs w:val="20"/>
        </w:rPr>
        <w:t xml:space="preserve">CHD = coronary heart disease; CREATE = Canadian Cardiac Randomized Evaluation of Antidepressant and Psychotherapy Efficacy trial; ENRICHD = Enhancing Recovery in Coronary Heart Disease Patients; MIND-IT = Myocardial Infarction and Depression-Intervention trial; </w:t>
      </w:r>
      <w:r w:rsidRPr="00E50BA4">
        <w:rPr>
          <w:sz w:val="22"/>
          <w:szCs w:val="20"/>
        </w:rPr>
        <w:t xml:space="preserve">NA = not applicable; </w:t>
      </w:r>
      <w:r>
        <w:rPr>
          <w:sz w:val="22"/>
          <w:szCs w:val="20"/>
        </w:rPr>
        <w:t>SADHART = Sertraline Antidepressant Heart Attack Randomized trial; SADHART-CHF = Sertraline Against Depression and Heart Disease in Chronic Heart Failure</w:t>
      </w:r>
      <w:bookmarkStart w:id="0" w:name="_GoBack"/>
      <w:bookmarkEnd w:id="0"/>
    </w:p>
    <w:sectPr w:rsidR="00231DB5" w:rsidSect="00BF5391">
      <w:pgSz w:w="15840" w:h="12240" w:orient="landscape"/>
      <w:pgMar w:top="1800" w:right="1440" w:bottom="1800" w:left="1440" w:header="708" w:footer="708" w:gutter="0"/>
      <w:cols w:space="708"/>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91"/>
    <w:rsid w:val="00231DB5"/>
    <w:rsid w:val="00BF53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EC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3152</Characters>
  <Application>Microsoft Macintosh Word</Application>
  <DocSecurity>0</DocSecurity>
  <Lines>26</Lines>
  <Paragraphs>7</Paragraphs>
  <ScaleCrop>false</ScaleCrop>
  <Company>McGill University</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Thombs</dc:creator>
  <cp:keywords/>
  <dc:description/>
  <cp:lastModifiedBy>Brett Thombs</cp:lastModifiedBy>
  <cp:revision>1</cp:revision>
  <dcterms:created xsi:type="dcterms:W3CDTF">2012-11-28T21:24:00Z</dcterms:created>
  <dcterms:modified xsi:type="dcterms:W3CDTF">2012-11-28T21:25:00Z</dcterms:modified>
</cp:coreProperties>
</file>