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DD" w:rsidRPr="00397BD8" w:rsidRDefault="00025ADD" w:rsidP="00025ADD">
      <w:pPr>
        <w:spacing w:line="480" w:lineRule="auto"/>
      </w:pPr>
      <w:proofErr w:type="gramStart"/>
      <w:r>
        <w:t>Table S5a</w:t>
      </w:r>
      <w:r w:rsidRPr="00397BD8">
        <w:t>.</w:t>
      </w:r>
      <w:proofErr w:type="gramEnd"/>
      <w:r w:rsidRPr="00397BD8">
        <w:t xml:space="preserve">  </w:t>
      </w:r>
      <w:r w:rsidRPr="002B1554">
        <w:t xml:space="preserve">Summary of data for </w:t>
      </w:r>
      <w:proofErr w:type="spellStart"/>
      <w:r w:rsidRPr="002B1554">
        <w:t>proinflammatory</w:t>
      </w:r>
      <w:proofErr w:type="spellEnd"/>
      <w:r w:rsidRPr="002B1554">
        <w:t xml:space="preserve"> and </w:t>
      </w:r>
      <w:proofErr w:type="spellStart"/>
      <w:r w:rsidRPr="002B1554">
        <w:t>profibrotic</w:t>
      </w:r>
      <w:proofErr w:type="spellEnd"/>
      <w:r w:rsidRPr="002B1554">
        <w:t xml:space="preserve"> parameters in muscle and mucosa from fibrotic </w:t>
      </w:r>
      <w:proofErr w:type="spellStart"/>
      <w:r w:rsidRPr="002B1554">
        <w:t>Crohn’s</w:t>
      </w:r>
      <w:proofErr w:type="spellEnd"/>
      <w:r w:rsidRPr="002B1554">
        <w:t xml:space="preserve"> disease intestine compared to expression of these parameters in muscle and mucosa in controls</w:t>
      </w:r>
      <w:r w:rsidRPr="00397BD8">
        <w:t xml:space="preserve"> </w:t>
      </w:r>
    </w:p>
    <w:tbl>
      <w:tblPr>
        <w:tblW w:w="4813" w:type="pct"/>
        <w:tblLook w:val="0000"/>
      </w:tblPr>
      <w:tblGrid>
        <w:gridCol w:w="2234"/>
        <w:gridCol w:w="1594"/>
        <w:gridCol w:w="1167"/>
        <w:gridCol w:w="358"/>
        <w:gridCol w:w="372"/>
        <w:gridCol w:w="1187"/>
        <w:gridCol w:w="1984"/>
      </w:tblGrid>
      <w:tr w:rsidR="00025ADD" w:rsidRPr="006F4084" w:rsidTr="00150CD1">
        <w:trPr>
          <w:trHeight w:val="360"/>
        </w:trPr>
        <w:tc>
          <w:tcPr>
            <w:tcW w:w="1256" w:type="pct"/>
            <w:shd w:val="clear" w:color="auto" w:fill="auto"/>
          </w:tcPr>
          <w:p w:rsidR="00025ADD" w:rsidRPr="006F4084" w:rsidRDefault="00025ADD" w:rsidP="00150CD1">
            <w:pPr>
              <w:spacing w:line="480" w:lineRule="auto"/>
              <w:ind w:right="34"/>
              <w:rPr>
                <w:lang w:val="en-US"/>
              </w:rPr>
            </w:pPr>
          </w:p>
        </w:tc>
        <w:tc>
          <w:tcPr>
            <w:tcW w:w="1962" w:type="pct"/>
            <w:gridSpan w:val="4"/>
            <w:shd w:val="clear" w:color="auto" w:fill="auto"/>
          </w:tcPr>
          <w:p w:rsidR="00025ADD" w:rsidRPr="006F4084" w:rsidRDefault="00025ADD" w:rsidP="00150CD1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Comparison to uninvolved CD</w:t>
            </w:r>
          </w:p>
        </w:tc>
        <w:tc>
          <w:tcPr>
            <w:tcW w:w="1783" w:type="pct"/>
            <w:gridSpan w:val="2"/>
            <w:shd w:val="clear" w:color="auto" w:fill="auto"/>
          </w:tcPr>
          <w:p w:rsidR="00025ADD" w:rsidRPr="006F4084" w:rsidRDefault="00025ADD" w:rsidP="00150CD1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Comparison to cancer margins</w:t>
            </w:r>
          </w:p>
        </w:tc>
      </w:tr>
      <w:tr w:rsidR="00025ADD" w:rsidRPr="006F4084" w:rsidTr="00150CD1">
        <w:trPr>
          <w:trHeight w:val="360"/>
        </w:trPr>
        <w:tc>
          <w:tcPr>
            <w:tcW w:w="1256" w:type="pct"/>
            <w:shd w:val="clear" w:color="auto" w:fill="auto"/>
          </w:tcPr>
          <w:p w:rsidR="00025ADD" w:rsidRPr="006F4084" w:rsidRDefault="00025ADD" w:rsidP="00150CD1">
            <w:pPr>
              <w:spacing w:line="480" w:lineRule="auto"/>
              <w:ind w:right="34"/>
              <w:rPr>
                <w:lang w:val="en-US"/>
              </w:rPr>
            </w:pPr>
            <w:r w:rsidRPr="006F4084">
              <w:rPr>
                <w:lang w:val="en-US"/>
              </w:rPr>
              <w:t>Parameter</w:t>
            </w:r>
          </w:p>
        </w:tc>
        <w:tc>
          <w:tcPr>
            <w:tcW w:w="896" w:type="pct"/>
            <w:shd w:val="clear" w:color="auto" w:fill="auto"/>
          </w:tcPr>
          <w:p w:rsidR="00025ADD" w:rsidRPr="006F4084" w:rsidRDefault="00025ADD" w:rsidP="00150CD1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Mucosa</w:t>
            </w:r>
          </w:p>
        </w:tc>
        <w:tc>
          <w:tcPr>
            <w:tcW w:w="656" w:type="pct"/>
            <w:shd w:val="clear" w:color="auto" w:fill="auto"/>
          </w:tcPr>
          <w:p w:rsidR="00025ADD" w:rsidRPr="006F4084" w:rsidRDefault="00025ADD" w:rsidP="00150CD1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Muscle</w:t>
            </w:r>
          </w:p>
        </w:tc>
        <w:tc>
          <w:tcPr>
            <w:tcW w:w="201" w:type="pct"/>
            <w:shd w:val="clear" w:color="auto" w:fill="auto"/>
          </w:tcPr>
          <w:p w:rsidR="00025ADD" w:rsidRPr="006F4084" w:rsidRDefault="00025ADD" w:rsidP="00150CD1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876" w:type="pct"/>
            <w:gridSpan w:val="2"/>
            <w:shd w:val="clear" w:color="auto" w:fill="auto"/>
          </w:tcPr>
          <w:p w:rsidR="00025ADD" w:rsidRPr="006F4084" w:rsidRDefault="00025ADD" w:rsidP="00150CD1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Mucosa</w:t>
            </w:r>
          </w:p>
        </w:tc>
        <w:tc>
          <w:tcPr>
            <w:tcW w:w="1115" w:type="pct"/>
          </w:tcPr>
          <w:p w:rsidR="00025ADD" w:rsidRPr="006F4084" w:rsidRDefault="00025ADD" w:rsidP="00150CD1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Muscle</w:t>
            </w:r>
          </w:p>
        </w:tc>
      </w:tr>
      <w:tr w:rsidR="00025ADD" w:rsidRPr="006F4084" w:rsidTr="00150CD1">
        <w:trPr>
          <w:trHeight w:val="360"/>
        </w:trPr>
        <w:tc>
          <w:tcPr>
            <w:tcW w:w="1256" w:type="pct"/>
            <w:shd w:val="clear" w:color="auto" w:fill="auto"/>
          </w:tcPr>
          <w:p w:rsidR="00025ADD" w:rsidRPr="006F4084" w:rsidRDefault="00025ADD" w:rsidP="00150CD1">
            <w:pPr>
              <w:spacing w:line="480" w:lineRule="auto"/>
              <w:ind w:left="170" w:right="34" w:hanging="170"/>
              <w:rPr>
                <w:lang w:val="en-US"/>
              </w:rPr>
            </w:pPr>
            <w:r w:rsidRPr="006F4084">
              <w:rPr>
                <w:lang w:val="en-US"/>
              </w:rPr>
              <w:t>Collagen synthesis</w:t>
            </w:r>
          </w:p>
        </w:tc>
        <w:tc>
          <w:tcPr>
            <w:tcW w:w="896" w:type="pct"/>
            <w:shd w:val="clear" w:color="auto" w:fill="auto"/>
          </w:tcPr>
          <w:p w:rsidR="00025ADD" w:rsidRPr="00193335" w:rsidRDefault="00025ADD" w:rsidP="00150CD1">
            <w:pPr>
              <w:spacing w:line="480" w:lineRule="auto"/>
              <w:jc w:val="center"/>
              <w:rPr>
                <w:lang w:val="en-US"/>
              </w:rPr>
            </w:pPr>
            <w:r w:rsidRPr="00193335">
              <w:rPr>
                <w:lang w:val="en-US"/>
              </w:rPr>
              <w:t>↑**</w:t>
            </w:r>
          </w:p>
        </w:tc>
        <w:tc>
          <w:tcPr>
            <w:tcW w:w="656" w:type="pct"/>
            <w:shd w:val="clear" w:color="auto" w:fill="auto"/>
          </w:tcPr>
          <w:p w:rsidR="00025ADD" w:rsidRPr="006F4084" w:rsidRDefault="00025ADD" w:rsidP="00150CD1">
            <w:pPr>
              <w:spacing w:line="480" w:lineRule="auto"/>
              <w:jc w:val="center"/>
              <w:rPr>
                <w:lang w:val="en-US"/>
              </w:rPr>
            </w:pPr>
            <w:r w:rsidRPr="006F4084">
              <w:rPr>
                <w:lang w:val="en-US"/>
              </w:rPr>
              <w:t>↑**</w:t>
            </w:r>
          </w:p>
        </w:tc>
        <w:tc>
          <w:tcPr>
            <w:tcW w:w="1077" w:type="pct"/>
            <w:gridSpan w:val="3"/>
            <w:shd w:val="clear" w:color="auto" w:fill="auto"/>
          </w:tcPr>
          <w:p w:rsidR="00025ADD" w:rsidRPr="006F4084" w:rsidRDefault="00025ADD" w:rsidP="00150CD1">
            <w:pPr>
              <w:spacing w:line="480" w:lineRule="auto"/>
              <w:jc w:val="center"/>
              <w:rPr>
                <w:lang w:val="en-US"/>
              </w:rPr>
            </w:pPr>
            <w:r w:rsidRPr="006F4084">
              <w:rPr>
                <w:lang w:val="en-US"/>
              </w:rPr>
              <w:t>↑**</w:t>
            </w:r>
          </w:p>
        </w:tc>
        <w:tc>
          <w:tcPr>
            <w:tcW w:w="1115" w:type="pct"/>
            <w:shd w:val="clear" w:color="auto" w:fill="auto"/>
          </w:tcPr>
          <w:p w:rsidR="00025ADD" w:rsidRPr="006F4084" w:rsidRDefault="00025ADD" w:rsidP="00150CD1">
            <w:pPr>
              <w:spacing w:line="480" w:lineRule="auto"/>
              <w:jc w:val="center"/>
              <w:rPr>
                <w:lang w:val="en-US"/>
              </w:rPr>
            </w:pPr>
            <w:r w:rsidRPr="006F4084">
              <w:rPr>
                <w:lang w:val="en-US"/>
              </w:rPr>
              <w:t>↑**</w:t>
            </w:r>
          </w:p>
        </w:tc>
      </w:tr>
      <w:tr w:rsidR="00025ADD" w:rsidRPr="006F4084" w:rsidTr="00150CD1">
        <w:trPr>
          <w:trHeight w:val="360"/>
        </w:trPr>
        <w:tc>
          <w:tcPr>
            <w:tcW w:w="1256" w:type="pct"/>
            <w:shd w:val="clear" w:color="auto" w:fill="auto"/>
          </w:tcPr>
          <w:p w:rsidR="00025ADD" w:rsidRPr="006F4084" w:rsidRDefault="00025ADD" w:rsidP="00150CD1">
            <w:pPr>
              <w:spacing w:line="480" w:lineRule="auto"/>
              <w:ind w:right="34"/>
              <w:rPr>
                <w:lang w:val="en-US"/>
              </w:rPr>
            </w:pPr>
            <w:r w:rsidRPr="006F4084">
              <w:rPr>
                <w:lang w:val="en-US"/>
              </w:rPr>
              <w:t xml:space="preserve">MMP-2 </w:t>
            </w:r>
            <w:r>
              <w:rPr>
                <w:lang w:val="en-US"/>
              </w:rPr>
              <w:t>(</w:t>
            </w:r>
            <w:r w:rsidRPr="006F4084">
              <w:rPr>
                <w:lang w:val="en-US"/>
              </w:rPr>
              <w:t>pro</w:t>
            </w:r>
            <w:r>
              <w:rPr>
                <w:lang w:val="en-US"/>
              </w:rPr>
              <w:t>)</w:t>
            </w:r>
          </w:p>
        </w:tc>
        <w:tc>
          <w:tcPr>
            <w:tcW w:w="896" w:type="pct"/>
            <w:shd w:val="clear" w:color="auto" w:fill="auto"/>
          </w:tcPr>
          <w:p w:rsidR="00025ADD" w:rsidRPr="00193335" w:rsidRDefault="00025ADD" w:rsidP="00150CD1">
            <w:pPr>
              <w:spacing w:line="480" w:lineRule="auto"/>
              <w:jc w:val="center"/>
              <w:rPr>
                <w:lang w:val="en-US"/>
              </w:rPr>
            </w:pPr>
            <w:r w:rsidRPr="00193335">
              <w:rPr>
                <w:lang w:val="en-US"/>
              </w:rPr>
              <w:t>↑**</w:t>
            </w:r>
          </w:p>
        </w:tc>
        <w:tc>
          <w:tcPr>
            <w:tcW w:w="656" w:type="pct"/>
            <w:shd w:val="clear" w:color="auto" w:fill="auto"/>
          </w:tcPr>
          <w:p w:rsidR="00025ADD" w:rsidRPr="006F4084" w:rsidRDefault="00025ADD" w:rsidP="00150CD1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0.67</w:t>
            </w:r>
          </w:p>
        </w:tc>
        <w:tc>
          <w:tcPr>
            <w:tcW w:w="1077" w:type="pct"/>
            <w:gridSpan w:val="3"/>
            <w:shd w:val="clear" w:color="auto" w:fill="auto"/>
          </w:tcPr>
          <w:p w:rsidR="00025ADD" w:rsidRPr="006F4084" w:rsidRDefault="00025ADD" w:rsidP="00150CD1">
            <w:pPr>
              <w:spacing w:line="480" w:lineRule="auto"/>
              <w:jc w:val="center"/>
              <w:rPr>
                <w:lang w:val="en-US"/>
              </w:rPr>
            </w:pPr>
            <w:r w:rsidRPr="006F4084">
              <w:rPr>
                <w:lang w:val="en-US"/>
              </w:rPr>
              <w:t>↑**</w:t>
            </w:r>
          </w:p>
        </w:tc>
        <w:tc>
          <w:tcPr>
            <w:tcW w:w="1115" w:type="pct"/>
            <w:shd w:val="clear" w:color="auto" w:fill="auto"/>
          </w:tcPr>
          <w:p w:rsidR="00025ADD" w:rsidRPr="006F4084" w:rsidRDefault="00025ADD" w:rsidP="00150CD1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0.68</w:t>
            </w:r>
          </w:p>
        </w:tc>
      </w:tr>
      <w:tr w:rsidR="00025ADD" w:rsidRPr="006F4084" w:rsidTr="00150CD1">
        <w:trPr>
          <w:trHeight w:val="360"/>
        </w:trPr>
        <w:tc>
          <w:tcPr>
            <w:tcW w:w="1256" w:type="pct"/>
            <w:shd w:val="clear" w:color="auto" w:fill="auto"/>
          </w:tcPr>
          <w:p w:rsidR="00025ADD" w:rsidRPr="006F4084" w:rsidRDefault="00025ADD" w:rsidP="00150CD1">
            <w:pPr>
              <w:spacing w:line="480" w:lineRule="auto"/>
              <w:ind w:right="34"/>
              <w:rPr>
                <w:lang w:val="en-US"/>
              </w:rPr>
            </w:pPr>
            <w:r w:rsidRPr="006F4084">
              <w:rPr>
                <w:lang w:val="en-US"/>
              </w:rPr>
              <w:t xml:space="preserve">MMP-9 </w:t>
            </w:r>
            <w:r>
              <w:rPr>
                <w:lang w:val="en-US"/>
              </w:rPr>
              <w:t>(</w:t>
            </w:r>
            <w:r w:rsidRPr="006F4084">
              <w:rPr>
                <w:lang w:val="en-US"/>
              </w:rPr>
              <w:t>pro</w:t>
            </w:r>
            <w:r>
              <w:rPr>
                <w:lang w:val="en-US"/>
              </w:rPr>
              <w:t>)</w:t>
            </w:r>
          </w:p>
        </w:tc>
        <w:tc>
          <w:tcPr>
            <w:tcW w:w="896" w:type="pct"/>
            <w:shd w:val="clear" w:color="auto" w:fill="auto"/>
          </w:tcPr>
          <w:p w:rsidR="00025ADD" w:rsidRPr="006F4084" w:rsidRDefault="00025ADD" w:rsidP="00150CD1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0.64</w:t>
            </w:r>
          </w:p>
        </w:tc>
        <w:tc>
          <w:tcPr>
            <w:tcW w:w="656" w:type="pct"/>
            <w:shd w:val="clear" w:color="auto" w:fill="auto"/>
          </w:tcPr>
          <w:p w:rsidR="00025ADD" w:rsidRPr="006F4084" w:rsidRDefault="00025ADD" w:rsidP="00150CD1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0.33</w:t>
            </w:r>
          </w:p>
        </w:tc>
        <w:tc>
          <w:tcPr>
            <w:tcW w:w="1077" w:type="pct"/>
            <w:gridSpan w:val="3"/>
            <w:shd w:val="clear" w:color="auto" w:fill="auto"/>
          </w:tcPr>
          <w:p w:rsidR="00025ADD" w:rsidRPr="006F4084" w:rsidRDefault="00025ADD" w:rsidP="00150CD1">
            <w:pPr>
              <w:spacing w:line="480" w:lineRule="auto"/>
              <w:jc w:val="center"/>
              <w:rPr>
                <w:lang w:val="en-US"/>
              </w:rPr>
            </w:pPr>
            <w:r w:rsidRPr="006F4084">
              <w:rPr>
                <w:lang w:val="en-US"/>
              </w:rPr>
              <w:t>↑</w:t>
            </w:r>
            <w:r>
              <w:rPr>
                <w:lang w:val="en-US"/>
              </w:rPr>
              <w:t>0.13</w:t>
            </w:r>
          </w:p>
        </w:tc>
        <w:tc>
          <w:tcPr>
            <w:tcW w:w="1115" w:type="pct"/>
            <w:shd w:val="clear" w:color="auto" w:fill="auto"/>
          </w:tcPr>
          <w:p w:rsidR="00025ADD" w:rsidRPr="006F4084" w:rsidRDefault="00025ADD" w:rsidP="00150CD1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0.32</w:t>
            </w:r>
          </w:p>
        </w:tc>
      </w:tr>
      <w:tr w:rsidR="00025ADD" w:rsidRPr="006F4084" w:rsidTr="00150CD1">
        <w:trPr>
          <w:trHeight w:val="360"/>
        </w:trPr>
        <w:tc>
          <w:tcPr>
            <w:tcW w:w="1256" w:type="pct"/>
            <w:shd w:val="clear" w:color="auto" w:fill="auto"/>
          </w:tcPr>
          <w:p w:rsidR="00025ADD" w:rsidRPr="006F4084" w:rsidRDefault="00025ADD" w:rsidP="00150CD1">
            <w:pPr>
              <w:spacing w:line="480" w:lineRule="auto"/>
              <w:ind w:right="34"/>
              <w:rPr>
                <w:lang w:val="en-US"/>
              </w:rPr>
            </w:pPr>
            <w:r w:rsidRPr="006F4084">
              <w:rPr>
                <w:lang w:val="en-US"/>
              </w:rPr>
              <w:t xml:space="preserve">MMP-1 </w:t>
            </w:r>
            <w:r>
              <w:rPr>
                <w:lang w:val="en-US"/>
              </w:rPr>
              <w:t>(</w:t>
            </w:r>
            <w:r w:rsidRPr="006F4084">
              <w:rPr>
                <w:lang w:val="en-US"/>
              </w:rPr>
              <w:t>pro</w:t>
            </w:r>
            <w:r>
              <w:rPr>
                <w:lang w:val="en-US"/>
              </w:rPr>
              <w:t>)</w:t>
            </w:r>
          </w:p>
        </w:tc>
        <w:tc>
          <w:tcPr>
            <w:tcW w:w="896" w:type="pct"/>
            <w:shd w:val="clear" w:color="auto" w:fill="auto"/>
          </w:tcPr>
          <w:p w:rsidR="00025ADD" w:rsidRPr="006F4084" w:rsidRDefault="00025ADD" w:rsidP="00150CD1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0.66</w:t>
            </w:r>
          </w:p>
        </w:tc>
        <w:tc>
          <w:tcPr>
            <w:tcW w:w="656" w:type="pct"/>
            <w:shd w:val="clear" w:color="auto" w:fill="auto"/>
          </w:tcPr>
          <w:p w:rsidR="00025ADD" w:rsidRPr="006F4084" w:rsidRDefault="00025ADD" w:rsidP="00150CD1">
            <w:pPr>
              <w:spacing w:line="480" w:lineRule="auto"/>
              <w:jc w:val="center"/>
              <w:rPr>
                <w:lang w:val="en-US"/>
              </w:rPr>
            </w:pPr>
            <w:r w:rsidRPr="006F4084">
              <w:rPr>
                <w:lang w:val="en-US"/>
              </w:rPr>
              <w:t>0.</w:t>
            </w:r>
            <w:r>
              <w:rPr>
                <w:lang w:val="en-US"/>
              </w:rPr>
              <w:t>54</w:t>
            </w:r>
          </w:p>
        </w:tc>
        <w:tc>
          <w:tcPr>
            <w:tcW w:w="1077" w:type="pct"/>
            <w:gridSpan w:val="3"/>
            <w:shd w:val="clear" w:color="auto" w:fill="auto"/>
          </w:tcPr>
          <w:p w:rsidR="00025ADD" w:rsidRPr="006F4084" w:rsidRDefault="00025ADD" w:rsidP="00150CD1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0.64</w:t>
            </w:r>
          </w:p>
        </w:tc>
        <w:tc>
          <w:tcPr>
            <w:tcW w:w="1115" w:type="pct"/>
            <w:shd w:val="clear" w:color="auto" w:fill="auto"/>
          </w:tcPr>
          <w:p w:rsidR="00025ADD" w:rsidRPr="006F4084" w:rsidRDefault="00025ADD" w:rsidP="00150CD1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0.33</w:t>
            </w:r>
          </w:p>
        </w:tc>
      </w:tr>
      <w:tr w:rsidR="00025ADD" w:rsidRPr="006F4084" w:rsidTr="00150CD1">
        <w:trPr>
          <w:trHeight w:val="360"/>
        </w:trPr>
        <w:tc>
          <w:tcPr>
            <w:tcW w:w="1256" w:type="pct"/>
            <w:shd w:val="clear" w:color="auto" w:fill="auto"/>
          </w:tcPr>
          <w:p w:rsidR="00025ADD" w:rsidRPr="006F4084" w:rsidRDefault="00025ADD" w:rsidP="00150CD1">
            <w:pPr>
              <w:spacing w:line="480" w:lineRule="auto"/>
              <w:ind w:right="34"/>
              <w:rPr>
                <w:lang w:val="en-US"/>
              </w:rPr>
            </w:pPr>
            <w:r>
              <w:rPr>
                <w:lang w:val="en-US"/>
              </w:rPr>
              <w:t>TIMP-1</w:t>
            </w:r>
          </w:p>
        </w:tc>
        <w:tc>
          <w:tcPr>
            <w:tcW w:w="896" w:type="pct"/>
            <w:shd w:val="clear" w:color="auto" w:fill="auto"/>
          </w:tcPr>
          <w:p w:rsidR="00025ADD" w:rsidRPr="006F4084" w:rsidRDefault="00025ADD" w:rsidP="00150CD1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↑*</w:t>
            </w:r>
          </w:p>
        </w:tc>
        <w:tc>
          <w:tcPr>
            <w:tcW w:w="656" w:type="pct"/>
            <w:shd w:val="clear" w:color="auto" w:fill="auto"/>
          </w:tcPr>
          <w:p w:rsidR="00025ADD" w:rsidRPr="006F4084" w:rsidRDefault="00025ADD" w:rsidP="00150CD1">
            <w:pPr>
              <w:spacing w:line="480" w:lineRule="auto"/>
              <w:jc w:val="center"/>
              <w:rPr>
                <w:lang w:val="en-US"/>
              </w:rPr>
            </w:pPr>
            <w:r w:rsidRPr="006F4084">
              <w:rPr>
                <w:lang w:val="en-US"/>
              </w:rPr>
              <w:t>↑**</w:t>
            </w:r>
          </w:p>
        </w:tc>
        <w:tc>
          <w:tcPr>
            <w:tcW w:w="1077" w:type="pct"/>
            <w:gridSpan w:val="3"/>
            <w:shd w:val="clear" w:color="auto" w:fill="auto"/>
          </w:tcPr>
          <w:p w:rsidR="00025ADD" w:rsidRPr="006F4084" w:rsidRDefault="00025ADD" w:rsidP="00150CD1">
            <w:pPr>
              <w:spacing w:line="480" w:lineRule="auto"/>
              <w:jc w:val="center"/>
              <w:rPr>
                <w:lang w:val="en-US"/>
              </w:rPr>
            </w:pPr>
            <w:r w:rsidRPr="006F4084">
              <w:rPr>
                <w:lang w:val="en-US"/>
              </w:rPr>
              <w:t>↑</w:t>
            </w:r>
            <w:r>
              <w:rPr>
                <w:lang w:val="en-US"/>
              </w:rPr>
              <w:t>0.08</w:t>
            </w:r>
          </w:p>
        </w:tc>
        <w:tc>
          <w:tcPr>
            <w:tcW w:w="1115" w:type="pct"/>
            <w:shd w:val="clear" w:color="auto" w:fill="auto"/>
          </w:tcPr>
          <w:p w:rsidR="00025ADD" w:rsidRPr="006F4084" w:rsidRDefault="00025ADD" w:rsidP="00150CD1">
            <w:pPr>
              <w:spacing w:line="480" w:lineRule="auto"/>
              <w:jc w:val="center"/>
              <w:rPr>
                <w:lang w:val="en-US"/>
              </w:rPr>
            </w:pPr>
            <w:r w:rsidRPr="006F4084">
              <w:rPr>
                <w:lang w:val="en-US"/>
              </w:rPr>
              <w:t>↑**</w:t>
            </w:r>
          </w:p>
        </w:tc>
      </w:tr>
      <w:tr w:rsidR="00025ADD" w:rsidRPr="006F4084" w:rsidTr="00150CD1">
        <w:trPr>
          <w:trHeight w:val="360"/>
        </w:trPr>
        <w:tc>
          <w:tcPr>
            <w:tcW w:w="1256" w:type="pct"/>
            <w:shd w:val="clear" w:color="auto" w:fill="auto"/>
          </w:tcPr>
          <w:p w:rsidR="00025ADD" w:rsidRPr="006F4084" w:rsidRDefault="00025ADD" w:rsidP="0046499D">
            <w:pPr>
              <w:spacing w:line="480" w:lineRule="auto"/>
              <w:ind w:right="34"/>
              <w:rPr>
                <w:lang w:val="en-US"/>
              </w:rPr>
            </w:pPr>
            <w:r w:rsidRPr="006F4084">
              <w:rPr>
                <w:lang w:val="en-US"/>
              </w:rPr>
              <w:t>IL-1</w:t>
            </w:r>
            <w:r w:rsidR="0046499D">
              <w:rPr>
                <w:lang w:val="en-US"/>
              </w:rPr>
              <w:t>β</w:t>
            </w:r>
          </w:p>
        </w:tc>
        <w:tc>
          <w:tcPr>
            <w:tcW w:w="896" w:type="pct"/>
            <w:shd w:val="clear" w:color="auto" w:fill="auto"/>
          </w:tcPr>
          <w:p w:rsidR="00025ADD" w:rsidRPr="006F4084" w:rsidRDefault="00025ADD" w:rsidP="00150CD1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↑0.12</w:t>
            </w:r>
          </w:p>
        </w:tc>
        <w:tc>
          <w:tcPr>
            <w:tcW w:w="656" w:type="pct"/>
            <w:shd w:val="clear" w:color="auto" w:fill="auto"/>
          </w:tcPr>
          <w:p w:rsidR="00025ADD" w:rsidRPr="006F4084" w:rsidRDefault="00025ADD" w:rsidP="00150CD1">
            <w:pPr>
              <w:spacing w:line="480" w:lineRule="auto"/>
              <w:jc w:val="center"/>
              <w:rPr>
                <w:lang w:val="en-US"/>
              </w:rPr>
            </w:pPr>
            <w:r w:rsidRPr="006F4084">
              <w:rPr>
                <w:lang w:val="en-US"/>
              </w:rPr>
              <w:t>↑**</w:t>
            </w:r>
          </w:p>
        </w:tc>
        <w:tc>
          <w:tcPr>
            <w:tcW w:w="1077" w:type="pct"/>
            <w:gridSpan w:val="3"/>
            <w:shd w:val="clear" w:color="auto" w:fill="auto"/>
          </w:tcPr>
          <w:p w:rsidR="00025ADD" w:rsidRPr="006F4084" w:rsidRDefault="00025ADD" w:rsidP="00150CD1">
            <w:pPr>
              <w:spacing w:line="480" w:lineRule="auto"/>
              <w:jc w:val="center"/>
              <w:rPr>
                <w:lang w:val="en-US"/>
              </w:rPr>
            </w:pPr>
            <w:r w:rsidRPr="006F4084">
              <w:rPr>
                <w:lang w:val="en-US"/>
              </w:rPr>
              <w:t>↑**</w:t>
            </w:r>
          </w:p>
        </w:tc>
        <w:tc>
          <w:tcPr>
            <w:tcW w:w="1115" w:type="pct"/>
            <w:shd w:val="clear" w:color="auto" w:fill="auto"/>
          </w:tcPr>
          <w:p w:rsidR="00025ADD" w:rsidRPr="006F4084" w:rsidRDefault="00025ADD" w:rsidP="00150CD1">
            <w:pPr>
              <w:spacing w:line="480" w:lineRule="auto"/>
              <w:jc w:val="center"/>
              <w:rPr>
                <w:lang w:val="en-US"/>
              </w:rPr>
            </w:pPr>
            <w:r w:rsidRPr="006F4084">
              <w:rPr>
                <w:lang w:val="en-US"/>
              </w:rPr>
              <w:t>↑**</w:t>
            </w:r>
          </w:p>
        </w:tc>
      </w:tr>
    </w:tbl>
    <w:p w:rsidR="00025ADD" w:rsidRDefault="00025ADD" w:rsidP="00025ADD"/>
    <w:p w:rsidR="00025ADD" w:rsidRDefault="00025ADD" w:rsidP="00025ADD">
      <w:pPr>
        <w:spacing w:line="480" w:lineRule="auto"/>
        <w:ind w:firstLine="284"/>
        <w:rPr>
          <w:rFonts w:eastAsia="Times New Roman"/>
          <w:lang w:val="en-US"/>
        </w:rPr>
      </w:pPr>
      <w:r>
        <w:t>N</w:t>
      </w:r>
      <w:r w:rsidRPr="00397BD8">
        <w:t xml:space="preserve">ormal tissue </w:t>
      </w:r>
      <w:r>
        <w:t xml:space="preserve">was taken from </w:t>
      </w:r>
      <w:r w:rsidRPr="00397BD8">
        <w:t xml:space="preserve">colorectal cancer resection, or from </w:t>
      </w:r>
      <w:proofErr w:type="spellStart"/>
      <w:r w:rsidRPr="00397BD8">
        <w:t>Crohn’s</w:t>
      </w:r>
      <w:proofErr w:type="spellEnd"/>
      <w:r w:rsidRPr="00397BD8">
        <w:t xml:space="preserve"> patients without inflammatory infiltrate</w:t>
      </w:r>
      <w:r>
        <w:t xml:space="preserve"> or signs of </w:t>
      </w:r>
      <w:proofErr w:type="spellStart"/>
      <w:r>
        <w:t>fibrosis</w:t>
      </w:r>
      <w:r w:rsidRPr="00397BD8">
        <w:t>.</w:t>
      </w:r>
      <w:r w:rsidRPr="00397BD8">
        <w:rPr>
          <w:vertAlign w:val="superscript"/>
        </w:rPr>
        <w:t>a</w:t>
      </w:r>
      <w:proofErr w:type="spellEnd"/>
    </w:p>
    <w:p w:rsidR="00025ADD" w:rsidRDefault="00025ADD" w:rsidP="00025ADD">
      <w:pPr>
        <w:spacing w:line="480" w:lineRule="auto"/>
        <w:rPr>
          <w:rFonts w:eastAsia="Times New Roman"/>
          <w:lang w:val="en-US"/>
        </w:rPr>
      </w:pPr>
      <w:proofErr w:type="gramStart"/>
      <w:r w:rsidRPr="00397BD8">
        <w:rPr>
          <w:rFonts w:eastAsia="Times New Roman"/>
          <w:vertAlign w:val="superscript"/>
          <w:lang w:val="en-US"/>
        </w:rPr>
        <w:t>a</w:t>
      </w:r>
      <w:r>
        <w:rPr>
          <w:rFonts w:eastAsia="Times New Roman"/>
          <w:lang w:val="en-US"/>
        </w:rPr>
        <w:t xml:space="preserve">  Includes</w:t>
      </w:r>
      <w:proofErr w:type="gramEnd"/>
      <w:r>
        <w:rPr>
          <w:rFonts w:eastAsia="Times New Roman"/>
          <w:lang w:val="en-US"/>
        </w:rPr>
        <w:t xml:space="preserve"> tissues from both small bowel and large bowel resection – details in text</w:t>
      </w:r>
    </w:p>
    <w:p w:rsidR="00025ADD" w:rsidRDefault="00025ADD" w:rsidP="00025ADD">
      <w:pPr>
        <w:spacing w:line="480" w:lineRule="auto"/>
        <w:rPr>
          <w:rFonts w:eastAsia="Times New Roman"/>
          <w:lang w:val="en-US"/>
        </w:rPr>
      </w:pPr>
      <w:proofErr w:type="gramStart"/>
      <w:r w:rsidRPr="00397BD8">
        <w:rPr>
          <w:rFonts w:eastAsia="Times New Roman"/>
          <w:vertAlign w:val="superscript"/>
          <w:lang w:val="en-US"/>
        </w:rPr>
        <w:t>b</w:t>
      </w:r>
      <w:r>
        <w:rPr>
          <w:rFonts w:eastAsia="Times New Roman"/>
          <w:lang w:val="en-US"/>
        </w:rPr>
        <w:t xml:space="preserve">  Direction</w:t>
      </w:r>
      <w:proofErr w:type="gramEnd"/>
      <w:r>
        <w:rPr>
          <w:rFonts w:eastAsia="Times New Roman"/>
          <w:lang w:val="en-US"/>
        </w:rPr>
        <w:t xml:space="preserve"> arrows indicate direction of significant change or trend from relevant control</w:t>
      </w:r>
    </w:p>
    <w:p w:rsidR="00025ADD" w:rsidRDefault="00025ADD" w:rsidP="00025ADD">
      <w:pPr>
        <w:spacing w:line="480" w:lineRule="auto"/>
        <w:rPr>
          <w:rFonts w:eastAsia="Times New Roman"/>
          <w:lang w:val="en-US"/>
        </w:rPr>
      </w:pPr>
      <w:proofErr w:type="gramStart"/>
      <w:r w:rsidRPr="00397BD8">
        <w:rPr>
          <w:rFonts w:eastAsia="Times New Roman"/>
          <w:vertAlign w:val="superscript"/>
          <w:lang w:val="en-US"/>
        </w:rPr>
        <w:t>c</w:t>
      </w:r>
      <w:r>
        <w:rPr>
          <w:rFonts w:eastAsia="Times New Roman"/>
          <w:lang w:val="en-US"/>
        </w:rPr>
        <w:t xml:space="preserve">  Asterisks</w:t>
      </w:r>
      <w:proofErr w:type="gramEnd"/>
      <w:r>
        <w:rPr>
          <w:rFonts w:eastAsia="Times New Roman"/>
          <w:lang w:val="en-US"/>
        </w:rPr>
        <w:t xml:space="preserve"> denote level of significant change from relevant control: * p&lt;0.05; ** p&lt;0.01</w:t>
      </w:r>
    </w:p>
    <w:p w:rsidR="0029201F" w:rsidRDefault="0029201F">
      <w:pPr>
        <w:spacing w:line="276" w:lineRule="auto"/>
        <w:jc w:val="left"/>
      </w:pPr>
      <w:r>
        <w:br w:type="page"/>
      </w:r>
    </w:p>
    <w:p w:rsidR="0029201F" w:rsidRPr="005B3EEB" w:rsidRDefault="0029201F" w:rsidP="0029201F">
      <w:pPr>
        <w:spacing w:line="480" w:lineRule="auto"/>
      </w:pPr>
      <w:r>
        <w:lastRenderedPageBreak/>
        <w:t>Table S5b.</w:t>
      </w:r>
      <w:r w:rsidRPr="005B3EEB">
        <w:t xml:space="preserve"> Correlation between collagen synthesis and other parameters</w:t>
      </w:r>
    </w:p>
    <w:tbl>
      <w:tblPr>
        <w:tblW w:w="0" w:type="auto"/>
        <w:jc w:val="center"/>
        <w:tblLook w:val="01E0"/>
      </w:tblPr>
      <w:tblGrid>
        <w:gridCol w:w="2376"/>
        <w:gridCol w:w="1985"/>
        <w:gridCol w:w="1984"/>
      </w:tblGrid>
      <w:tr w:rsidR="0029201F" w:rsidTr="00080779">
        <w:trPr>
          <w:jc w:val="center"/>
        </w:trPr>
        <w:tc>
          <w:tcPr>
            <w:tcW w:w="2376" w:type="dxa"/>
          </w:tcPr>
          <w:p w:rsidR="0029201F" w:rsidRDefault="0029201F" w:rsidP="00080779">
            <w:pPr>
              <w:spacing w:line="480" w:lineRule="auto"/>
              <w:jc w:val="center"/>
            </w:pPr>
            <w:r>
              <w:t>Parameter</w:t>
            </w:r>
          </w:p>
        </w:tc>
        <w:tc>
          <w:tcPr>
            <w:tcW w:w="1985" w:type="dxa"/>
          </w:tcPr>
          <w:p w:rsidR="0029201F" w:rsidRDefault="0029201F" w:rsidP="00080779">
            <w:pPr>
              <w:spacing w:line="480" w:lineRule="auto"/>
              <w:jc w:val="center"/>
            </w:pPr>
            <w:r>
              <w:t>Mucosa</w:t>
            </w:r>
          </w:p>
        </w:tc>
        <w:tc>
          <w:tcPr>
            <w:tcW w:w="1984" w:type="dxa"/>
          </w:tcPr>
          <w:p w:rsidR="0029201F" w:rsidRDefault="0029201F" w:rsidP="00080779">
            <w:pPr>
              <w:spacing w:line="480" w:lineRule="auto"/>
              <w:jc w:val="center"/>
            </w:pPr>
            <w:r>
              <w:t>Muscle</w:t>
            </w:r>
          </w:p>
        </w:tc>
      </w:tr>
      <w:tr w:rsidR="0029201F" w:rsidTr="00080779">
        <w:trPr>
          <w:jc w:val="center"/>
        </w:trPr>
        <w:tc>
          <w:tcPr>
            <w:tcW w:w="2376" w:type="dxa"/>
          </w:tcPr>
          <w:p w:rsidR="0029201F" w:rsidRDefault="0029201F" w:rsidP="00080779">
            <w:pPr>
              <w:spacing w:line="480" w:lineRule="auto"/>
            </w:pPr>
            <w:r>
              <w:t>Pro-MMP2</w:t>
            </w:r>
          </w:p>
        </w:tc>
        <w:tc>
          <w:tcPr>
            <w:tcW w:w="1985" w:type="dxa"/>
          </w:tcPr>
          <w:p w:rsidR="0029201F" w:rsidRDefault="0029201F" w:rsidP="00080779">
            <w:pPr>
              <w:spacing w:line="480" w:lineRule="auto"/>
              <w:jc w:val="center"/>
            </w:pPr>
            <w:r>
              <w:t>0.003</w:t>
            </w:r>
          </w:p>
        </w:tc>
        <w:tc>
          <w:tcPr>
            <w:tcW w:w="1984" w:type="dxa"/>
          </w:tcPr>
          <w:p w:rsidR="0029201F" w:rsidRDefault="0029201F" w:rsidP="00080779">
            <w:pPr>
              <w:spacing w:line="480" w:lineRule="auto"/>
              <w:jc w:val="center"/>
            </w:pPr>
            <w:r>
              <w:t>0.787</w:t>
            </w:r>
          </w:p>
        </w:tc>
      </w:tr>
      <w:tr w:rsidR="0029201F" w:rsidTr="00080779">
        <w:trPr>
          <w:jc w:val="center"/>
        </w:trPr>
        <w:tc>
          <w:tcPr>
            <w:tcW w:w="2376" w:type="dxa"/>
          </w:tcPr>
          <w:p w:rsidR="0029201F" w:rsidRDefault="0029201F" w:rsidP="00080779">
            <w:pPr>
              <w:spacing w:line="480" w:lineRule="auto"/>
            </w:pPr>
            <w:r>
              <w:t>IL-13 mRNA</w:t>
            </w:r>
          </w:p>
        </w:tc>
        <w:tc>
          <w:tcPr>
            <w:tcW w:w="1985" w:type="dxa"/>
          </w:tcPr>
          <w:p w:rsidR="0029201F" w:rsidRDefault="0029201F" w:rsidP="00080779">
            <w:pPr>
              <w:spacing w:line="480" w:lineRule="auto"/>
              <w:jc w:val="center"/>
            </w:pPr>
            <w:r>
              <w:t>0.138</w:t>
            </w:r>
          </w:p>
        </w:tc>
        <w:tc>
          <w:tcPr>
            <w:tcW w:w="1984" w:type="dxa"/>
          </w:tcPr>
          <w:p w:rsidR="0029201F" w:rsidRDefault="0029201F" w:rsidP="00080779">
            <w:pPr>
              <w:spacing w:line="480" w:lineRule="auto"/>
              <w:jc w:val="center"/>
            </w:pPr>
            <w:r>
              <w:t>0.329</w:t>
            </w:r>
          </w:p>
        </w:tc>
      </w:tr>
      <w:tr w:rsidR="0029201F" w:rsidTr="00080779">
        <w:trPr>
          <w:jc w:val="center"/>
        </w:trPr>
        <w:tc>
          <w:tcPr>
            <w:tcW w:w="2376" w:type="dxa"/>
          </w:tcPr>
          <w:p w:rsidR="0029201F" w:rsidRDefault="0029201F" w:rsidP="00080779">
            <w:pPr>
              <w:spacing w:line="480" w:lineRule="auto"/>
            </w:pPr>
            <w:r>
              <w:t>TIMP-1</w:t>
            </w:r>
          </w:p>
        </w:tc>
        <w:tc>
          <w:tcPr>
            <w:tcW w:w="1985" w:type="dxa"/>
          </w:tcPr>
          <w:p w:rsidR="0029201F" w:rsidRDefault="0029201F" w:rsidP="00080779">
            <w:pPr>
              <w:spacing w:line="480" w:lineRule="auto"/>
              <w:jc w:val="center"/>
            </w:pPr>
            <w:r>
              <w:t>0.074</w:t>
            </w:r>
          </w:p>
        </w:tc>
        <w:tc>
          <w:tcPr>
            <w:tcW w:w="1984" w:type="dxa"/>
          </w:tcPr>
          <w:p w:rsidR="0029201F" w:rsidRDefault="0029201F" w:rsidP="00080779">
            <w:pPr>
              <w:spacing w:line="480" w:lineRule="auto"/>
              <w:jc w:val="center"/>
            </w:pPr>
            <w:r>
              <w:t>0.0001</w:t>
            </w:r>
          </w:p>
        </w:tc>
      </w:tr>
      <w:tr w:rsidR="0029201F" w:rsidTr="00080779">
        <w:trPr>
          <w:jc w:val="center"/>
        </w:trPr>
        <w:tc>
          <w:tcPr>
            <w:tcW w:w="2376" w:type="dxa"/>
          </w:tcPr>
          <w:p w:rsidR="0029201F" w:rsidRDefault="0029201F" w:rsidP="00080779">
            <w:pPr>
              <w:spacing w:line="480" w:lineRule="auto"/>
            </w:pPr>
            <w:r>
              <w:t>Pro-MMP-1</w:t>
            </w:r>
          </w:p>
        </w:tc>
        <w:tc>
          <w:tcPr>
            <w:tcW w:w="1985" w:type="dxa"/>
          </w:tcPr>
          <w:p w:rsidR="0029201F" w:rsidRDefault="0029201F" w:rsidP="00080779">
            <w:pPr>
              <w:spacing w:line="480" w:lineRule="auto"/>
              <w:jc w:val="center"/>
            </w:pPr>
            <w:r>
              <w:t>0.011</w:t>
            </w:r>
          </w:p>
        </w:tc>
        <w:tc>
          <w:tcPr>
            <w:tcW w:w="1984" w:type="dxa"/>
          </w:tcPr>
          <w:p w:rsidR="0029201F" w:rsidRDefault="0029201F" w:rsidP="00080779">
            <w:pPr>
              <w:spacing w:line="480" w:lineRule="auto"/>
              <w:jc w:val="center"/>
            </w:pPr>
            <w:r>
              <w:t>0.052</w:t>
            </w:r>
          </w:p>
        </w:tc>
      </w:tr>
      <w:tr w:rsidR="0029201F" w:rsidTr="00080779">
        <w:trPr>
          <w:jc w:val="center"/>
        </w:trPr>
        <w:tc>
          <w:tcPr>
            <w:tcW w:w="2376" w:type="dxa"/>
          </w:tcPr>
          <w:p w:rsidR="0029201F" w:rsidRDefault="0029201F" w:rsidP="00080779">
            <w:pPr>
              <w:spacing w:line="480" w:lineRule="auto"/>
            </w:pPr>
            <w:r>
              <w:t>Pro-MMP-9</w:t>
            </w:r>
          </w:p>
        </w:tc>
        <w:tc>
          <w:tcPr>
            <w:tcW w:w="1985" w:type="dxa"/>
          </w:tcPr>
          <w:p w:rsidR="0029201F" w:rsidRDefault="0029201F" w:rsidP="00080779">
            <w:pPr>
              <w:spacing w:line="480" w:lineRule="auto"/>
              <w:jc w:val="center"/>
            </w:pPr>
            <w:r>
              <w:t>0.445</w:t>
            </w:r>
          </w:p>
        </w:tc>
        <w:tc>
          <w:tcPr>
            <w:tcW w:w="1984" w:type="dxa"/>
          </w:tcPr>
          <w:p w:rsidR="0029201F" w:rsidRDefault="0029201F" w:rsidP="00080779">
            <w:pPr>
              <w:spacing w:line="480" w:lineRule="auto"/>
              <w:jc w:val="center"/>
            </w:pPr>
            <w:r>
              <w:t>0.478</w:t>
            </w:r>
          </w:p>
        </w:tc>
      </w:tr>
      <w:tr w:rsidR="0029201F" w:rsidTr="00080779">
        <w:trPr>
          <w:jc w:val="center"/>
        </w:trPr>
        <w:tc>
          <w:tcPr>
            <w:tcW w:w="2376" w:type="dxa"/>
          </w:tcPr>
          <w:p w:rsidR="0029201F" w:rsidRDefault="0029201F" w:rsidP="00080779">
            <w:pPr>
              <w:spacing w:line="480" w:lineRule="auto"/>
            </w:pPr>
            <w:r>
              <w:t>IL-1β</w:t>
            </w:r>
          </w:p>
        </w:tc>
        <w:tc>
          <w:tcPr>
            <w:tcW w:w="1985" w:type="dxa"/>
          </w:tcPr>
          <w:p w:rsidR="0029201F" w:rsidRDefault="0029201F" w:rsidP="00080779">
            <w:pPr>
              <w:spacing w:line="480" w:lineRule="auto"/>
              <w:jc w:val="center"/>
            </w:pPr>
            <w:r>
              <w:t>0.001</w:t>
            </w:r>
          </w:p>
        </w:tc>
        <w:tc>
          <w:tcPr>
            <w:tcW w:w="1984" w:type="dxa"/>
          </w:tcPr>
          <w:p w:rsidR="0029201F" w:rsidRDefault="0029201F" w:rsidP="00080779">
            <w:pPr>
              <w:spacing w:line="480" w:lineRule="auto"/>
              <w:jc w:val="center"/>
            </w:pPr>
            <w:r>
              <w:t>0.0001</w:t>
            </w:r>
          </w:p>
        </w:tc>
      </w:tr>
    </w:tbl>
    <w:p w:rsidR="0029201F" w:rsidRDefault="0029201F" w:rsidP="0029201F">
      <w:pPr>
        <w:spacing w:line="480" w:lineRule="auto"/>
        <w:jc w:val="center"/>
      </w:pPr>
    </w:p>
    <w:p w:rsidR="0029201F" w:rsidRDefault="0029201F" w:rsidP="0029201F">
      <w:pPr>
        <w:spacing w:line="480" w:lineRule="auto"/>
      </w:pPr>
      <w:r>
        <w:t>Significance of correlations between type I collagen synthesis and inflammation and fibrosis-related parameters in separated muscle and mucosal fragments from all tissue groups.  Pearson correlation coefficients determined pair-wise by patient for each tissue type</w:t>
      </w:r>
    </w:p>
    <w:p w:rsidR="0094507B" w:rsidRDefault="0029201F"/>
    <w:sectPr w:rsidR="0094507B" w:rsidSect="00E55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5ADD"/>
    <w:rsid w:val="00025ADD"/>
    <w:rsid w:val="00163D9C"/>
    <w:rsid w:val="00240ACD"/>
    <w:rsid w:val="0029201F"/>
    <w:rsid w:val="0046499D"/>
    <w:rsid w:val="006B5818"/>
    <w:rsid w:val="007245F1"/>
    <w:rsid w:val="00B77B93"/>
    <w:rsid w:val="00D17426"/>
    <w:rsid w:val="00E5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DD"/>
    <w:pPr>
      <w:spacing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1193</Characters>
  <Application>Microsoft Office Word</Application>
  <DocSecurity>0</DocSecurity>
  <Lines>9</Lines>
  <Paragraphs>2</Paragraphs>
  <ScaleCrop>false</ScaleCrop>
  <Company>University of Bristol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lvcvw</dc:creator>
  <cp:lastModifiedBy>lvcvw</cp:lastModifiedBy>
  <cp:revision>3</cp:revision>
  <dcterms:created xsi:type="dcterms:W3CDTF">2012-11-19T11:58:00Z</dcterms:created>
  <dcterms:modified xsi:type="dcterms:W3CDTF">2012-12-04T10:38:00Z</dcterms:modified>
</cp:coreProperties>
</file>