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1B" w:rsidRPr="00156F04" w:rsidRDefault="0097551B" w:rsidP="0097551B">
      <w:pPr>
        <w:spacing w:after="120" w:line="288" w:lineRule="auto"/>
        <w:rPr>
          <w:rFonts w:ascii="Arial" w:hAnsi="Arial" w:cs="Arial"/>
          <w:sz w:val="22"/>
          <w:szCs w:val="22"/>
          <w:lang w:val="en-US"/>
        </w:rPr>
      </w:pPr>
      <w:r w:rsidRPr="00156F04">
        <w:rPr>
          <w:rFonts w:ascii="Arial" w:hAnsi="Arial" w:cs="Arial"/>
          <w:b/>
          <w:sz w:val="22"/>
          <w:szCs w:val="22"/>
          <w:lang w:val="en-US"/>
        </w:rPr>
        <w:t xml:space="preserve">Table S6. </w:t>
      </w:r>
      <w:proofErr w:type="gramStart"/>
      <w:r w:rsidRPr="00156F04">
        <w:rPr>
          <w:rFonts w:ascii="Arial" w:hAnsi="Arial" w:cs="Arial"/>
          <w:sz w:val="22"/>
          <w:szCs w:val="22"/>
          <w:lang w:val="en-US"/>
        </w:rPr>
        <w:t>Maximum odds ratios of the seven polymorphisms in the subgroups.</w:t>
      </w:r>
      <w:proofErr w:type="gramEnd"/>
      <w:r w:rsidRPr="00156F04">
        <w:rPr>
          <w:rFonts w:ascii="Arial" w:hAnsi="Arial" w:cs="Arial"/>
          <w:sz w:val="22"/>
          <w:szCs w:val="22"/>
          <w:lang w:val="en-US"/>
        </w:rPr>
        <w:t xml:space="preserve">  </w:t>
      </w:r>
    </w:p>
    <w:tbl>
      <w:tblPr>
        <w:tblW w:w="0" w:type="auto"/>
        <w:jc w:val="center"/>
        <w:tblInd w:w="-224" w:type="dxa"/>
        <w:tblLook w:val="01E0" w:firstRow="1" w:lastRow="1" w:firstColumn="1" w:lastColumn="1" w:noHBand="0" w:noVBand="0"/>
      </w:tblPr>
      <w:tblGrid>
        <w:gridCol w:w="1902"/>
        <w:gridCol w:w="1317"/>
        <w:gridCol w:w="1317"/>
        <w:gridCol w:w="1317"/>
        <w:gridCol w:w="1317"/>
        <w:gridCol w:w="1317"/>
        <w:tblGridChange w:id="0">
          <w:tblGrid>
            <w:gridCol w:w="1902"/>
            <w:gridCol w:w="1317"/>
            <w:gridCol w:w="1317"/>
            <w:gridCol w:w="1317"/>
            <w:gridCol w:w="1317"/>
            <w:gridCol w:w="1317"/>
          </w:tblGrid>
        </w:tblGridChange>
      </w:tblGrid>
      <w:tr w:rsidR="0097551B" w:rsidRPr="00C07E09" w:rsidTr="0039523B">
        <w:trPr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156F04" w:rsidRDefault="0097551B" w:rsidP="0039523B">
            <w:pPr>
              <w:spacing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85" w:type="dxa"/>
            <w:gridSpan w:val="5"/>
            <w:shd w:val="clear" w:color="auto" w:fill="auto"/>
            <w:vAlign w:val="center"/>
          </w:tcPr>
          <w:p w:rsidR="0097551B" w:rsidRPr="00156F04" w:rsidRDefault="0097551B" w:rsidP="0039523B">
            <w:pPr>
              <w:spacing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6F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Odds Ratio, 95% Confidence Interval and Form of Polymorphism</w:t>
            </w:r>
          </w:p>
        </w:tc>
      </w:tr>
      <w:tr w:rsidR="0097551B" w:rsidRPr="00C07E09" w:rsidTr="0039523B">
        <w:trPr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156F04" w:rsidRDefault="0097551B" w:rsidP="0039523B">
            <w:pPr>
              <w:spacing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156F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Polymorphism</w:t>
            </w:r>
            <w:r w:rsidRPr="00156F0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156F04" w:rsidRDefault="0097551B" w:rsidP="0039523B">
            <w:pPr>
              <w:spacing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6F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All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156F04" w:rsidRDefault="0097551B" w:rsidP="0039523B">
            <w:pPr>
              <w:spacing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6F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Ever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156F04" w:rsidRDefault="0097551B" w:rsidP="0039523B">
            <w:pPr>
              <w:spacing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6F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156F04" w:rsidRDefault="0097551B" w:rsidP="0039523B">
            <w:pPr>
              <w:spacing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6F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Former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156F04" w:rsidRDefault="0097551B" w:rsidP="0039523B">
            <w:pPr>
              <w:spacing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6F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Non</w:t>
            </w:r>
          </w:p>
        </w:tc>
      </w:tr>
      <w:tr w:rsidR="0097551B" w:rsidRPr="00C07E09" w:rsidTr="0039523B">
        <w:trPr>
          <w:trHeight w:val="318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78BF">
              <w:rPr>
                <w:rFonts w:ascii="Arial" w:hAnsi="Arial" w:cs="Arial"/>
                <w:i/>
                <w:sz w:val="20"/>
                <w:szCs w:val="20"/>
                <w:lang w:val="en-US"/>
              </w:rPr>
              <w:t>GSTM1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[2]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1.35*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 xml:space="preserve">1.41*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1.52*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1.35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1.20 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4078BF" w:rsidRDefault="0097551B" w:rsidP="0039523B">
            <w:pPr>
              <w:spacing w:after="120" w:line="288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(1.17-1.56)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(1.19-1.68)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(1.13-2.04)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(1.09-1.67)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(0.92-1.56)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4078BF" w:rsidRDefault="0097551B" w:rsidP="0039523B">
            <w:pPr>
              <w:spacing w:after="120" w:line="288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null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null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null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null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null</w:t>
            </w:r>
          </w:p>
        </w:tc>
      </w:tr>
      <w:tr w:rsidR="0097551B" w:rsidRPr="00C07E09" w:rsidTr="0039523B">
        <w:trPr>
          <w:trHeight w:val="318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rs9642880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[7]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1.34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1.33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0.87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 xml:space="preserve">1.50*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1.48 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(1.14-1.58)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(1.09-1.63)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(0.62-1.21)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(1.16-1.93)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(1.10-1.99)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[T/T]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[T/T]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[G/T, T/T]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[T/T]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[T/T]</w:t>
            </w:r>
          </w:p>
        </w:tc>
      </w:tr>
      <w:tr w:rsidR="0097551B" w:rsidRPr="00C07E09" w:rsidTr="0039523B">
        <w:trPr>
          <w:trHeight w:val="318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rs710521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[7]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0.84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0.88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1.65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0.85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0.79 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(0.73-0.97)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(0.74-1.05)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(0.86-3.17)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(0.68-1.05)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(0.60-1.03)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[A/G, G/G]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[A/G, G/G]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[G/G]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[A/G, G/G]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[A/G, G/G]</w:t>
            </w:r>
          </w:p>
        </w:tc>
      </w:tr>
      <w:tr w:rsidR="0097551B" w:rsidRPr="00C07E09" w:rsidTr="0039523B">
        <w:trPr>
          <w:trHeight w:val="318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rs8102137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[9]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1.18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1.14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1.19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1.12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1.51   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(1.02-1.36)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(0.96-1.36)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(0.88-1.60)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(0.91-1.39)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(1.02-2.24)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[C/T, T/T]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[C/T, T/T]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[C/T, T/T]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[C/T, T/T]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[T/T]</w:t>
            </w:r>
          </w:p>
        </w:tc>
      </w:tr>
      <w:tr w:rsidR="0097551B" w:rsidRPr="00C07E09" w:rsidTr="0039523B">
        <w:trPr>
          <w:trHeight w:val="318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rs11892031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[9]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0.80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0.79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0.60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0.91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0.86  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(0.65-0.98)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(0.61-1.02)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(0.38-0.93)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(0.66-1.25)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(0.58-1.27)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[C/C]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[A/C, C/C]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[A/C, C/C]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[A/C, C/C]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[A/C, C/C]</w:t>
            </w:r>
          </w:p>
        </w:tc>
      </w:tr>
      <w:tr w:rsidR="0097551B" w:rsidRPr="00C07E09" w:rsidTr="0039523B">
        <w:trPr>
          <w:trHeight w:val="318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rs1014971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[9]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0.89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1.04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1.17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1.05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0.61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(0.78-1.03)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(0.87-1.23)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(0.87-1.57)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(0.74-1.50)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(0.47-0.80)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[C/T, T/T]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[C/T, T/T]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[C/T, T/T]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[T/T]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5B37AF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[C/T, T/T]</w:t>
            </w:r>
          </w:p>
        </w:tc>
      </w:tr>
      <w:tr w:rsidR="0097551B" w:rsidRPr="00C07E09" w:rsidTr="0039523B">
        <w:trPr>
          <w:trHeight w:val="318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rs1495741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r w:rsidRPr="005B37AF">
              <w:rPr>
                <w:rFonts w:ascii="Arial" w:hAnsi="Arial" w:cs="Arial"/>
                <w:sz w:val="20"/>
                <w:szCs w:val="20"/>
                <w:lang w:val="en-US"/>
              </w:rPr>
              <w:t>9,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0.91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0.91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0.87</w:t>
            </w: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0.93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0.92</w:t>
            </w: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(0.79-1.05</w:t>
            </w: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(0.60-1.38</w:t>
            </w: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(0.43-1.75</w:t>
            </w: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(0.55-1.56</w:t>
            </w: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(0.71-1.20</w:t>
            </w: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97551B" w:rsidRPr="00C07E09" w:rsidTr="0039523B">
        <w:trPr>
          <w:trHeight w:val="316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7551B" w:rsidRPr="00C07E09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97551B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[A/G, G/G</w:t>
            </w: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[G</w:t>
            </w: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/G]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/G]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[G</w:t>
            </w: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/G]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7551B" w:rsidRDefault="0097551B" w:rsidP="0039523B">
            <w:pPr>
              <w:spacing w:after="12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[A/G, G/G</w:t>
            </w:r>
            <w:r w:rsidRPr="00C07E09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</w:tr>
    </w:tbl>
    <w:p w:rsidR="0097551B" w:rsidRPr="005B37AF" w:rsidRDefault="0097551B" w:rsidP="0097551B">
      <w:pPr>
        <w:spacing w:before="120" w:line="288" w:lineRule="auto"/>
        <w:ind w:left="360" w:right="252"/>
        <w:jc w:val="both"/>
        <w:rPr>
          <w:rFonts w:ascii="Arial" w:hAnsi="Arial" w:cs="Arial"/>
          <w:sz w:val="20"/>
          <w:szCs w:val="20"/>
          <w:lang w:val="en-US"/>
        </w:rPr>
      </w:pPr>
      <w:r w:rsidRPr="00C07E09">
        <w:rPr>
          <w:rFonts w:ascii="Arial" w:hAnsi="Arial" w:cs="Arial"/>
          <w:sz w:val="20"/>
          <w:szCs w:val="20"/>
          <w:lang w:val="en-US"/>
        </w:rPr>
        <w:t xml:space="preserve">Considered are the six SNPs identified in previous genome-wide association studies as well as </w:t>
      </w:r>
      <w:r w:rsidRPr="004078BF">
        <w:rPr>
          <w:rFonts w:ascii="Arial" w:hAnsi="Arial" w:cs="Arial"/>
          <w:i/>
          <w:sz w:val="20"/>
          <w:szCs w:val="20"/>
          <w:lang w:val="en-US"/>
        </w:rPr>
        <w:t>GSTM1</w:t>
      </w:r>
      <w:r w:rsidRPr="00C07E09">
        <w:rPr>
          <w:rFonts w:ascii="Arial" w:hAnsi="Arial" w:cs="Arial"/>
          <w:sz w:val="20"/>
          <w:szCs w:val="20"/>
          <w:lang w:val="en-US"/>
        </w:rPr>
        <w:t xml:space="preserve">. For the SNPs, the maximum odds ratios in the total study group and the different smoker subgroups are determined considering a dominant and a recessive effect of the risk allele. The polymorphism with the largest p-value in a subgroup is marked </w:t>
      </w:r>
      <w:r>
        <w:rPr>
          <w:rFonts w:ascii="Arial" w:hAnsi="Arial" w:cs="Arial"/>
          <w:sz w:val="20"/>
          <w:szCs w:val="20"/>
          <w:lang w:val="en-US"/>
        </w:rPr>
        <w:t>by an asterisk</w:t>
      </w:r>
      <w:r w:rsidRPr="00C07E09">
        <w:rPr>
          <w:rFonts w:ascii="Arial" w:hAnsi="Arial" w:cs="Arial"/>
          <w:sz w:val="20"/>
          <w:szCs w:val="20"/>
          <w:lang w:val="en-US"/>
        </w:rPr>
        <w:t>. Genotypes at risk are given in parenthesis.</w:t>
      </w:r>
    </w:p>
    <w:p w:rsidR="0097551B" w:rsidRPr="00C07E09" w:rsidRDefault="0097551B" w:rsidP="0097551B">
      <w:pPr>
        <w:spacing w:before="120" w:line="288" w:lineRule="auto"/>
        <w:ind w:left="360" w:right="252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07E09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proofErr w:type="spellEnd"/>
      <w:r w:rsidRPr="00C07E09">
        <w:rPr>
          <w:rFonts w:ascii="Arial" w:hAnsi="Arial" w:cs="Arial"/>
          <w:sz w:val="20"/>
          <w:szCs w:val="20"/>
          <w:lang w:val="en-US"/>
        </w:rPr>
        <w:t xml:space="preserve"> The num</w:t>
      </w:r>
      <w:r>
        <w:rPr>
          <w:rFonts w:ascii="Arial" w:hAnsi="Arial" w:cs="Arial"/>
          <w:sz w:val="20"/>
          <w:szCs w:val="20"/>
          <w:lang w:val="en-US"/>
        </w:rPr>
        <w:t>bers in the brackets</w:t>
      </w:r>
      <w:r w:rsidRPr="00C07E09">
        <w:rPr>
          <w:rFonts w:ascii="Arial" w:hAnsi="Arial" w:cs="Arial"/>
          <w:sz w:val="20"/>
          <w:szCs w:val="20"/>
          <w:lang w:val="en-US"/>
        </w:rPr>
        <w:t xml:space="preserve"> refer to the (genome-wide) association study in which the respective polymorphisms were found to be associated with urinary bladder cancer and correspond to the references in the </w:t>
      </w:r>
      <w:r>
        <w:rPr>
          <w:rFonts w:ascii="Arial" w:hAnsi="Arial" w:cs="Arial"/>
          <w:sz w:val="20"/>
          <w:szCs w:val="20"/>
          <w:lang w:val="en-US"/>
        </w:rPr>
        <w:t xml:space="preserve">main </w:t>
      </w:r>
      <w:r w:rsidRPr="00C07E09">
        <w:rPr>
          <w:rFonts w:ascii="Arial" w:hAnsi="Arial" w:cs="Arial"/>
          <w:sz w:val="20"/>
          <w:szCs w:val="20"/>
          <w:lang w:val="en-US"/>
        </w:rPr>
        <w:t xml:space="preserve">manuscript </w:t>
      </w:r>
      <w:r>
        <w:rPr>
          <w:rFonts w:ascii="Arial" w:hAnsi="Arial" w:cs="Arial"/>
          <w:sz w:val="20"/>
          <w:szCs w:val="20"/>
          <w:lang w:val="en-US"/>
        </w:rPr>
        <w:t>relating</w:t>
      </w:r>
      <w:r w:rsidRPr="00C07E0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 this supporting information</w:t>
      </w:r>
      <w:r w:rsidRPr="00C07E09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033ADE" w:rsidRPr="0097551B" w:rsidRDefault="00033ADE" w:rsidP="0097551B">
      <w:pPr>
        <w:rPr>
          <w:lang w:val="en-US"/>
        </w:rPr>
      </w:pPr>
      <w:bookmarkStart w:id="1" w:name="_GoBack"/>
      <w:bookmarkEnd w:id="1"/>
    </w:p>
    <w:sectPr w:rsidR="00033ADE" w:rsidRPr="00975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1B"/>
    <w:rsid w:val="00033ADE"/>
    <w:rsid w:val="009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1</cp:revision>
  <dcterms:created xsi:type="dcterms:W3CDTF">2012-10-16T21:05:00Z</dcterms:created>
  <dcterms:modified xsi:type="dcterms:W3CDTF">2012-10-16T21:06:00Z</dcterms:modified>
</cp:coreProperties>
</file>