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60B3D" w14:textId="77777777" w:rsidR="002B26D6" w:rsidRPr="00AF4F9F" w:rsidRDefault="002B26D6" w:rsidP="002B26D6">
      <w:pPr>
        <w:keepNext/>
        <w:spacing w:line="360" w:lineRule="auto"/>
        <w:jc w:val="center"/>
        <w:rPr>
          <w:rFonts w:ascii="Times" w:hAnsi="Times"/>
          <w:b/>
          <w:sz w:val="28"/>
        </w:rPr>
      </w:pPr>
      <w:r w:rsidRPr="004B0AC3">
        <w:rPr>
          <w:rFonts w:ascii="Times" w:hAnsi="Times"/>
          <w:b/>
          <w:sz w:val="28"/>
        </w:rPr>
        <w:t>Pathway analysis of smoking quantity in multiple GWAS identifies cholinergic and sensory pathways</w:t>
      </w:r>
    </w:p>
    <w:p w14:paraId="2D1A010C" w14:textId="77777777" w:rsidR="002B26D6" w:rsidRPr="00AF4F9F" w:rsidRDefault="002B26D6" w:rsidP="002B26D6">
      <w:pPr>
        <w:spacing w:line="480" w:lineRule="auto"/>
      </w:pPr>
    </w:p>
    <w:p w14:paraId="59A6F3B0" w14:textId="77777777" w:rsidR="002B26D6" w:rsidRPr="00AF4F9F" w:rsidRDefault="002B26D6" w:rsidP="002B26D6">
      <w:pPr>
        <w:spacing w:line="360" w:lineRule="auto"/>
      </w:pPr>
      <w:r w:rsidRPr="00AF4F9F">
        <w:t>Oscar Harari</w:t>
      </w:r>
      <w:r>
        <w:t xml:space="preserve"> PhD</w:t>
      </w:r>
      <w:r w:rsidRPr="00AF4F9F">
        <w:rPr>
          <w:vertAlign w:val="superscript"/>
        </w:rPr>
        <w:t>1</w:t>
      </w:r>
      <w:r>
        <w:t>,</w:t>
      </w:r>
      <w:r w:rsidRPr="00AF4F9F">
        <w:t xml:space="preserve"> </w:t>
      </w:r>
      <w:r w:rsidRPr="007E773C">
        <w:t>Jen-Chyong</w:t>
      </w:r>
      <w:r w:rsidRPr="00AF4F9F">
        <w:t xml:space="preserve"> Wang</w:t>
      </w:r>
      <w:r w:rsidRPr="00DA389A">
        <w:t xml:space="preserve"> </w:t>
      </w:r>
      <w:r>
        <w:t>PhD</w:t>
      </w:r>
      <w:r w:rsidRPr="00AF4F9F">
        <w:rPr>
          <w:vertAlign w:val="superscript"/>
        </w:rPr>
        <w:t>1</w:t>
      </w:r>
      <w:r>
        <w:t xml:space="preserve">,  </w:t>
      </w:r>
      <w:r w:rsidRPr="00AF4F9F">
        <w:t>Kathleen Bucholz</w:t>
      </w:r>
      <w:r w:rsidRPr="00DA389A">
        <w:t xml:space="preserve"> </w:t>
      </w:r>
      <w:r>
        <w:t>PhD</w:t>
      </w:r>
      <w:r w:rsidRPr="00AF4F9F">
        <w:rPr>
          <w:vertAlign w:val="superscript"/>
        </w:rPr>
        <w:t>1</w:t>
      </w:r>
      <w:r>
        <w:t xml:space="preserve">,  </w:t>
      </w:r>
      <w:r w:rsidRPr="00AF4F9F">
        <w:t>Howard J. Edenberg</w:t>
      </w:r>
      <w:r w:rsidRPr="00DA389A">
        <w:t xml:space="preserve"> </w:t>
      </w:r>
      <w:r>
        <w:t>PhD</w:t>
      </w:r>
      <w:r>
        <w:rPr>
          <w:vertAlign w:val="superscript"/>
        </w:rPr>
        <w:t>2</w:t>
      </w:r>
      <w:r>
        <w:t xml:space="preserve">,  </w:t>
      </w:r>
      <w:r w:rsidRPr="00AF4F9F">
        <w:t xml:space="preserve">Andrew </w:t>
      </w:r>
      <w:r>
        <w:t>Heath DPhil</w:t>
      </w:r>
      <w:r w:rsidRPr="00AF4F9F">
        <w:rPr>
          <w:vertAlign w:val="superscript"/>
        </w:rPr>
        <w:t>1</w:t>
      </w:r>
      <w:r>
        <w:t xml:space="preserve">,  </w:t>
      </w:r>
      <w:r w:rsidRPr="00AF4F9F">
        <w:t>Nic</w:t>
      </w:r>
      <w:r>
        <w:t xml:space="preserve">holas G. </w:t>
      </w:r>
      <w:r w:rsidRPr="00AF4F9F">
        <w:t xml:space="preserve"> Martin</w:t>
      </w:r>
      <w:r w:rsidRPr="00DA389A">
        <w:t xml:space="preserve"> </w:t>
      </w:r>
      <w:r>
        <w:t>PhD</w:t>
      </w:r>
      <w:r>
        <w:rPr>
          <w:vertAlign w:val="superscript"/>
        </w:rPr>
        <w:t>3</w:t>
      </w:r>
      <w:r>
        <w:t xml:space="preserve">,  Michele L. </w:t>
      </w:r>
      <w:r w:rsidRPr="00AF4F9F">
        <w:t xml:space="preserve">Pergadia  </w:t>
      </w:r>
      <w:r>
        <w:t>PhD</w:t>
      </w:r>
      <w:r w:rsidRPr="00AF4F9F">
        <w:rPr>
          <w:vertAlign w:val="superscript"/>
        </w:rPr>
        <w:t>1</w:t>
      </w:r>
      <w:r>
        <w:t xml:space="preserve">,  </w:t>
      </w:r>
      <w:r w:rsidRPr="00AF4F9F">
        <w:t>Grant Montgomery</w:t>
      </w:r>
      <w:r w:rsidRPr="00DA389A">
        <w:t xml:space="preserve"> </w:t>
      </w:r>
      <w:r>
        <w:t>PhD</w:t>
      </w:r>
      <w:r>
        <w:rPr>
          <w:vertAlign w:val="superscript"/>
        </w:rPr>
        <w:t>4</w:t>
      </w:r>
      <w:r>
        <w:t xml:space="preserve">,  </w:t>
      </w:r>
      <w:r w:rsidRPr="00AF4F9F">
        <w:t>Andrew Schrage</w:t>
      </w:r>
      <w:r>
        <w:t xml:space="preserve"> MS</w:t>
      </w:r>
      <w:r w:rsidRPr="00AF4F9F">
        <w:rPr>
          <w:vertAlign w:val="superscript"/>
        </w:rPr>
        <w:t>1</w:t>
      </w:r>
      <w:r w:rsidRPr="00AF4F9F">
        <w:t>,</w:t>
      </w:r>
      <w:r>
        <w:t xml:space="preserve">  </w:t>
      </w:r>
      <w:r w:rsidRPr="00AF4F9F">
        <w:t xml:space="preserve">Laura </w:t>
      </w:r>
      <w:r>
        <w:t xml:space="preserve">J. </w:t>
      </w:r>
      <w:r w:rsidRPr="00AF4F9F">
        <w:t>Bierut</w:t>
      </w:r>
      <w:r>
        <w:t xml:space="preserve"> MD</w:t>
      </w:r>
      <w:r w:rsidRPr="00AF4F9F">
        <w:rPr>
          <w:vertAlign w:val="superscript"/>
        </w:rPr>
        <w:t>1</w:t>
      </w:r>
      <w:r w:rsidRPr="00AF4F9F">
        <w:t>,</w:t>
      </w:r>
      <w:r>
        <w:t xml:space="preserve">  </w:t>
      </w:r>
      <w:r w:rsidRPr="00AF4F9F">
        <w:t>Pamela F. Madden</w:t>
      </w:r>
      <w:r>
        <w:t xml:space="preserve"> PhD</w:t>
      </w:r>
      <w:r w:rsidRPr="00AF4F9F">
        <w:rPr>
          <w:vertAlign w:val="superscript"/>
        </w:rPr>
        <w:t>1</w:t>
      </w:r>
      <w:r w:rsidRPr="00AF4F9F">
        <w:t xml:space="preserve">,and Alison M. Goate </w:t>
      </w:r>
      <w:r>
        <w:t>DPhil</w:t>
      </w:r>
      <w:r w:rsidRPr="00AF4F9F">
        <w:rPr>
          <w:vertAlign w:val="superscript"/>
        </w:rPr>
        <w:t>1</w:t>
      </w:r>
      <w:r>
        <w:rPr>
          <w:vertAlign w:val="superscript"/>
        </w:rPr>
        <w:t>,*</w:t>
      </w:r>
    </w:p>
    <w:p w14:paraId="74DF87F7" w14:textId="77777777" w:rsidR="002B26D6" w:rsidRPr="00AF4F9F" w:rsidRDefault="002B26D6" w:rsidP="002B26D6">
      <w:pPr>
        <w:spacing w:line="360" w:lineRule="auto"/>
      </w:pPr>
    </w:p>
    <w:p w14:paraId="3E70178D" w14:textId="77777777" w:rsidR="002B26D6" w:rsidRDefault="002B26D6" w:rsidP="002B26D6">
      <w:pPr>
        <w:spacing w:line="360" w:lineRule="auto"/>
        <w:outlineLvl w:val="0"/>
      </w:pPr>
      <w:r w:rsidRPr="00AF4F9F">
        <w:rPr>
          <w:vertAlign w:val="superscript"/>
        </w:rPr>
        <w:t>1</w:t>
      </w:r>
      <w:r w:rsidRPr="00AF4F9F">
        <w:t xml:space="preserve">Department of Psychiatry, Washington University School of Medicine, St. Louis, </w:t>
      </w:r>
      <w:r>
        <w:rPr>
          <w:rFonts w:ascii="Verdana" w:eastAsia="Times New Roman" w:hAnsi="Verdana" w:cs="Verdana"/>
          <w:color w:val="242424"/>
          <w:sz w:val="20"/>
          <w:szCs w:val="20"/>
        </w:rPr>
        <w:t>Missouri, USA</w:t>
      </w:r>
    </w:p>
    <w:p w14:paraId="6D4449C5" w14:textId="77777777" w:rsidR="002B26D6" w:rsidRPr="004964F2" w:rsidRDefault="002B26D6" w:rsidP="002B26D6">
      <w:pPr>
        <w:spacing w:line="360" w:lineRule="auto"/>
        <w:outlineLvl w:val="0"/>
      </w:pPr>
      <w:r w:rsidRPr="00723C5E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4964F2">
        <w:t>Department of Biochemistry and Molecular Biology, School of Medicine, Indiana University, Indianapolis, Indiana</w:t>
      </w:r>
    </w:p>
    <w:p w14:paraId="6FCF0AB1" w14:textId="77777777" w:rsidR="002B26D6" w:rsidRDefault="002B26D6" w:rsidP="002B26D6">
      <w:pPr>
        <w:spacing w:line="360" w:lineRule="auto"/>
        <w:outlineLvl w:val="0"/>
      </w:pPr>
      <w:r>
        <w:rPr>
          <w:vertAlign w:val="superscript"/>
        </w:rPr>
        <w:t>3</w:t>
      </w:r>
      <w:r w:rsidRPr="00AF4DC3">
        <w:rPr>
          <w:rFonts w:ascii="Verdana" w:eastAsia="Times New Roman" w:hAnsi="Verdana" w:cs="Verdana"/>
          <w:color w:val="242424"/>
          <w:sz w:val="20"/>
          <w:szCs w:val="20"/>
        </w:rPr>
        <w:t xml:space="preserve"> </w:t>
      </w:r>
      <w:r w:rsidRPr="00AF4DC3">
        <w:t>Genetic Epidemiology, Queensland Institute of Medical Research, Brisbane, Australia</w:t>
      </w:r>
      <w:r>
        <w:t xml:space="preserve"> </w:t>
      </w:r>
    </w:p>
    <w:p w14:paraId="74DA1984" w14:textId="77777777" w:rsidR="002B26D6" w:rsidRPr="00B93021" w:rsidRDefault="002B26D6" w:rsidP="002B26D6">
      <w:pPr>
        <w:spacing w:line="360" w:lineRule="auto"/>
        <w:outlineLvl w:val="0"/>
      </w:pPr>
      <w:r>
        <w:rPr>
          <w:vertAlign w:val="superscript"/>
        </w:rPr>
        <w:t>4</w:t>
      </w:r>
      <w:r w:rsidRPr="00AF4DC3">
        <w:rPr>
          <w:rFonts w:ascii="Verdana" w:eastAsia="Times New Roman" w:hAnsi="Verdana" w:cs="Verdana"/>
          <w:color w:val="242424"/>
          <w:sz w:val="20"/>
          <w:szCs w:val="20"/>
        </w:rPr>
        <w:t xml:space="preserve"> </w:t>
      </w:r>
      <w:r w:rsidRPr="00B93021">
        <w:t>Molecular Epidemology, Queensland Institute of Medical Research, Brisbane, Australia</w:t>
      </w:r>
    </w:p>
    <w:p w14:paraId="3B44BCF9" w14:textId="77777777" w:rsidR="002A1E16" w:rsidRDefault="002A1E16" w:rsidP="002A1E16">
      <w:pPr>
        <w:spacing w:line="480" w:lineRule="auto"/>
        <w:rPr>
          <w:rFonts w:ascii="Cambria Bold" w:hAnsi="Cambria Bold"/>
        </w:rPr>
      </w:pPr>
    </w:p>
    <w:p w14:paraId="57126F67" w14:textId="77777777" w:rsidR="002A1E16" w:rsidRPr="002B26D6" w:rsidRDefault="002A1E16" w:rsidP="002B26D6">
      <w:pPr>
        <w:spacing w:line="480" w:lineRule="auto"/>
        <w:rPr>
          <w:rFonts w:ascii="Cambria Bold" w:hAnsi="Cambria Bold"/>
          <w:sz w:val="28"/>
        </w:rPr>
      </w:pPr>
      <w:r w:rsidRPr="002B26D6">
        <w:rPr>
          <w:rFonts w:ascii="Cambria Bold" w:hAnsi="Cambria Bold"/>
          <w:sz w:val="28"/>
        </w:rPr>
        <w:t xml:space="preserve">Supporting Text S3 - Statistical analysis </w:t>
      </w:r>
    </w:p>
    <w:p w14:paraId="79489F2D" w14:textId="68255822" w:rsidR="002A1E16" w:rsidRPr="00AF4F9F" w:rsidRDefault="002A1E16" w:rsidP="002A1E16">
      <w:pPr>
        <w:spacing w:line="480" w:lineRule="auto"/>
      </w:pPr>
      <w:r>
        <w:t>A</w:t>
      </w:r>
      <w:r w:rsidRPr="00AF4F9F">
        <w:t xml:space="preserve">ssociation </w:t>
      </w:r>
      <w:r w:rsidRPr="00AF4F9F">
        <w:rPr>
          <w:rFonts w:ascii="Cambria Italic" w:hAnsi="Cambria Italic"/>
        </w:rPr>
        <w:t xml:space="preserve">p-values </w:t>
      </w:r>
      <w:r w:rsidRPr="00AF4F9F">
        <w:t xml:space="preserve">were calculated for unrelated samples datasets (SAGE and ARIC) employing </w:t>
      </w:r>
      <w:r>
        <w:t xml:space="preserve">linear regression models </w:t>
      </w:r>
      <w:r w:rsidRPr="00AF4F9F">
        <w:t xml:space="preserve">implemented in PLINK  v1.07 </w:t>
      </w:r>
      <w:r>
        <w:fldChar w:fldCharType="begin"/>
      </w:r>
      <w:r>
        <w:instrText xml:space="preserve"> ADDIN PAPERS2_CITATIONS &lt;citation&gt;&lt;uuid&gt;8773AAB1-6348-4140-98C3-03FB0238FD4B&lt;/uuid&gt;&lt;priority&gt;19&lt;/priority&gt;&lt;publications&gt;&lt;publication&gt;&lt;uuid&gt;BD4BFDD2-7FFA-4A68-9A1E-271BA4767493&lt;/uuid&gt;&lt;volume&gt;81&lt;/volume&gt;&lt;accepted_date&gt;99200705021200000000222000&lt;/accepted_date&gt;&lt;doi&gt;10.1086/519795&lt;/doi&gt;&lt;startpage&gt;559&lt;/startpage&gt;&lt;publication_date&gt;99200709001200000000220000&lt;/publication_date&gt;&lt;url&gt;http://eutils.ncbi.nlm.nih.gov/entrez/eutils/elink.fcgi?dbfrom=pubmed&amp;amp;id=17701901&amp;amp;retmode=ref&amp;amp;cmd=prlinks&lt;/url&gt;&lt;type&gt;400&lt;/type&gt;&lt;title&gt;PLINK: a tool set for whole-genome association and population-based linkage analyses.&lt;/title&gt;&lt;location&gt;200,9,42.3636493,-71.0691360&lt;/location&gt;&lt;submission_date&gt;99200702061200000000222000&lt;/submission_date&gt;&lt;number&gt;3&lt;/number&gt;&lt;institution&gt;Center for Human Genetic Research, Massachusetts General Hospital, Boston, MA 02114, USA. shaun@pngu.mgh.harvard.edu&lt;/institution&gt;&lt;subtype&gt;400&lt;/subtype&gt;&lt;endpage&gt;575&lt;/endpage&gt;&lt;bundle&gt;&lt;publication&gt;&lt;publisher&gt;The American Society of Human Genetics&lt;/publisher&gt;&lt;title&gt;Am J Hum Genet&lt;/title&gt;&lt;type&gt;-100&lt;/type&gt;&lt;subtype&gt;-100&lt;/subtype&gt;&lt;uuid&gt;99B8A500-32F4-4AC8-A517-F096CC703F9E&lt;/uuid&gt;&lt;/publication&gt;&lt;/bundle&gt;&lt;authors&gt;&lt;author&gt;&lt;firstName&gt;Shaun&lt;/firstName&gt;&lt;lastName&gt;Purcell&lt;/lastName&gt;&lt;/author&gt;&lt;author&gt;&lt;firstName&gt;Benjamin&lt;/firstName&gt;&lt;lastName&gt;Neale&lt;/lastName&gt;&lt;/author&gt;&lt;author&gt;&lt;firstName&gt;Kathe&lt;/firstName&gt;&lt;lastName&gt;Todd-Brown&lt;/lastName&gt;&lt;/author&gt;&lt;author&gt;&lt;firstName&gt;Lori&lt;/firstName&gt;&lt;lastName&gt;Thomas&lt;/lastName&gt;&lt;/author&gt;&lt;author&gt;&lt;firstName&gt;Manuel&lt;/firstName&gt;&lt;middleNames&gt;A R&lt;/middleNames&gt;&lt;lastName&gt;Ferreira&lt;/lastName&gt;&lt;/author&gt;&lt;author&gt;&lt;firstName&gt;David&lt;/firstName&gt;&lt;lastName&gt;Bender&lt;/lastName&gt;&lt;/author&gt;&lt;author&gt;&lt;firstName&gt;Julian&lt;/firstName&gt;&lt;lastName&gt;Maller&lt;/lastName&gt;&lt;/author&gt;&lt;author&gt;&lt;firstName&gt;Pamela&lt;/firstName&gt;&lt;lastName&gt;Sklar&lt;/lastName&gt;&lt;/author&gt;&lt;author&gt;&lt;lastName&gt;Bakker&lt;/lastName&gt;&lt;nonDroppingParticle&gt;de&lt;/nonDroppingParticle&gt;&lt;firstName&gt;Paul&lt;/firstName&gt;&lt;middleNames&gt;I W&lt;/middleNames&gt;&lt;/author&gt;&lt;author&gt;&lt;firstName&gt;Mark&lt;/firstName&gt;&lt;middleNames&gt;J&lt;/middleNames&gt;&lt;lastName&gt;Daly&lt;/lastName&gt;&lt;/author&gt;&lt;author&gt;&lt;firstName&gt;Pak&lt;/firstName&gt;&lt;middleNames&gt;C&lt;/middleNames&gt;&lt;lastName&gt;Sham&lt;/lastName&gt;&lt;/author&gt;&lt;/authors&gt;&lt;/publication&gt;&lt;/publications&gt;&lt;cites&gt;&lt;/cites&gt;&lt;/citation&gt;</w:instrText>
      </w:r>
      <w:r>
        <w:fldChar w:fldCharType="separate"/>
      </w:r>
      <w:r>
        <w:rPr>
          <w:rFonts w:eastAsiaTheme="minorEastAsia" w:cs="Cambria"/>
          <w:color w:val="auto"/>
          <w:vertAlign w:val="superscript"/>
        </w:rPr>
        <w:t>1</w:t>
      </w:r>
      <w:r>
        <w:fldChar w:fldCharType="end"/>
      </w:r>
      <w:r w:rsidRPr="00AF4F9F">
        <w:t xml:space="preserve">, including gender as a covariate.  In the case of the SAGE dataset, we also adjusted for alcohol and cocaine dependence and age, which was represented as quartiles (&lt;35; 35-40; 40-45; and ≥45) </w:t>
      </w:r>
      <w:r w:rsidR="00A25971" w:rsidRPr="00A25971">
        <w:rPr>
          <w:vertAlign w:val="superscript"/>
        </w:rPr>
        <w:t>2</w:t>
      </w:r>
      <w:r w:rsidRPr="004B0AC3">
        <w:t xml:space="preserve">. </w:t>
      </w:r>
      <w:r w:rsidRPr="00AF4F9F">
        <w:t xml:space="preserve"> We employed MERLIN v1.1.2 </w:t>
      </w:r>
      <w:r w:rsidR="00A25971" w:rsidRPr="00A25971">
        <w:rPr>
          <w:vertAlign w:val="superscript"/>
        </w:rPr>
        <w:t>3</w:t>
      </w:r>
      <w:r w:rsidRPr="00AF4F9F">
        <w:t xml:space="preserve"> to perform the association test for the family-based OZALC-NAG</w:t>
      </w:r>
      <w:r w:rsidRPr="004B0AC3">
        <w:t xml:space="preserve"> dataset (fastAssoc option), adjusting for age and gender.</w:t>
      </w:r>
    </w:p>
    <w:p w14:paraId="720F7C9A" w14:textId="77777777" w:rsidR="002A1E16" w:rsidRDefault="002A1E16" w:rsidP="002A1E16">
      <w:pPr>
        <w:rPr>
          <w:b/>
        </w:rPr>
      </w:pPr>
    </w:p>
    <w:p w14:paraId="572C1881" w14:textId="77777777" w:rsidR="002A1E16" w:rsidRDefault="002A1E16" w:rsidP="002A1E16">
      <w:pPr>
        <w:rPr>
          <w:b/>
        </w:rPr>
      </w:pPr>
    </w:p>
    <w:p w14:paraId="51B4F0BE" w14:textId="77777777" w:rsidR="002A1E16" w:rsidRPr="008940A5" w:rsidRDefault="002A1E16" w:rsidP="002A1E16">
      <w:pPr>
        <w:rPr>
          <w:b/>
        </w:rPr>
      </w:pPr>
      <w:r w:rsidRPr="008940A5">
        <w:rPr>
          <w:b/>
        </w:rPr>
        <w:lastRenderedPageBreak/>
        <w:t>References</w:t>
      </w:r>
    </w:p>
    <w:p w14:paraId="258487BC" w14:textId="77777777" w:rsidR="002A1E16" w:rsidRDefault="002A1E16" w:rsidP="002A1E16"/>
    <w:p w14:paraId="6858018C" w14:textId="0012E1E2" w:rsidR="002A1E16" w:rsidRDefault="002A1E16" w:rsidP="002A1E16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</w:p>
    <w:p w14:paraId="1F7B7E96" w14:textId="424F97C4" w:rsidR="002A1E16" w:rsidRDefault="00A25971" w:rsidP="002A1E16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rPr>
          <w:rFonts w:eastAsiaTheme="minorEastAsia" w:cs="Cambria"/>
          <w:color w:val="auto"/>
        </w:rPr>
        <w:t>1</w:t>
      </w:r>
      <w:r w:rsidR="002A1E16">
        <w:rPr>
          <w:rFonts w:eastAsiaTheme="minorEastAsia" w:cs="Cambria"/>
          <w:color w:val="auto"/>
        </w:rPr>
        <w:t>.</w:t>
      </w:r>
      <w:r w:rsidR="002A1E16">
        <w:rPr>
          <w:rFonts w:eastAsiaTheme="minorEastAsia" w:cs="Cambria"/>
          <w:color w:val="auto"/>
        </w:rPr>
        <w:tab/>
        <w:t xml:space="preserve">Purcell S, Neale B, Todd-Brown K, Thomas L, Ferreira MAR, Bender D, </w:t>
      </w:r>
      <w:r w:rsidR="002A1E16">
        <w:rPr>
          <w:rFonts w:eastAsiaTheme="minorEastAsia" w:cs="Cambria"/>
          <w:i/>
          <w:iCs/>
          <w:color w:val="auto"/>
        </w:rPr>
        <w:t>et al.</w:t>
      </w:r>
      <w:r w:rsidR="002A1E16">
        <w:rPr>
          <w:rFonts w:eastAsiaTheme="minorEastAsia" w:cs="Cambria"/>
          <w:color w:val="auto"/>
        </w:rPr>
        <w:t xml:space="preserve"> PLINK: a tool set for whole-genome association and population-based linkage analyses. </w:t>
      </w:r>
      <w:r w:rsidR="002A1E16">
        <w:rPr>
          <w:rFonts w:eastAsiaTheme="minorEastAsia" w:cs="Cambria"/>
          <w:i/>
          <w:iCs/>
          <w:color w:val="auto"/>
        </w:rPr>
        <w:t>Am J Hum Genet</w:t>
      </w:r>
      <w:r w:rsidR="002A1E16">
        <w:rPr>
          <w:rFonts w:eastAsiaTheme="minorEastAsia" w:cs="Cambria"/>
          <w:color w:val="auto"/>
        </w:rPr>
        <w:t xml:space="preserve"> 2007 Sep.; </w:t>
      </w:r>
      <w:r w:rsidR="002A1E16">
        <w:rPr>
          <w:rFonts w:eastAsiaTheme="minorEastAsia" w:cs="Cambria"/>
          <w:b/>
          <w:bCs/>
          <w:color w:val="auto"/>
        </w:rPr>
        <w:t>81</w:t>
      </w:r>
      <w:r w:rsidR="002A1E16">
        <w:rPr>
          <w:rFonts w:eastAsiaTheme="minorEastAsia" w:cs="Cambria"/>
          <w:color w:val="auto"/>
        </w:rPr>
        <w:t xml:space="preserve">: 559–575. </w:t>
      </w:r>
    </w:p>
    <w:p w14:paraId="76097754" w14:textId="3B71A90C" w:rsidR="00A25971" w:rsidRDefault="00A25971" w:rsidP="00A25971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rPr>
          <w:rFonts w:eastAsiaTheme="minorEastAsia" w:cs="Cambria"/>
          <w:color w:val="auto"/>
        </w:rPr>
        <w:t>2</w:t>
      </w:r>
      <w:r>
        <w:rPr>
          <w:rFonts w:eastAsiaTheme="minorEastAsia" w:cs="Cambria"/>
          <w:color w:val="auto"/>
        </w:rPr>
        <w:t>.</w:t>
      </w:r>
      <w:r>
        <w:rPr>
          <w:rFonts w:eastAsiaTheme="minorEastAsia" w:cs="Cambria"/>
          <w:color w:val="auto"/>
        </w:rPr>
        <w:tab/>
        <w:t xml:space="preserve">Bierut LJ, Agrawal A, Bucholz KK, Doheny KF, Laurie C, Pugh E, </w:t>
      </w:r>
      <w:r>
        <w:rPr>
          <w:rFonts w:eastAsiaTheme="minorEastAsia" w:cs="Cambria"/>
          <w:i/>
          <w:iCs/>
          <w:color w:val="auto"/>
        </w:rPr>
        <w:t>et al.</w:t>
      </w:r>
      <w:r>
        <w:rPr>
          <w:rFonts w:eastAsiaTheme="minorEastAsia" w:cs="Cambria"/>
          <w:color w:val="auto"/>
        </w:rPr>
        <w:t xml:space="preserve"> A genome-wide association study of alcohol dependence. </w:t>
      </w:r>
      <w:r>
        <w:rPr>
          <w:rFonts w:eastAsiaTheme="minorEastAsia" w:cs="Cambria"/>
          <w:i/>
          <w:iCs/>
          <w:color w:val="auto"/>
        </w:rPr>
        <w:t>Proc Natl Acad Sci USA</w:t>
      </w:r>
      <w:r>
        <w:rPr>
          <w:rFonts w:eastAsiaTheme="minorEastAsia" w:cs="Cambria"/>
          <w:color w:val="auto"/>
        </w:rPr>
        <w:t xml:space="preserve"> 2010 Mar. 16; </w:t>
      </w:r>
      <w:r>
        <w:rPr>
          <w:rFonts w:eastAsiaTheme="minorEastAsia" w:cs="Cambria"/>
          <w:b/>
          <w:bCs/>
          <w:color w:val="auto"/>
        </w:rPr>
        <w:t>107</w:t>
      </w:r>
      <w:r>
        <w:rPr>
          <w:rFonts w:eastAsiaTheme="minorEastAsia" w:cs="Cambria"/>
          <w:color w:val="auto"/>
        </w:rPr>
        <w:t xml:space="preserve">: 5082–5087. </w:t>
      </w:r>
    </w:p>
    <w:p w14:paraId="5FB3FF35" w14:textId="464A6C04" w:rsidR="002A1E16" w:rsidRDefault="00A25971" w:rsidP="002A1E16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rPr>
          <w:rFonts w:eastAsiaTheme="minorEastAsia" w:cs="Cambria"/>
          <w:color w:val="auto"/>
        </w:rPr>
        <w:t>3</w:t>
      </w:r>
      <w:bookmarkStart w:id="0" w:name="_GoBack"/>
      <w:bookmarkEnd w:id="0"/>
      <w:r w:rsidR="002A1E16">
        <w:rPr>
          <w:rFonts w:eastAsiaTheme="minorEastAsia" w:cs="Cambria"/>
          <w:color w:val="auto"/>
        </w:rPr>
        <w:t>.</w:t>
      </w:r>
      <w:r w:rsidR="002A1E16">
        <w:rPr>
          <w:rFonts w:eastAsiaTheme="minorEastAsia" w:cs="Cambria"/>
          <w:color w:val="auto"/>
        </w:rPr>
        <w:tab/>
        <w:t xml:space="preserve">Abecasis GR, Cherny SS, Cookson WO, Cardon LR. Merlin--rapid analysis of dense genetic maps using sparse gene flow trees. </w:t>
      </w:r>
      <w:r w:rsidR="002A1E16">
        <w:rPr>
          <w:rFonts w:eastAsiaTheme="minorEastAsia" w:cs="Cambria"/>
          <w:i/>
          <w:iCs/>
          <w:color w:val="auto"/>
        </w:rPr>
        <w:t>Nat Genet</w:t>
      </w:r>
      <w:r w:rsidR="002A1E16">
        <w:rPr>
          <w:rFonts w:eastAsiaTheme="minorEastAsia" w:cs="Cambria"/>
          <w:color w:val="auto"/>
        </w:rPr>
        <w:t xml:space="preserve"> 2002 Jan.; </w:t>
      </w:r>
      <w:r w:rsidR="002A1E16">
        <w:rPr>
          <w:rFonts w:eastAsiaTheme="minorEastAsia" w:cs="Cambria"/>
          <w:b/>
          <w:bCs/>
          <w:color w:val="auto"/>
        </w:rPr>
        <w:t>30</w:t>
      </w:r>
      <w:r w:rsidR="002A1E16">
        <w:rPr>
          <w:rFonts w:eastAsiaTheme="minorEastAsia" w:cs="Cambria"/>
          <w:color w:val="auto"/>
        </w:rPr>
        <w:t xml:space="preserve">: 97–101. </w:t>
      </w:r>
    </w:p>
    <w:p w14:paraId="17526F5F" w14:textId="77777777" w:rsidR="00B6337D" w:rsidRDefault="002A1E16" w:rsidP="002A1E16">
      <w:r>
        <w:fldChar w:fldCharType="end"/>
      </w:r>
    </w:p>
    <w:sectPr w:rsidR="00B6337D" w:rsidSect="00980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 Italic">
    <w:panose1 w:val="020405030504060A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16"/>
    <w:rsid w:val="002A1E16"/>
    <w:rsid w:val="002B26D6"/>
    <w:rsid w:val="00980FFA"/>
    <w:rsid w:val="00A25971"/>
    <w:rsid w:val="00B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B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16"/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16"/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3495</Characters>
  <Application>Microsoft Macintosh Word</Application>
  <DocSecurity>0</DocSecurity>
  <Lines>29</Lines>
  <Paragraphs>8</Paragraphs>
  <ScaleCrop>false</ScaleCrop>
  <Company>Washington University in St. Louis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Harari</dc:creator>
  <cp:keywords/>
  <dc:description/>
  <cp:lastModifiedBy>Oscar Harari</cp:lastModifiedBy>
  <cp:revision>3</cp:revision>
  <dcterms:created xsi:type="dcterms:W3CDTF">2012-11-05T17:26:00Z</dcterms:created>
  <dcterms:modified xsi:type="dcterms:W3CDTF">2012-11-05T17:40:00Z</dcterms:modified>
</cp:coreProperties>
</file>