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96" w:rsidRDefault="001B5196" w:rsidP="00DA4357">
      <w:pPr>
        <w:spacing w:after="0" w:line="360" w:lineRule="auto"/>
      </w:pPr>
      <w:r w:rsidRPr="00A432A8">
        <w:rPr>
          <w:b/>
        </w:rPr>
        <w:t xml:space="preserve">Statistical Analysis </w:t>
      </w:r>
    </w:p>
    <w:p w:rsidR="009056B5" w:rsidRDefault="009056B5" w:rsidP="00DA4357">
      <w:pPr>
        <w:spacing w:after="0" w:line="360" w:lineRule="auto"/>
      </w:pPr>
    </w:p>
    <w:p w:rsidR="00C364C2" w:rsidRDefault="001B5196" w:rsidP="00DA4357">
      <w:pPr>
        <w:spacing w:after="0" w:line="360" w:lineRule="auto"/>
      </w:pPr>
      <w:r>
        <w:t>In line with our hypothesis, there are 3 binary factors that can be</w:t>
      </w:r>
      <w:r w:rsidR="00525BD5">
        <w:t xml:space="preserve"> </w:t>
      </w:r>
      <w:r>
        <w:t xml:space="preserve">determined for the 9 pictures of eyes and that differ for Imeni and Geheset.  </w:t>
      </w:r>
      <w:r w:rsidR="009C3646">
        <w:t>Imeni</w:t>
      </w:r>
      <w:r>
        <w:t xml:space="preserve"> was male, Egyptian,</w:t>
      </w:r>
      <w:r w:rsidR="00325010">
        <w:t xml:space="preserve"> of </w:t>
      </w:r>
      <w:r w:rsidR="007E7E8E">
        <w:t>Caucasian</w:t>
      </w:r>
      <w:r w:rsidR="00325010">
        <w:t xml:space="preserve"> ethnicity</w:t>
      </w:r>
      <w:r>
        <w:t xml:space="preserve"> and </w:t>
      </w:r>
      <w:r w:rsidR="00325010">
        <w:t xml:space="preserve">the Udjat eyes on his sarcophagus </w:t>
      </w:r>
      <w:r>
        <w:t>had light</w:t>
      </w:r>
      <w:r w:rsidR="00126C58">
        <w:t xml:space="preserve">er but still black </w:t>
      </w:r>
      <w:r w:rsidR="00107581">
        <w:t>colored</w:t>
      </w:r>
      <w:r>
        <w:t xml:space="preserve"> irises, whereas Geheset was female, Nubian,</w:t>
      </w:r>
      <w:r w:rsidR="00325010">
        <w:t xml:space="preserve"> of black ethnicity</w:t>
      </w:r>
      <w:r>
        <w:t xml:space="preserve"> and had dark</w:t>
      </w:r>
      <w:r w:rsidR="00325010">
        <w:t>er</w:t>
      </w:r>
      <w:r w:rsidR="00126C58">
        <w:t xml:space="preserve"> black</w:t>
      </w:r>
      <w:r>
        <w:t xml:space="preserve"> irises in </w:t>
      </w:r>
      <w:r w:rsidR="00325010">
        <w:t xml:space="preserve">the </w:t>
      </w:r>
      <w:r>
        <w:t>Udjat eyes</w:t>
      </w:r>
      <w:r w:rsidR="00325010">
        <w:t xml:space="preserve"> on her sarcophagus</w:t>
      </w:r>
      <w:r>
        <w:t xml:space="preserve">. In the 9 </w:t>
      </w:r>
      <w:r w:rsidR="00325010">
        <w:t xml:space="preserve">numbered </w:t>
      </w:r>
      <w:r>
        <w:t>pictures</w:t>
      </w:r>
      <w:r w:rsidR="00325010">
        <w:t xml:space="preserve"> of living eyes</w:t>
      </w:r>
      <w:r>
        <w:t xml:space="preserve"> male=(</w:t>
      </w:r>
      <w:r w:rsidR="00325010">
        <w:t>#</w:t>
      </w:r>
      <w:r w:rsidR="00107581">
        <w:t>2,</w:t>
      </w:r>
      <w:r w:rsidR="00325010">
        <w:t>#</w:t>
      </w:r>
      <w:r w:rsidR="00107581">
        <w:t>3,</w:t>
      </w:r>
      <w:r w:rsidR="00325010">
        <w:t>#</w:t>
      </w:r>
      <w:r w:rsidR="00107581">
        <w:t>4,</w:t>
      </w:r>
      <w:r w:rsidR="00325010">
        <w:t>#</w:t>
      </w:r>
      <w:r w:rsidR="00107581">
        <w:t>5,</w:t>
      </w:r>
      <w:r w:rsidR="00325010">
        <w:t>#</w:t>
      </w:r>
      <w:r w:rsidR="00107581">
        <w:t>6,</w:t>
      </w:r>
      <w:r w:rsidR="00325010">
        <w:t>#</w:t>
      </w:r>
      <w:r w:rsidR="00107581">
        <w:t>7,</w:t>
      </w:r>
      <w:r w:rsidR="00325010">
        <w:t>#</w:t>
      </w:r>
      <w:r w:rsidR="00107581">
        <w:t xml:space="preserve">8 </w:t>
      </w:r>
      <w:r>
        <w:t xml:space="preserve">), </w:t>
      </w:r>
      <w:r w:rsidR="00126C58">
        <w:t>Andeans (</w:t>
      </w:r>
      <w:r w:rsidR="007E7E8E">
        <w:t>Caucasian</w:t>
      </w:r>
      <w:r w:rsidR="00126C58">
        <w:t xml:space="preserve"> ethnicity) </w:t>
      </w:r>
      <w:r>
        <w:t xml:space="preserve">= </w:t>
      </w:r>
      <w:r w:rsidR="00107581" w:rsidRPr="00107581">
        <w:t>(</w:t>
      </w:r>
      <w:r w:rsidR="00325010">
        <w:t>#</w:t>
      </w:r>
      <w:r w:rsidR="00107581" w:rsidRPr="00107581">
        <w:t>3,</w:t>
      </w:r>
      <w:r w:rsidR="00325010">
        <w:t>#</w:t>
      </w:r>
      <w:r w:rsidR="00107581" w:rsidRPr="00107581">
        <w:t>5,</w:t>
      </w:r>
      <w:r w:rsidR="00325010">
        <w:t>#</w:t>
      </w:r>
      <w:r w:rsidR="00107581" w:rsidRPr="00107581">
        <w:t>7,</w:t>
      </w:r>
      <w:r w:rsidR="00325010">
        <w:t>#</w:t>
      </w:r>
      <w:r w:rsidR="00107581" w:rsidRPr="00107581">
        <w:t>8)</w:t>
      </w:r>
      <w:r w:rsidR="00107581">
        <w:t xml:space="preserve">, </w:t>
      </w:r>
      <w:r>
        <w:t>and light</w:t>
      </w:r>
      <w:r w:rsidR="00826A64">
        <w:t>er colored</w:t>
      </w:r>
      <w:r w:rsidR="00107581">
        <w:t xml:space="preserve"> i</w:t>
      </w:r>
      <w:r>
        <w:t>rises = (</w:t>
      </w:r>
      <w:r w:rsidR="00826A64">
        <w:t>#</w:t>
      </w:r>
      <w:r w:rsidR="00107581">
        <w:t>3,</w:t>
      </w:r>
      <w:r w:rsidR="00826A64">
        <w:t>#</w:t>
      </w:r>
      <w:r w:rsidR="00107581">
        <w:t>5,</w:t>
      </w:r>
      <w:r w:rsidR="00826A64">
        <w:t>#</w:t>
      </w:r>
      <w:r w:rsidR="00107581">
        <w:t>7,</w:t>
      </w:r>
      <w:r w:rsidR="00826A64">
        <w:t>#</w:t>
      </w:r>
      <w:r w:rsidR="00107581">
        <w:t>9</w:t>
      </w:r>
      <w:r w:rsidR="00180816">
        <w:t>)</w:t>
      </w:r>
      <w:r w:rsidR="00835B8F">
        <w:t>. W</w:t>
      </w:r>
      <w:r w:rsidR="009056B5">
        <w:t>hether respondents correctly matched each of these factors more than expected b</w:t>
      </w:r>
      <w:r w:rsidR="006A779B">
        <w:t xml:space="preserve">y random choice is tested by a </w:t>
      </w:r>
      <w:r w:rsidR="00835B8F">
        <w:t>one</w:t>
      </w:r>
      <w:r w:rsidR="009056B5">
        <w:t>-sample</w:t>
      </w:r>
      <w:r w:rsidR="00835B8F">
        <w:t>, two-tailed</w:t>
      </w:r>
      <w:r w:rsidR="009056B5">
        <w:t xml:space="preserve"> binomial test comparing the observed percentage to the random choice target percentage.  T</w:t>
      </w:r>
      <w:r w:rsidR="00A529EE">
        <w:t>he analysis for age (younger vs</w:t>
      </w:r>
      <w:r w:rsidR="00C161F9">
        <w:t>.</w:t>
      </w:r>
      <w:r w:rsidR="00A529EE">
        <w:t xml:space="preserve"> older) among the 9 pictures</w:t>
      </w:r>
      <w:r w:rsidR="00126C58">
        <w:t xml:space="preserve"> of living eyes</w:t>
      </w:r>
      <w:r w:rsidR="00A529EE">
        <w:t xml:space="preserve"> is not as straight forward.  </w:t>
      </w:r>
    </w:p>
    <w:p w:rsidR="00BB4409" w:rsidRDefault="00835B8F" w:rsidP="00DA4357">
      <w:pPr>
        <w:spacing w:after="0" w:line="360" w:lineRule="auto"/>
        <w:rPr>
          <w:b/>
        </w:rPr>
      </w:pPr>
      <w:r>
        <w:t>In case our simple hypothesis</w:t>
      </w:r>
      <w:r w:rsidR="00784001">
        <w:t xml:space="preserve"> proves correct.</w:t>
      </w:r>
      <w:r w:rsidR="00C364C2">
        <w:t xml:space="preserve"> </w:t>
      </w:r>
      <w:r w:rsidR="00784001">
        <w:t>I</w:t>
      </w:r>
      <w:r w:rsidR="00C364C2">
        <w:t>t</w:t>
      </w:r>
      <w:r w:rsidR="00784001">
        <w:t xml:space="preserve"> is also</w:t>
      </w:r>
      <w:r w:rsidR="00C364C2">
        <w:t xml:space="preserve"> important to know whether the matches made for </w:t>
      </w:r>
      <w:r w:rsidR="009C3646">
        <w:t>Imeni</w:t>
      </w:r>
      <w:r w:rsidR="00C364C2">
        <w:t xml:space="preserve"> and Geheset w</w:t>
      </w:r>
      <w:r w:rsidR="00D94BFB">
        <w:t>ere</w:t>
      </w:r>
      <w:r w:rsidR="001F2462">
        <w:t>:</w:t>
      </w:r>
      <w:r w:rsidR="00B06143">
        <w:t xml:space="preserve"> </w:t>
      </w:r>
      <w:r w:rsidR="00D243BA">
        <w:t xml:space="preserve"> 1) completely at random</w:t>
      </w:r>
      <w:r w:rsidR="005D46F5">
        <w:t>,</w:t>
      </w:r>
      <w:r w:rsidR="00D243BA">
        <w:t xml:space="preserve"> 2) independent choice, and/or</w:t>
      </w:r>
      <w:r w:rsidR="005D46F5">
        <w:t>,</w:t>
      </w:r>
      <w:r w:rsidR="001F2462">
        <w:t xml:space="preserve"> </w:t>
      </w:r>
      <w:r w:rsidR="00D243BA">
        <w:t xml:space="preserve">3) differed for the two sets of Udjat eyes.  A Chi-squared goodness-of-fit for the 9x9 =81 combined choice </w:t>
      </w:r>
      <w:r w:rsidR="006C677B">
        <w:t>was</w:t>
      </w:r>
      <w:r w:rsidR="00D243BA">
        <w:t xml:space="preserve"> used to test whether choices are completely at random and Fisher’s exact tests for the 9x9 frequency table of paired choices will be used to test independence of the choices.  Both tests need to be exact tests because of the lo</w:t>
      </w:r>
      <w:r w:rsidR="00D94BFB">
        <w:t>w</w:t>
      </w:r>
      <w:r w:rsidR="00D243BA">
        <w:t xml:space="preserve"> frequencies in many of the cells and we use the Monte Carlo simulation option with 1,000,000 simulations</w:t>
      </w:r>
      <w:r w:rsidR="00E22DC6">
        <w:t xml:space="preserve"> in </w:t>
      </w:r>
      <w:proofErr w:type="spellStart"/>
      <w:r w:rsidR="00E22DC6">
        <w:t>Statxact</w:t>
      </w:r>
      <w:proofErr w:type="spellEnd"/>
      <w:r w:rsidR="00E22DC6">
        <w:t xml:space="preserve"> version 9.0 as a feasible exact computa</w:t>
      </w:r>
      <w:r w:rsidR="00D94BFB">
        <w:t>tion.  We use residuals (</w:t>
      </w:r>
      <w:r w:rsidR="009A7EFE">
        <w:t>O</w:t>
      </w:r>
      <w:r w:rsidR="00D94BFB">
        <w:t>-E) /</w:t>
      </w:r>
      <m:oMath>
        <m:rad>
          <m:radPr>
            <m:degHide m:val="on"/>
            <m:ctrlPr>
              <w:rPr>
                <w:rFonts w:ascii="Cambria Math" w:hAnsi="Cambria Math"/>
                <w:i/>
              </w:rPr>
            </m:ctrlPr>
          </m:radPr>
          <m:deg/>
          <m:e>
            <m:r>
              <w:rPr>
                <w:rFonts w:ascii="Cambria Math" w:hAnsi="Cambria Math"/>
              </w:rPr>
              <m:t>E</m:t>
            </m:r>
          </m:e>
        </m:rad>
      </m:oMath>
      <w:r w:rsidR="00E22DC6">
        <w:t xml:space="preserve"> where </w:t>
      </w:r>
      <w:r w:rsidR="00D94BFB">
        <w:t>O</w:t>
      </w:r>
      <w:r w:rsidR="00E22DC6">
        <w:t>=frequency and E=expected frequency under independence to identify where choice for Imeni’s and Geheset</w:t>
      </w:r>
      <w:r w:rsidR="00C161F9">
        <w:t>’s Udjat eyes</w:t>
      </w:r>
      <w:r w:rsidR="00E22DC6">
        <w:t xml:space="preserve"> might differ.  These</w:t>
      </w:r>
      <w:r w:rsidR="00027BD8">
        <w:t xml:space="preserve"> differences will be tested (mostly by </w:t>
      </w:r>
      <w:proofErr w:type="spellStart"/>
      <w:r w:rsidR="00027BD8">
        <w:t>McNemar’s</w:t>
      </w:r>
      <w:proofErr w:type="spellEnd"/>
      <w:r w:rsidR="00027BD8">
        <w:t xml:space="preserve"> test) to determine significance. </w:t>
      </w:r>
      <w:bookmarkStart w:id="0" w:name="_GoBack"/>
      <w:bookmarkEnd w:id="0"/>
      <w:r w:rsidR="00027BD8">
        <w:t>The respondents provided information (gender, ethnicity, age, training</w:t>
      </w:r>
      <w:r w:rsidR="00826A64">
        <w:t xml:space="preserve"> in </w:t>
      </w:r>
      <w:r w:rsidR="00826A64" w:rsidRPr="003C4044">
        <w:t>medically related fields</w:t>
      </w:r>
      <w:r w:rsidR="00ED5BF2" w:rsidRPr="003C4044">
        <w:t>,</w:t>
      </w:r>
      <w:r w:rsidR="00027BD8" w:rsidRPr="003C4044">
        <w:t xml:space="preserve">) that </w:t>
      </w:r>
      <w:r w:rsidR="00D94BFB" w:rsidRPr="003C4044">
        <w:t>will</w:t>
      </w:r>
      <w:r w:rsidR="00027BD8" w:rsidRPr="003C4044">
        <w:t xml:space="preserve"> be used as covariates in the above analyses.</w:t>
      </w:r>
      <w:r w:rsidR="003C4044" w:rsidRPr="003C4044">
        <w:t xml:space="preserve"> </w:t>
      </w:r>
      <w:r w:rsidR="003C4044" w:rsidRPr="003C4044">
        <w:rPr>
          <w:rFonts w:eastAsia="Times New Roman" w:cstheme="minorHAnsi"/>
        </w:rPr>
        <w:t>In the database of 204 respondents, a small percentage did not provide the following demographic information: age=1%; ethnicity=2.9%; gender=2.5%; and training=1.5%.</w:t>
      </w:r>
      <w:r w:rsidR="00027BD8" w:rsidRPr="003C4044">
        <w:t xml:space="preserve">  In addition, there</w:t>
      </w:r>
      <w:r w:rsidR="00ED5BF2" w:rsidRPr="003C4044">
        <w:t xml:space="preserve"> is information about the experiment</w:t>
      </w:r>
      <w:r w:rsidR="00ED5BF2">
        <w:t xml:space="preserve"> (rand</w:t>
      </w:r>
      <w:r w:rsidR="005D46F5">
        <w:t>om order of the presentation of</w:t>
      </w:r>
      <w:r w:rsidR="00ED5BF2">
        <w:t xml:space="preserve"> </w:t>
      </w:r>
      <w:r w:rsidR="009C3646">
        <w:t>Imeni</w:t>
      </w:r>
      <w:r w:rsidR="00ED5BF2">
        <w:t xml:space="preserve"> and Geheset Udjat eyes, as well as the format (one set of Udjat eyes per page verses both sets on one page).</w:t>
      </w:r>
      <w:r w:rsidR="00366763">
        <w:t xml:space="preserve"> </w:t>
      </w:r>
    </w:p>
    <w:p w:rsidR="00BB4409" w:rsidRDefault="00BB4409" w:rsidP="00DA4357">
      <w:pPr>
        <w:spacing w:after="0" w:line="360" w:lineRule="auto"/>
        <w:rPr>
          <w:b/>
        </w:rPr>
      </w:pPr>
    </w:p>
    <w:p w:rsidR="00BB4409" w:rsidRDefault="00BB4409" w:rsidP="00DA4357">
      <w:pPr>
        <w:spacing w:after="0" w:line="360" w:lineRule="auto"/>
        <w:rPr>
          <w:b/>
        </w:rPr>
      </w:pPr>
    </w:p>
    <w:p w:rsidR="00BB4409" w:rsidRDefault="00BB4409" w:rsidP="00DA4357">
      <w:pPr>
        <w:spacing w:after="0" w:line="360" w:lineRule="auto"/>
        <w:rPr>
          <w:b/>
        </w:rPr>
      </w:pPr>
    </w:p>
    <w:p w:rsidR="00BB4409" w:rsidRDefault="00BB4409" w:rsidP="00DA4357">
      <w:pPr>
        <w:spacing w:after="0" w:line="360" w:lineRule="auto"/>
        <w:rPr>
          <w:b/>
        </w:rPr>
      </w:pPr>
    </w:p>
    <w:p w:rsidR="00BB4409" w:rsidRDefault="00BB4409" w:rsidP="00DA4357">
      <w:pPr>
        <w:spacing w:after="0" w:line="360" w:lineRule="auto"/>
        <w:rPr>
          <w:b/>
        </w:rPr>
      </w:pPr>
    </w:p>
    <w:p w:rsidR="00BB4409" w:rsidRDefault="00BB4409" w:rsidP="00DA4357">
      <w:pPr>
        <w:spacing w:after="0" w:line="360" w:lineRule="auto"/>
        <w:rPr>
          <w:b/>
        </w:rPr>
      </w:pPr>
    </w:p>
    <w:tbl>
      <w:tblPr>
        <w:tblpPr w:leftFromText="180" w:rightFromText="180" w:vertAnchor="page" w:horzAnchor="margin" w:tblpXSpec="right" w:tblpY="2521"/>
        <w:tblW w:w="3202" w:type="dxa"/>
        <w:tblLook w:val="04A0"/>
      </w:tblPr>
      <w:tblGrid>
        <w:gridCol w:w="1759"/>
        <w:gridCol w:w="1443"/>
      </w:tblGrid>
      <w:tr w:rsidR="00BB4409" w:rsidRPr="00D63CF9" w:rsidTr="00296B14">
        <w:trPr>
          <w:trHeight w:val="300"/>
        </w:trPr>
        <w:tc>
          <w:tcPr>
            <w:tcW w:w="3202" w:type="dxa"/>
            <w:gridSpan w:val="2"/>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r>
      <w:tr w:rsidR="00BB4409" w:rsidRPr="00D63CF9" w:rsidTr="00296B14">
        <w:trPr>
          <w:trHeight w:val="645"/>
        </w:trPr>
        <w:tc>
          <w:tcPr>
            <w:tcW w:w="1759"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1443"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rPr>
                <w:rFonts w:ascii="Calibri" w:eastAsia="Times New Roman" w:hAnsi="Calibri" w:cs="Calibri"/>
                <w:color w:val="000000"/>
              </w:rPr>
            </w:pPr>
          </w:p>
        </w:tc>
      </w:tr>
      <w:tr w:rsidR="00BB4409" w:rsidRPr="00525BD5" w:rsidTr="00296B14">
        <w:trPr>
          <w:trHeight w:val="300"/>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Ethnicity</w:t>
            </w:r>
          </w:p>
        </w:tc>
        <w:tc>
          <w:tcPr>
            <w:tcW w:w="1443" w:type="dxa"/>
            <w:tcBorders>
              <w:top w:val="nil"/>
              <w:left w:val="nil"/>
              <w:bottom w:val="nil"/>
              <w:right w:val="nil"/>
            </w:tcBorders>
            <w:shd w:val="clear" w:color="auto" w:fill="auto"/>
            <w:noWrap/>
            <w:vAlign w:val="bottom"/>
            <w:hideMark/>
          </w:tcPr>
          <w:p w:rsidR="00BB4409" w:rsidRPr="00525BD5" w:rsidRDefault="00194DD6" w:rsidP="00DA4357">
            <w:pPr>
              <w:spacing w:after="0" w:line="360" w:lineRule="auto"/>
              <w:rPr>
                <w:rFonts w:ascii="Calibri" w:eastAsia="Times New Roman" w:hAnsi="Calibri" w:cs="Calibri"/>
                <w:color w:val="000000"/>
              </w:rPr>
            </w:pPr>
            <w:r>
              <w:rPr>
                <w:rFonts w:ascii="Calibri" w:eastAsia="Times New Roman" w:hAnsi="Calibri" w:cs="Calibri"/>
                <w:color w:val="000000"/>
              </w:rPr>
              <w:t>Frequency/%</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Asian/Oriental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8  ( 4.0)</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Black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10  ( 5.0)</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Caucasian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155  (77.9) </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Hispanic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25  (12.6)</w:t>
            </w:r>
          </w:p>
        </w:tc>
      </w:tr>
      <w:tr w:rsidR="00BB4409" w:rsidRPr="00525BD5" w:rsidTr="00296B14">
        <w:trPr>
          <w:trHeight w:val="300"/>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Native American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1  (  0.5)  </w:t>
            </w:r>
          </w:p>
        </w:tc>
      </w:tr>
      <w:tr w:rsidR="00BB4409" w:rsidRPr="00525BD5" w:rsidTr="00296B14">
        <w:trPr>
          <w:trHeight w:val="315"/>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Gender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SAS Monospace" w:eastAsia="Times New Roman" w:hAnsi="SAS Monospace" w:cs="Calibri"/>
                <w:color w:val="000000"/>
                <w:sz w:val="16"/>
                <w:szCs w:val="16"/>
              </w:rPr>
            </w:pPr>
          </w:p>
        </w:tc>
      </w:tr>
      <w:tr w:rsidR="00BB4409" w:rsidRPr="00525BD5" w:rsidTr="00296B14">
        <w:trPr>
          <w:trHeight w:val="300"/>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Female</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118  (59.1)         </w:t>
            </w:r>
          </w:p>
        </w:tc>
      </w:tr>
      <w:tr w:rsidR="00BB4409" w:rsidRPr="00525BD5" w:rsidTr="00296B14">
        <w:trPr>
          <w:trHeight w:val="315"/>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Male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81  (40.9)          </w:t>
            </w:r>
          </w:p>
        </w:tc>
      </w:tr>
      <w:tr w:rsidR="00BB4409" w:rsidRPr="00525BD5" w:rsidTr="00296B14">
        <w:trPr>
          <w:trHeight w:val="315"/>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Age</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18-29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51  ( 25.3)      </w:t>
            </w:r>
          </w:p>
        </w:tc>
      </w:tr>
      <w:tr w:rsidR="00BB4409" w:rsidRPr="00525BD5" w:rsidTr="00296B14">
        <w:trPr>
          <w:trHeight w:val="315"/>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30-39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43  (21.3)    </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40-49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38 (18.8)</w:t>
            </w:r>
          </w:p>
        </w:tc>
      </w:tr>
      <w:tr w:rsidR="00BB4409" w:rsidRPr="00525BD5" w:rsidTr="00296B14">
        <w:trPr>
          <w:trHeight w:val="33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50-59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42  (20.8)</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60-69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17  (  8.4)</w:t>
            </w:r>
          </w:p>
        </w:tc>
      </w:tr>
      <w:tr w:rsidR="00BB4409" w:rsidRPr="00525BD5" w:rsidTr="00296B14">
        <w:trPr>
          <w:trHeight w:val="300"/>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70+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 xml:space="preserve"> 11  ( 5.5) </w:t>
            </w:r>
          </w:p>
        </w:tc>
      </w:tr>
      <w:tr w:rsidR="00BB4409" w:rsidRPr="00525BD5" w:rsidTr="00296B14">
        <w:trPr>
          <w:trHeight w:val="300"/>
        </w:trPr>
        <w:tc>
          <w:tcPr>
            <w:tcW w:w="3202" w:type="dxa"/>
            <w:gridSpan w:val="2"/>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Calibri" w:eastAsia="Times New Roman" w:hAnsi="Calibri" w:cs="Calibri"/>
                <w:color w:val="000000"/>
              </w:rPr>
            </w:pPr>
            <w:r w:rsidRPr="00525BD5">
              <w:rPr>
                <w:rFonts w:ascii="Calibri" w:eastAsia="Times New Roman" w:hAnsi="Calibri" w:cs="Calibri"/>
                <w:color w:val="000000"/>
              </w:rPr>
              <w:t>Training in Medical Fields</w:t>
            </w:r>
          </w:p>
        </w:tc>
      </w:tr>
      <w:tr w:rsidR="00BB4409" w:rsidRPr="00525BD5" w:rsidTr="00296B14">
        <w:trPr>
          <w:trHeight w:val="300"/>
        </w:trPr>
        <w:tc>
          <w:tcPr>
            <w:tcW w:w="1759" w:type="dxa"/>
            <w:tcBorders>
              <w:top w:val="nil"/>
              <w:left w:val="nil"/>
              <w:bottom w:val="nil"/>
              <w:right w:val="nil"/>
            </w:tcBorders>
            <w:shd w:val="clear" w:color="auto" w:fill="auto"/>
            <w:noWrap/>
            <w:vAlign w:val="center"/>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No  </w:t>
            </w:r>
          </w:p>
        </w:tc>
        <w:tc>
          <w:tcPr>
            <w:tcW w:w="1443"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101 (50.3)</w:t>
            </w:r>
          </w:p>
        </w:tc>
      </w:tr>
      <w:tr w:rsidR="00BB4409" w:rsidRPr="00D63CF9" w:rsidTr="00296B14">
        <w:trPr>
          <w:trHeight w:val="300"/>
        </w:trPr>
        <w:tc>
          <w:tcPr>
            <w:tcW w:w="1759" w:type="dxa"/>
            <w:tcBorders>
              <w:top w:val="nil"/>
              <w:left w:val="nil"/>
              <w:bottom w:val="nil"/>
              <w:right w:val="nil"/>
            </w:tcBorders>
            <w:shd w:val="clear" w:color="auto" w:fill="auto"/>
            <w:noWrap/>
            <w:vAlign w:val="bottom"/>
            <w:hideMark/>
          </w:tcPr>
          <w:p w:rsidR="00BB4409" w:rsidRPr="00525BD5"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 xml:space="preserve">   Yes       </w:t>
            </w:r>
          </w:p>
        </w:tc>
        <w:tc>
          <w:tcPr>
            <w:tcW w:w="144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Times New Roman" w:eastAsia="Times New Roman" w:hAnsi="Times New Roman" w:cs="Times New Roman"/>
                <w:color w:val="000000"/>
                <w:sz w:val="20"/>
                <w:szCs w:val="20"/>
              </w:rPr>
            </w:pPr>
            <w:r w:rsidRPr="00525BD5">
              <w:rPr>
                <w:rFonts w:ascii="Times New Roman" w:eastAsia="Times New Roman" w:hAnsi="Times New Roman" w:cs="Times New Roman"/>
                <w:color w:val="000000"/>
                <w:sz w:val="20"/>
                <w:szCs w:val="20"/>
              </w:rPr>
              <w:t>100 (49.7)</w:t>
            </w:r>
            <w:r w:rsidRPr="00D63CF9">
              <w:rPr>
                <w:rFonts w:ascii="Times New Roman" w:eastAsia="Times New Roman" w:hAnsi="Times New Roman" w:cs="Times New Roman"/>
                <w:color w:val="000000"/>
                <w:sz w:val="20"/>
                <w:szCs w:val="20"/>
              </w:rPr>
              <w:t xml:space="preserve"> </w:t>
            </w:r>
          </w:p>
        </w:tc>
      </w:tr>
    </w:tbl>
    <w:p w:rsidR="00BB4409" w:rsidRPr="00A432A8" w:rsidRDefault="00BB4409" w:rsidP="00DA4357">
      <w:pPr>
        <w:spacing w:after="0" w:line="360" w:lineRule="auto"/>
        <w:rPr>
          <w:b/>
        </w:rPr>
      </w:pPr>
    </w:p>
    <w:p w:rsidR="00BB4409" w:rsidRDefault="00BB4409" w:rsidP="00DA4357">
      <w:pPr>
        <w:spacing w:after="0" w:line="360" w:lineRule="auto"/>
      </w:pPr>
      <w:r>
        <w:t xml:space="preserve">Summary demographic and design information is given in </w:t>
      </w:r>
      <w:r w:rsidRPr="005B5730">
        <w:rPr>
          <w:b/>
          <w:u w:val="single"/>
        </w:rPr>
        <w:t>Table 1.</w:t>
      </w:r>
      <w:r>
        <w:t xml:space="preserve">  The 204 respondents reported an approximate median age of 40 and 50% of them had some</w:t>
      </w:r>
      <w:r w:rsidR="00126C58">
        <w:t xml:space="preserve"> </w:t>
      </w:r>
      <w:r>
        <w:t>specialized training; and typically reported being female and Caucasian.</w:t>
      </w:r>
    </w:p>
    <w:p w:rsidR="00BB4409" w:rsidRDefault="00BB4409" w:rsidP="00DA4357">
      <w:pPr>
        <w:spacing w:after="0" w:line="360" w:lineRule="auto"/>
      </w:pPr>
    </w:p>
    <w:tbl>
      <w:tblPr>
        <w:tblpPr w:leftFromText="180" w:rightFromText="180" w:vertAnchor="page" w:horzAnchor="margin" w:tblpXSpec="right" w:tblpY="9781"/>
        <w:tblW w:w="7215" w:type="dxa"/>
        <w:tblLook w:val="04A0"/>
      </w:tblPr>
      <w:tblGrid>
        <w:gridCol w:w="723"/>
        <w:gridCol w:w="1153"/>
        <w:gridCol w:w="1060"/>
        <w:gridCol w:w="959"/>
        <w:gridCol w:w="1153"/>
        <w:gridCol w:w="1060"/>
        <w:gridCol w:w="1107"/>
      </w:tblGrid>
      <w:tr w:rsidR="00BB4409" w:rsidRPr="00D63CF9" w:rsidTr="00507FE7">
        <w:trPr>
          <w:trHeight w:val="300"/>
        </w:trPr>
        <w:tc>
          <w:tcPr>
            <w:tcW w:w="1876" w:type="dxa"/>
            <w:gridSpan w:val="2"/>
            <w:tcBorders>
              <w:top w:val="nil"/>
              <w:left w:val="nil"/>
              <w:bottom w:val="nil"/>
              <w:right w:val="nil"/>
            </w:tcBorders>
            <w:shd w:val="clear" w:color="auto" w:fill="auto"/>
            <w:noWrap/>
            <w:vAlign w:val="bottom"/>
            <w:hideMark/>
          </w:tcPr>
          <w:p w:rsidR="00BB4409" w:rsidRPr="00F75E4F" w:rsidRDefault="00BB4409" w:rsidP="00DA4357">
            <w:pPr>
              <w:spacing w:after="0" w:line="360" w:lineRule="auto"/>
              <w:rPr>
                <w:rFonts w:ascii="Calibri" w:eastAsia="Times New Roman" w:hAnsi="Calibri" w:cs="Calibri"/>
                <w:b/>
                <w:color w:val="000000"/>
              </w:rPr>
            </w:pPr>
            <w:r w:rsidRPr="00F75E4F">
              <w:rPr>
                <w:rFonts w:ascii="Calibri" w:eastAsia="Times New Roman" w:hAnsi="Calibri" w:cs="Calibri"/>
                <w:b/>
                <w:color w:val="000000"/>
              </w:rPr>
              <w:t>Table 2</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r>
      <w:tr w:rsidR="00BB4409" w:rsidRPr="00D63CF9" w:rsidTr="00507FE7">
        <w:trPr>
          <w:trHeight w:val="645"/>
        </w:trPr>
        <w:tc>
          <w:tcPr>
            <w:tcW w:w="723"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jc w:val="right"/>
              <w:rPr>
                <w:rFonts w:ascii="Calibri" w:eastAsia="Times New Roman" w:hAnsi="Calibri" w:cs="Calibri"/>
              </w:rPr>
            </w:pPr>
            <w:r w:rsidRPr="00D63CF9">
              <w:rPr>
                <w:rFonts w:ascii="Calibri" w:eastAsia="Times New Roman" w:hAnsi="Calibri" w:cs="Calibri"/>
              </w:rPr>
              <w:t>Imeni</w:t>
            </w:r>
          </w:p>
        </w:tc>
        <w:tc>
          <w:tcPr>
            <w:tcW w:w="1153"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jc w:val="right"/>
              <w:rPr>
                <w:rFonts w:ascii="Calibri" w:eastAsia="Times New Roman" w:hAnsi="Calibri" w:cs="Calibri"/>
              </w:rPr>
            </w:pPr>
            <w:r w:rsidRPr="00D63CF9">
              <w:rPr>
                <w:rFonts w:ascii="Calibri" w:eastAsia="Times New Roman" w:hAnsi="Calibri" w:cs="Calibri"/>
              </w:rPr>
              <w:t>Frequency</w:t>
            </w:r>
          </w:p>
        </w:tc>
        <w:tc>
          <w:tcPr>
            <w:tcW w:w="1060"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jc w:val="right"/>
              <w:rPr>
                <w:rFonts w:ascii="Calibri" w:eastAsia="Times New Roman" w:hAnsi="Calibri" w:cs="Calibri"/>
              </w:rPr>
            </w:pPr>
            <w:r w:rsidRPr="00D63CF9">
              <w:rPr>
                <w:rFonts w:ascii="Calibri" w:eastAsia="Times New Roman" w:hAnsi="Calibri" w:cs="Calibri"/>
              </w:rPr>
              <w:t>PERCENT</w:t>
            </w:r>
          </w:p>
        </w:tc>
        <w:tc>
          <w:tcPr>
            <w:tcW w:w="959"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jc w:val="right"/>
              <w:rPr>
                <w:rFonts w:ascii="Calibri" w:eastAsia="Times New Roman" w:hAnsi="Calibri" w:cs="Calibri"/>
              </w:rPr>
            </w:pPr>
            <w:r w:rsidRPr="00D63CF9">
              <w:rPr>
                <w:rFonts w:ascii="Calibri" w:eastAsia="Times New Roman" w:hAnsi="Calibri" w:cs="Calibri"/>
              </w:rPr>
              <w:t>Geheset</w:t>
            </w:r>
          </w:p>
        </w:tc>
        <w:tc>
          <w:tcPr>
            <w:tcW w:w="1153"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jc w:val="right"/>
              <w:rPr>
                <w:rFonts w:ascii="Calibri" w:eastAsia="Times New Roman" w:hAnsi="Calibri" w:cs="Calibri"/>
              </w:rPr>
            </w:pPr>
            <w:r w:rsidRPr="00D63CF9">
              <w:rPr>
                <w:rFonts w:ascii="Calibri" w:eastAsia="Times New Roman" w:hAnsi="Calibri" w:cs="Calibri"/>
              </w:rPr>
              <w:t>Frequency</w:t>
            </w:r>
          </w:p>
        </w:tc>
        <w:tc>
          <w:tcPr>
            <w:tcW w:w="1060" w:type="dxa"/>
            <w:tcBorders>
              <w:top w:val="nil"/>
              <w:left w:val="nil"/>
              <w:bottom w:val="nil"/>
              <w:right w:val="nil"/>
            </w:tcBorders>
            <w:shd w:val="clear" w:color="000000" w:fill="99CCFF"/>
            <w:noWrap/>
            <w:vAlign w:val="bottom"/>
            <w:hideMark/>
          </w:tcPr>
          <w:p w:rsidR="00BB4409" w:rsidRPr="00D63CF9" w:rsidRDefault="00BB4409" w:rsidP="00DA4357">
            <w:pPr>
              <w:spacing w:after="0" w:line="360" w:lineRule="auto"/>
              <w:jc w:val="right"/>
              <w:rPr>
                <w:rFonts w:ascii="Calibri" w:eastAsia="Times New Roman" w:hAnsi="Calibri" w:cs="Calibri"/>
              </w:rPr>
            </w:pPr>
            <w:r w:rsidRPr="00D63CF9">
              <w:rPr>
                <w:rFonts w:ascii="Calibri" w:eastAsia="Times New Roman" w:hAnsi="Calibri" w:cs="Calibri"/>
              </w:rPr>
              <w:t>PERCENT</w:t>
            </w:r>
          </w:p>
        </w:tc>
        <w:tc>
          <w:tcPr>
            <w:tcW w:w="1107" w:type="dxa"/>
            <w:tcBorders>
              <w:top w:val="nil"/>
              <w:left w:val="nil"/>
              <w:bottom w:val="nil"/>
              <w:right w:val="nil"/>
            </w:tcBorders>
            <w:shd w:val="clear" w:color="000000" w:fill="99CCFF"/>
            <w:vAlign w:val="bottom"/>
            <w:hideMark/>
          </w:tcPr>
          <w:p w:rsidR="00BB4409" w:rsidRPr="00D63CF9" w:rsidRDefault="00BB4409" w:rsidP="00DA4357">
            <w:pPr>
              <w:spacing w:after="0" w:line="360" w:lineRule="auto"/>
              <w:jc w:val="right"/>
              <w:rPr>
                <w:rFonts w:ascii="Calibri" w:eastAsia="Times New Roman" w:hAnsi="Calibri" w:cs="Calibri"/>
              </w:rPr>
            </w:pPr>
            <w:proofErr w:type="spellStart"/>
            <w:r w:rsidRPr="00D63CF9">
              <w:rPr>
                <w:rFonts w:ascii="Calibri" w:eastAsia="Times New Roman" w:hAnsi="Calibri" w:cs="Calibri"/>
              </w:rPr>
              <w:t>McNemar</w:t>
            </w:r>
            <w:proofErr w:type="spellEnd"/>
            <w:r w:rsidRPr="00D63CF9">
              <w:rPr>
                <w:rFonts w:ascii="Calibri" w:eastAsia="Times New Roman" w:hAnsi="Calibri" w:cs="Calibri"/>
              </w:rPr>
              <w:t xml:space="preserve"> P-value</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36</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17.6</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48</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23.5</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0.15</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15</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7.4</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18</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8.8</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0.49</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5</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2.5</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6</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2.9</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0.71</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4</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34</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16.7</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4</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38</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18.6</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0.55</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5</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9</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4.4</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5</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0.5</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0.005</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6</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29</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14.2</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6</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39</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19.1</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0.13</w:t>
            </w:r>
          </w:p>
        </w:tc>
      </w:tr>
      <w:tr w:rsidR="00BB4409" w:rsidRPr="00D63CF9" w:rsidTr="00507FE7">
        <w:trPr>
          <w:trHeight w:val="315"/>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7</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7</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3.4</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7</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4</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2.0</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0.32</w:t>
            </w:r>
          </w:p>
        </w:tc>
      </w:tr>
      <w:tr w:rsidR="00BB4409" w:rsidRPr="00D63CF9" w:rsidTr="00507FE7">
        <w:trPr>
          <w:trHeight w:val="300"/>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8</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1.5</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8</w:t>
            </w: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0.5</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0.32</w:t>
            </w:r>
          </w:p>
        </w:tc>
      </w:tr>
      <w:tr w:rsidR="00BB4409" w:rsidRPr="00D63CF9" w:rsidTr="00507FE7">
        <w:trPr>
          <w:trHeight w:val="315"/>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9</w:t>
            </w:r>
          </w:p>
        </w:tc>
        <w:tc>
          <w:tcPr>
            <w:tcW w:w="1153" w:type="dxa"/>
            <w:tcBorders>
              <w:top w:val="nil"/>
              <w:left w:val="nil"/>
              <w:bottom w:val="double" w:sz="6" w:space="0" w:color="auto"/>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66</w:t>
            </w:r>
          </w:p>
        </w:tc>
        <w:tc>
          <w:tcPr>
            <w:tcW w:w="1060" w:type="dxa"/>
            <w:tcBorders>
              <w:top w:val="nil"/>
              <w:left w:val="nil"/>
              <w:bottom w:val="double" w:sz="6" w:space="0" w:color="auto"/>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32.4</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9</w:t>
            </w:r>
          </w:p>
        </w:tc>
        <w:tc>
          <w:tcPr>
            <w:tcW w:w="1153" w:type="dxa"/>
            <w:tcBorders>
              <w:top w:val="nil"/>
              <w:left w:val="nil"/>
              <w:bottom w:val="double" w:sz="6" w:space="0" w:color="auto"/>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49</w:t>
            </w:r>
          </w:p>
        </w:tc>
        <w:tc>
          <w:tcPr>
            <w:tcW w:w="1060" w:type="dxa"/>
            <w:tcBorders>
              <w:top w:val="nil"/>
              <w:left w:val="nil"/>
              <w:bottom w:val="double" w:sz="6" w:space="0" w:color="auto"/>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24.0</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0.0496</w:t>
            </w:r>
          </w:p>
        </w:tc>
      </w:tr>
      <w:tr w:rsidR="00BB4409" w:rsidRPr="00D63CF9" w:rsidTr="00507FE7">
        <w:trPr>
          <w:trHeight w:val="315"/>
        </w:trPr>
        <w:tc>
          <w:tcPr>
            <w:tcW w:w="72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204</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100</w:t>
            </w:r>
          </w:p>
        </w:tc>
        <w:tc>
          <w:tcPr>
            <w:tcW w:w="959"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c>
          <w:tcPr>
            <w:tcW w:w="1153"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204</w:t>
            </w:r>
          </w:p>
        </w:tc>
        <w:tc>
          <w:tcPr>
            <w:tcW w:w="1060"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jc w:val="right"/>
              <w:rPr>
                <w:rFonts w:ascii="Calibri" w:eastAsia="Times New Roman" w:hAnsi="Calibri" w:cs="Calibri"/>
                <w:color w:val="000000"/>
              </w:rPr>
            </w:pPr>
            <w:r w:rsidRPr="00D63CF9">
              <w:rPr>
                <w:rFonts w:ascii="Calibri" w:eastAsia="Times New Roman" w:hAnsi="Calibri" w:cs="Calibri"/>
                <w:color w:val="000000"/>
              </w:rPr>
              <w:t>100</w:t>
            </w:r>
          </w:p>
        </w:tc>
        <w:tc>
          <w:tcPr>
            <w:tcW w:w="1107" w:type="dxa"/>
            <w:tcBorders>
              <w:top w:val="nil"/>
              <w:left w:val="nil"/>
              <w:bottom w:val="nil"/>
              <w:right w:val="nil"/>
            </w:tcBorders>
            <w:shd w:val="clear" w:color="auto" w:fill="auto"/>
            <w:noWrap/>
            <w:vAlign w:val="bottom"/>
            <w:hideMark/>
          </w:tcPr>
          <w:p w:rsidR="00BB4409" w:rsidRPr="00D63CF9" w:rsidRDefault="00BB4409" w:rsidP="00DA4357">
            <w:pPr>
              <w:spacing w:after="0" w:line="360" w:lineRule="auto"/>
              <w:rPr>
                <w:rFonts w:ascii="Calibri" w:eastAsia="Times New Roman" w:hAnsi="Calibri" w:cs="Calibri"/>
                <w:color w:val="000000"/>
              </w:rPr>
            </w:pPr>
          </w:p>
        </w:tc>
      </w:tr>
    </w:tbl>
    <w:p w:rsidR="00BB4409" w:rsidRDefault="00BB4409" w:rsidP="00DA4357">
      <w:pPr>
        <w:spacing w:after="0" w:line="360" w:lineRule="auto"/>
      </w:pPr>
      <w:r>
        <w:t>For Imeni’s Udjat eyes, the respondents did not correctly match Imeni’s ethnicity (24.5% correct versus a target percent of 44.4%, binomial test, P&lt;0.001, but in the wrong direction); Imeni’s gender (50.0% correct versus a target percent of 77.8%, binomial test, P&lt;0.001</w:t>
      </w:r>
      <w:r w:rsidRPr="00965F24">
        <w:t xml:space="preserve"> </w:t>
      </w:r>
      <w:r>
        <w:t>but in the wrong direction); or his light</w:t>
      </w:r>
      <w:r w:rsidR="005B5730">
        <w:t>er</w:t>
      </w:r>
      <w:r>
        <w:t xml:space="preserve"> colored irises (42.7% correct </w:t>
      </w:r>
      <w:proofErr w:type="spellStart"/>
      <w:proofErr w:type="gramStart"/>
      <w:r>
        <w:t>vs</w:t>
      </w:r>
      <w:proofErr w:type="spellEnd"/>
      <w:r>
        <w:t xml:space="preserve">  44.4</w:t>
      </w:r>
      <w:proofErr w:type="gramEnd"/>
      <w:r>
        <w:t xml:space="preserve">% target, P=0.67).  For Geheset’s Udjat eyes, the respondents did not correctly match Geheset’s ethnicity (51.0% correct versus a target percent of 55.6%, binomial test, P=0.21); but they did match her dark </w:t>
      </w:r>
      <w:r w:rsidR="005B5730">
        <w:t xml:space="preserve">Udjat </w:t>
      </w:r>
      <w:r>
        <w:t xml:space="preserve">irises 70.6% correct </w:t>
      </w:r>
      <w:proofErr w:type="spellStart"/>
      <w:r>
        <w:t>vs</w:t>
      </w:r>
      <w:proofErr w:type="spellEnd"/>
      <w:r>
        <w:t xml:space="preserve"> 55.6% target, P&lt;0.001</w:t>
      </w:r>
      <w:r w:rsidRPr="00D63CF9">
        <w:t xml:space="preserve">).  None-the-less, the respondents did choose differently for Imeni than they did for </w:t>
      </w:r>
      <w:proofErr w:type="gramStart"/>
      <w:r w:rsidRPr="00D63CF9">
        <w:t>Geheset</w:t>
      </w:r>
      <w:r w:rsidRPr="00D63CF9">
        <w:rPr>
          <w:strike/>
        </w:rPr>
        <w:t xml:space="preserve">  </w:t>
      </w:r>
      <w:r w:rsidRPr="00D63CF9">
        <w:t>(</w:t>
      </w:r>
      <w:proofErr w:type="spellStart"/>
      <w:proofErr w:type="gramEnd"/>
      <w:r w:rsidRPr="00D63CF9">
        <w:t>McNemar</w:t>
      </w:r>
      <w:proofErr w:type="spellEnd"/>
      <w:r w:rsidRPr="00D63CF9">
        <w:t xml:space="preserve">, P&lt;0.001).  </w:t>
      </w:r>
      <w:r>
        <w:t xml:space="preserve">They did also match her gender correctly (47.6% correct </w:t>
      </w:r>
      <w:proofErr w:type="spellStart"/>
      <w:r>
        <w:t>vs</w:t>
      </w:r>
      <w:proofErr w:type="spellEnd"/>
      <w:r>
        <w:t xml:space="preserve"> 22.2% target, P&lt;0.001); however, this is not totally convincing, since for Imeni’s Udjat eyes, respondents also matched to the female pictures 50% of the time (no difference, </w:t>
      </w:r>
      <w:proofErr w:type="spellStart"/>
      <w:r>
        <w:t>McNemar</w:t>
      </w:r>
      <w:proofErr w:type="spellEnd"/>
      <w:r>
        <w:t>, P=0.43).  Concerning age</w:t>
      </w:r>
      <w:r w:rsidR="005B5730">
        <w:t xml:space="preserve"> of the living eyes</w:t>
      </w:r>
      <w:r>
        <w:t xml:space="preserve">, the choices for both Imeni and Geheset were the younger pictures (88.2% and 94.1%, respectively) more than the target 55.6%, but there was no difference in these </w:t>
      </w:r>
      <w:r>
        <w:lastRenderedPageBreak/>
        <w:t>choices between them (</w:t>
      </w:r>
      <w:proofErr w:type="spellStart"/>
      <w:r>
        <w:t>McNemar</w:t>
      </w:r>
      <w:proofErr w:type="spellEnd"/>
      <w:r>
        <w:t>, P=0.34) .</w:t>
      </w:r>
    </w:p>
    <w:p w:rsidR="00BB4409" w:rsidRDefault="00BB4409" w:rsidP="00DA4357">
      <w:pPr>
        <w:spacing w:after="0" w:line="360" w:lineRule="auto"/>
      </w:pPr>
    </w:p>
    <w:p w:rsidR="00BB4409" w:rsidRDefault="00BB4409" w:rsidP="00DA4357">
      <w:pPr>
        <w:spacing w:after="0" w:line="360" w:lineRule="auto"/>
      </w:pPr>
      <w:r w:rsidRPr="00D63CF9">
        <w:t xml:space="preserve">Having obtained a verification for one of our simple hypotheses (correct match for </w:t>
      </w:r>
      <w:proofErr w:type="spellStart"/>
      <w:r w:rsidRPr="00D63CF9">
        <w:t>Gehest’s</w:t>
      </w:r>
      <w:proofErr w:type="spellEnd"/>
      <w:r w:rsidRPr="00D63CF9">
        <w:t xml:space="preserve"> iris color),</w:t>
      </w:r>
      <w:r>
        <w:t xml:space="preserve"> we turn</w:t>
      </w:r>
      <w:r w:rsidR="00626D0F">
        <w:t>ed</w:t>
      </w:r>
      <w:r>
        <w:t xml:space="preserve"> to answering other questions. First, respondents did not match pictures at random; the choices of each of the 9 pictures are clearly not uniform (Table 2). Note that the choices for pictures #5 and #9 are different for Imeni and Geheset, but we have other evidence of differences.</w:t>
      </w:r>
    </w:p>
    <w:p w:rsidR="00BB4409" w:rsidRDefault="00BB4409" w:rsidP="00DA4357">
      <w:pPr>
        <w:spacing w:after="0" w:line="360" w:lineRule="auto"/>
      </w:pPr>
    </w:p>
    <w:p w:rsidR="00BB4409" w:rsidRDefault="00BB4409" w:rsidP="00DA4357">
      <w:pPr>
        <w:spacing w:after="0" w:line="360" w:lineRule="auto"/>
      </w:pPr>
      <w:r>
        <w:t>Secondly, we use Fisher’s exact test for independence (with 1,000,000 Monte Carlo simulations to make the test for a 9x9 contingency table tractable) to compare between the choices for Imeni and Geheset.</w:t>
      </w:r>
    </w:p>
    <w:p w:rsidR="00BB4409" w:rsidRDefault="00BB4409" w:rsidP="00DA4357">
      <w:pPr>
        <w:spacing w:after="0" w:line="360" w:lineRule="auto"/>
      </w:pPr>
      <w:r>
        <w:t xml:space="preserve">The choices were dependent (not independent, P&lt;0.001).  Third, we use the residuals </w:t>
      </w:r>
      <w:r w:rsidRPr="009A7EFE">
        <w:t>(O-E) /√</w:t>
      </w:r>
      <w:proofErr w:type="gramStart"/>
      <w:r w:rsidRPr="009A7EFE">
        <w:t>E</w:t>
      </w:r>
      <w:r>
        <w:t xml:space="preserve">  in</w:t>
      </w:r>
      <w:proofErr w:type="gramEnd"/>
      <w:r>
        <w:t xml:space="preserve"> Fig 1.</w:t>
      </w:r>
    </w:p>
    <w:p w:rsidR="00BB4409" w:rsidRDefault="00BB4409" w:rsidP="00DA4357">
      <w:pPr>
        <w:spacing w:after="0" w:line="360" w:lineRule="auto"/>
      </w:pPr>
    </w:p>
    <w:p w:rsidR="00BB4409" w:rsidRDefault="00BB4409" w:rsidP="00DA4357">
      <w:pPr>
        <w:spacing w:after="0" w:line="360" w:lineRule="auto"/>
      </w:pPr>
    </w:p>
    <w:p w:rsidR="00BB4409" w:rsidRDefault="00BB4409" w:rsidP="00DA4357">
      <w:pPr>
        <w:spacing w:line="360" w:lineRule="auto"/>
      </w:pPr>
      <w:r>
        <w:rPr>
          <w:noProof/>
        </w:rPr>
        <w:drawing>
          <wp:anchor distT="0" distB="0" distL="114300" distR="114300" simplePos="0" relativeHeight="251660288" behindDoc="0" locked="0" layoutInCell="1" allowOverlap="1">
            <wp:simplePos x="914400" y="914400"/>
            <wp:positionH relativeFrom="margin">
              <wp:align>right</wp:align>
            </wp:positionH>
            <wp:positionV relativeFrom="margin">
              <wp:align>top</wp:align>
            </wp:positionV>
            <wp:extent cx="4572000" cy="3633470"/>
            <wp:effectExtent l="0" t="0" r="0" b="508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 xml:space="preserve">Residuals are greater than 2  for the paired choices of pictures  (Imeni, </w:t>
      </w:r>
      <w:r w:rsidR="005B5730">
        <w:t>Geheset</w:t>
      </w:r>
      <w:r>
        <w:t>) = (1,9), (2,2),(3,3), (4,4),(5,5),(6,6), and (7,7).  Our interest is in when the paired choices differ, namely for (1</w:t>
      </w:r>
      <w:proofErr w:type="gramStart"/>
      <w:r>
        <w:t>,9</w:t>
      </w:r>
      <w:proofErr w:type="gramEnd"/>
      <w:r>
        <w:t>). Other pairs of different choices that are higher than expected under independence are (7</w:t>
      </w:r>
      <w:proofErr w:type="gramStart"/>
      <w:r>
        <w:t>,1</w:t>
      </w:r>
      <w:proofErr w:type="gramEnd"/>
      <w:r>
        <w:t>), (8,9) and (9,1).</w:t>
      </w:r>
    </w:p>
    <w:p w:rsidR="00BB4409" w:rsidRDefault="00BB4409" w:rsidP="00DA4357">
      <w:pPr>
        <w:spacing w:after="0" w:line="360" w:lineRule="auto"/>
      </w:pPr>
      <w:r>
        <w:t xml:space="preserve">Since pictures 7 and 8 are very low frequency for both Imeni and Geheset, we </w:t>
      </w:r>
      <w:r w:rsidR="009A2013">
        <w:t xml:space="preserve">are </w:t>
      </w:r>
      <w:r>
        <w:t>focusing on (1</w:t>
      </w:r>
      <w:proofErr w:type="gramStart"/>
      <w:r>
        <w:t>,9</w:t>
      </w:r>
      <w:proofErr w:type="gramEnd"/>
      <w:r>
        <w:t xml:space="preserve">) and (9,1).   Pictures 1 and 9 are young </w:t>
      </w:r>
      <w:r w:rsidR="005B5730">
        <w:t xml:space="preserve">black </w:t>
      </w:r>
      <w:r>
        <w:t xml:space="preserve">females (the only females among the 9 pictures); a difference is that #9 has </w:t>
      </w:r>
      <w:r w:rsidR="00626D0F">
        <w:t xml:space="preserve">darker </w:t>
      </w:r>
      <w:r>
        <w:t xml:space="preserve">irises and #1 has </w:t>
      </w:r>
      <w:r w:rsidR="00626D0F">
        <w:t xml:space="preserve">lighter </w:t>
      </w:r>
      <w:r>
        <w:t>irises.   So, for the subset of 64 of 204 (31.4%) respondents that choose the pairs (1</w:t>
      </w:r>
      <w:proofErr w:type="gramStart"/>
      <w:r>
        <w:t>,9</w:t>
      </w:r>
      <w:proofErr w:type="gramEnd"/>
      <w:r>
        <w:t>) or (9,1),  45 (70.3%) choose the correct</w:t>
      </w:r>
      <w:r w:rsidR="00626D0F">
        <w:t xml:space="preserve"> lighter</w:t>
      </w:r>
      <w:r>
        <w:t xml:space="preserve"> iris color (picture #</w:t>
      </w:r>
      <w:r w:rsidR="006607A6">
        <w:t>1</w:t>
      </w:r>
      <w:r>
        <w:t>) for Imeni and 32 (50%) choose the correct dark iris (picture #</w:t>
      </w:r>
      <w:r w:rsidR="006607A6">
        <w:t>9</w:t>
      </w:r>
      <w:r>
        <w:t>) for Geheset.  And these choices differed (</w:t>
      </w:r>
      <w:proofErr w:type="spellStart"/>
      <w:r>
        <w:t>McNemar</w:t>
      </w:r>
      <w:proofErr w:type="spellEnd"/>
      <w:r>
        <w:t>, P=0.03).</w:t>
      </w:r>
    </w:p>
    <w:p w:rsidR="00BB4409" w:rsidRDefault="00BB4409" w:rsidP="00DA4357">
      <w:pPr>
        <w:spacing w:after="0" w:line="360" w:lineRule="auto"/>
      </w:pPr>
      <w:r>
        <w:lastRenderedPageBreak/>
        <w:t xml:space="preserve">An equal number, 64 (31.4%) of 204, chose the same picture for both Imeni and Geheset.    </w:t>
      </w:r>
    </w:p>
    <w:p w:rsidR="00BB4409" w:rsidRDefault="00BB4409" w:rsidP="00DA4357">
      <w:pPr>
        <w:spacing w:after="0" w:line="360" w:lineRule="auto"/>
      </w:pPr>
    </w:p>
    <w:p w:rsidR="00BB4409" w:rsidRDefault="00BB4409" w:rsidP="00DA4357">
      <w:pPr>
        <w:spacing w:after="0" w:line="360" w:lineRule="auto"/>
      </w:pPr>
      <w:r>
        <w:t>The choice of picture #5 in t</w:t>
      </w:r>
      <w:r w:rsidR="00E74771">
        <w:t xml:space="preserve">able 2 also differed for Imeni </w:t>
      </w:r>
      <w:r>
        <w:t>and Geheset (</w:t>
      </w:r>
      <w:proofErr w:type="spellStart"/>
      <w:r>
        <w:t>McNemar</w:t>
      </w:r>
      <w:proofErr w:type="spellEnd"/>
      <w:r>
        <w:t xml:space="preserve">, P=0.005), which also supports that the correct Udjat iris color was chosen for Imeni’s Udjat eyes. </w:t>
      </w:r>
    </w:p>
    <w:p w:rsidR="00BB4409" w:rsidRDefault="00BB4409" w:rsidP="00DA4357">
      <w:pPr>
        <w:spacing w:after="0" w:line="360" w:lineRule="auto"/>
      </w:pPr>
    </w:p>
    <w:p w:rsidR="00BB4409" w:rsidRDefault="00BB4409" w:rsidP="00DA4357">
      <w:pPr>
        <w:spacing w:after="0" w:line="360" w:lineRule="auto"/>
      </w:pPr>
      <w:proofErr w:type="gramStart"/>
      <w:r>
        <w:t>Analysis with covariates.</w:t>
      </w:r>
      <w:proofErr w:type="gramEnd"/>
      <w:r w:rsidRPr="00752104">
        <w:t xml:space="preserve"> </w:t>
      </w:r>
      <w:r>
        <w:t xml:space="preserve">  The respondents’ choice (31%) of the same pict</w:t>
      </w:r>
      <w:r w:rsidR="00E74771">
        <w:t xml:space="preserve">ure for both Imeni and Geheset </w:t>
      </w:r>
      <w:r>
        <w:t xml:space="preserve">was not related to any respondent characteristic (age, gender, </w:t>
      </w:r>
      <w:proofErr w:type="gramStart"/>
      <w:r>
        <w:t>training</w:t>
      </w:r>
      <w:proofErr w:type="gramEnd"/>
      <w:r>
        <w:t>) nor to experimental design factors (order, format).  Adjustment for all of these covariates in the statistically significant models above did not alter those results.</w:t>
      </w:r>
    </w:p>
    <w:p w:rsidR="00C161F9" w:rsidRDefault="00C161F9" w:rsidP="00DA4357">
      <w:pPr>
        <w:spacing w:after="0" w:line="360" w:lineRule="auto"/>
      </w:pPr>
    </w:p>
    <w:p w:rsidR="00C161F9" w:rsidRDefault="00C161F9" w:rsidP="00DA4357">
      <w:pPr>
        <w:spacing w:after="0" w:line="360" w:lineRule="auto"/>
      </w:pPr>
      <w:proofErr w:type="gramStart"/>
      <w:r>
        <w:t>Conclusion</w:t>
      </w:r>
      <w:r w:rsidRPr="00D63CF9">
        <w:t>.</w:t>
      </w:r>
      <w:proofErr w:type="gramEnd"/>
      <w:r w:rsidRPr="00D63CF9">
        <w:t xml:space="preserve">  The simple hypothesis that respondents correctly matched Geheset’</w:t>
      </w:r>
      <w:r w:rsidR="009A2013">
        <w:t>s</w:t>
      </w:r>
      <w:r w:rsidRPr="00D63CF9">
        <w:t xml:space="preserve"> </w:t>
      </w:r>
      <w:r>
        <w:t xml:space="preserve">Udjat </w:t>
      </w:r>
      <w:r w:rsidRPr="00D63CF9">
        <w:t xml:space="preserve">iris color was verified, and the choice of </w:t>
      </w:r>
      <w:r>
        <w:t xml:space="preserve">Udjat </w:t>
      </w:r>
      <w:r w:rsidRPr="00D63CF9">
        <w:t>iris color differed for Imeni and Geheset.</w:t>
      </w:r>
      <w:r>
        <w:t xml:space="preserve">    Respondents chose some pictures over others, namely younger pictures.  In a subset (31%), both choices were the (only) two females; in this subset, the choices of </w:t>
      </w:r>
      <w:r w:rsidR="00523D87">
        <w:t>#</w:t>
      </w:r>
      <w:r>
        <w:t xml:space="preserve">1 or </w:t>
      </w:r>
      <w:r w:rsidR="00523D87">
        <w:t>#</w:t>
      </w:r>
      <w:r>
        <w:t xml:space="preserve">9 differed for Imeni and Geheset with correct Udjat iris color being chosen for Imeni 70.3%. However in another subset (31%), respondents made exactly the same </w:t>
      </w:r>
      <w:proofErr w:type="gramStart"/>
      <w:r>
        <w:t>choice  for</w:t>
      </w:r>
      <w:proofErr w:type="gramEnd"/>
      <w:r>
        <w:t xml:space="preserve"> Imeni and Geheset Udjat iris color.</w:t>
      </w:r>
    </w:p>
    <w:p w:rsidR="00C161F9" w:rsidRDefault="00C161F9" w:rsidP="00DA4357">
      <w:pPr>
        <w:spacing w:after="0" w:line="360" w:lineRule="auto"/>
      </w:pPr>
    </w:p>
    <w:p w:rsidR="00C161F9" w:rsidRDefault="00C161F9" w:rsidP="00DA4357">
      <w:pPr>
        <w:spacing w:after="0" w:line="360" w:lineRule="auto"/>
      </w:pPr>
    </w:p>
    <w:p w:rsidR="0077110F" w:rsidRDefault="0077110F" w:rsidP="00DA4357">
      <w:pPr>
        <w:spacing w:line="360" w:lineRule="auto"/>
        <w:rPr>
          <w:b/>
        </w:rPr>
      </w:pPr>
    </w:p>
    <w:p w:rsidR="0077110F" w:rsidRPr="00874363" w:rsidRDefault="0077110F" w:rsidP="00DA4357">
      <w:pPr>
        <w:spacing w:after="0" w:line="360" w:lineRule="auto"/>
        <w:rPr>
          <w:b/>
        </w:rPr>
      </w:pPr>
      <w:r>
        <w:rPr>
          <w:b/>
        </w:rPr>
        <w:t xml:space="preserve">Statistical </w:t>
      </w:r>
      <w:r w:rsidRPr="00874363">
        <w:rPr>
          <w:b/>
        </w:rPr>
        <w:t>Comparison of Geheset</w:t>
      </w:r>
      <w:r>
        <w:rPr>
          <w:b/>
        </w:rPr>
        <w:t>’s</w:t>
      </w:r>
      <w:r w:rsidRPr="00874363">
        <w:rPr>
          <w:b/>
        </w:rPr>
        <w:t xml:space="preserve"> skull to </w:t>
      </w:r>
      <w:r>
        <w:rPr>
          <w:b/>
        </w:rPr>
        <w:t>the skulls excavated at Fayum, Northern Egypt</w:t>
      </w:r>
    </w:p>
    <w:p w:rsidR="0077110F" w:rsidRDefault="0077110F" w:rsidP="00DA4357">
      <w:pPr>
        <w:spacing w:after="0" w:line="360" w:lineRule="auto"/>
      </w:pPr>
      <w:r>
        <w:t>Using measurements of skulls from the Fayum as reference measures, we computed z-</w:t>
      </w:r>
      <w:proofErr w:type="gramStart"/>
      <w:r>
        <w:t>scores  (</w:t>
      </w:r>
      <w:proofErr w:type="gramEnd"/>
      <w:r>
        <w:t>measured-mean)/standard deviation).  Z-scores whose absolute values are great</w:t>
      </w:r>
      <w:r w:rsidR="00C0528E">
        <w:t>er</w:t>
      </w:r>
      <w:r>
        <w:t xml:space="preserve"> than 1.96 are considered to be significantly different from the reference (a z-test).  In the paper</w:t>
      </w:r>
      <w:r w:rsidR="00C0528E">
        <w:t xml:space="preserve"> (Fig. 10)</w:t>
      </w:r>
      <w:r>
        <w:t xml:space="preserve"> we use the female skulls as reference; here we use the pooled men and women skulls as reference.</w:t>
      </w:r>
    </w:p>
    <w:p w:rsidR="009A7EFE" w:rsidRPr="00190DAC" w:rsidRDefault="009A7EFE" w:rsidP="00DA4357">
      <w:pPr>
        <w:spacing w:line="360" w:lineRule="auto"/>
        <w:rPr>
          <w:b/>
        </w:rPr>
      </w:pPr>
      <w:r w:rsidRPr="00190DAC">
        <w:rPr>
          <w:b/>
        </w:rPr>
        <w:br w:type="page"/>
      </w:r>
    </w:p>
    <w:p w:rsidR="0021075D" w:rsidRDefault="0021075D" w:rsidP="00DA4357">
      <w:pPr>
        <w:spacing w:after="0" w:line="360" w:lineRule="auto"/>
        <w:rPr>
          <w:b/>
        </w:rPr>
      </w:pPr>
      <w:r w:rsidRPr="0021075D">
        <w:rPr>
          <w:b/>
          <w:noProof/>
        </w:rPr>
        <w:lastRenderedPageBreak/>
        <w:drawing>
          <wp:inline distT="0" distB="0" distL="0" distR="0">
            <wp:extent cx="5638800" cy="470535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38800" cy="4705350"/>
                      <a:chOff x="1676400" y="838200"/>
                      <a:chExt cx="5638800" cy="4705350"/>
                    </a:xfrm>
                  </a:grpSpPr>
                  <a:pic>
                    <a:nvPicPr>
                      <a:cNvPr id="1026" name="Picture 2"/>
                      <a:cNvPicPr>
                        <a:picLocks noChangeAspect="1" noChangeArrowheads="1"/>
                      </a:cNvPicPr>
                    </a:nvPicPr>
                    <a:blipFill>
                      <a:blip r:embed="rId7" cstate="print"/>
                      <a:srcRect/>
                      <a:stretch>
                        <a:fillRect/>
                      </a:stretch>
                    </a:blipFill>
                    <a:spPr bwMode="auto">
                      <a:xfrm>
                        <a:off x="1676400" y="838200"/>
                        <a:ext cx="5638800" cy="4705350"/>
                      </a:xfrm>
                      <a:prstGeom prst="rect">
                        <a:avLst/>
                      </a:prstGeom>
                      <a:noFill/>
                      <a:ln w="38100">
                        <a:solidFill>
                          <a:srgbClr val="FF0000"/>
                        </a:solidFill>
                        <a:miter lim="800000"/>
                        <a:headEnd/>
                        <a:tailEnd/>
                      </a:ln>
                      <a:effectLst/>
                      <a:scene3d>
                        <a:camera prst="orthographicFront"/>
                        <a:lightRig rig="threePt" dir="t"/>
                      </a:scene3d>
                      <a:sp3d>
                        <a:bevelT prst="angle"/>
                      </a:sp3d>
                    </a:spPr>
                  </a:pic>
                  <a:sp>
                    <a:nvSpPr>
                      <a:cNvPr id="5" name="Oval 4"/>
                      <a:cNvSpPr/>
                    </a:nvSpPr>
                    <a:spPr>
                      <a:xfrm>
                        <a:off x="2819400" y="2895600"/>
                        <a:ext cx="304800" cy="228600"/>
                      </a:xfrm>
                      <a:prstGeom prst="ellipse">
                        <a:avLst/>
                      </a:prstGeom>
                      <a:solidFill>
                        <a:sysClr val="window" lastClr="FFFFFF"/>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2859388" y="2429347"/>
                        <a:ext cx="228600" cy="228600"/>
                      </a:xfrm>
                      <a:prstGeom prst="ellipse">
                        <a:avLst/>
                      </a:prstGeom>
                      <a:solidFill>
                        <a:srgbClr val="FF0000"/>
                      </a:solidFill>
                      <a:ln w="25400" cap="flat" cmpd="sng" algn="ctr">
                        <a:solidFill>
                          <a:srgbClr val="00B05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3904306" y="1828800"/>
                        <a:ext cx="228600" cy="228600"/>
                      </a:xfrm>
                      <a:prstGeom prst="ellipse">
                        <a:avLst/>
                      </a:prstGeom>
                      <a:solidFill>
                        <a:srgbClr val="FF0000"/>
                      </a:solidFill>
                      <a:ln w="25400" cap="flat" cmpd="sng" algn="ctr">
                        <a:solidFill>
                          <a:srgbClr val="00B05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3886200" y="4114800"/>
                        <a:ext cx="304800" cy="304800"/>
                      </a:xfrm>
                      <a:prstGeom prst="ellipse">
                        <a:avLst/>
                      </a:prstGeom>
                      <a:solidFill>
                        <a:sysClr val="window" lastClr="FFFFFF"/>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4953000" y="2425571"/>
                        <a:ext cx="228600" cy="228600"/>
                      </a:xfrm>
                      <a:prstGeom prst="ellipse">
                        <a:avLst/>
                      </a:prstGeom>
                      <a:solidFill>
                        <a:srgbClr val="FF0000"/>
                      </a:solidFill>
                      <a:ln w="25400" cap="flat" cmpd="sng" algn="ctr">
                        <a:solidFill>
                          <a:srgbClr val="92D05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6037906" y="4289082"/>
                        <a:ext cx="228600" cy="228600"/>
                      </a:xfrm>
                      <a:prstGeom prst="ellipse">
                        <a:avLst/>
                      </a:prstGeom>
                      <a:solidFill>
                        <a:srgbClr val="FF0000"/>
                      </a:solidFill>
                      <a:ln w="25400" cap="flat" cmpd="sng" algn="ctr">
                        <a:solidFill>
                          <a:srgbClr val="00B050"/>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Oval 10"/>
                      <a:cNvSpPr/>
                    </a:nvSpPr>
                    <a:spPr>
                      <a:xfrm>
                        <a:off x="2712265" y="2895600"/>
                        <a:ext cx="533400" cy="228600"/>
                      </a:xfrm>
                      <a:prstGeom prst="ellipse">
                        <a:avLst/>
                      </a:prstGeom>
                      <a:solidFill>
                        <a:sysClr val="window" lastClr="FFFFFF"/>
                      </a:solidFill>
                      <a:ln w="25400" cap="flat" cmpd="sng" algn="ctr">
                        <a:no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Book Antiqua"/>
                            </a:defRPr>
                          </a:lvl1pPr>
                          <a:lvl2pPr marL="457200" algn="l" defTabSz="914400" rtl="0" eaLnBrk="1" latinLnBrk="0" hangingPunct="1">
                            <a:defRPr sz="1800" kern="1200">
                              <a:solidFill>
                                <a:sysClr val="window" lastClr="FFFFFF"/>
                              </a:solidFill>
                              <a:latin typeface="Book Antiqua"/>
                            </a:defRPr>
                          </a:lvl2pPr>
                          <a:lvl3pPr marL="914400" algn="l" defTabSz="914400" rtl="0" eaLnBrk="1" latinLnBrk="0" hangingPunct="1">
                            <a:defRPr sz="1800" kern="1200">
                              <a:solidFill>
                                <a:sysClr val="window" lastClr="FFFFFF"/>
                              </a:solidFill>
                              <a:latin typeface="Book Antiqua"/>
                            </a:defRPr>
                          </a:lvl3pPr>
                          <a:lvl4pPr marL="1371600" algn="l" defTabSz="914400" rtl="0" eaLnBrk="1" latinLnBrk="0" hangingPunct="1">
                            <a:defRPr sz="1800" kern="1200">
                              <a:solidFill>
                                <a:sysClr val="window" lastClr="FFFFFF"/>
                              </a:solidFill>
                              <a:latin typeface="Book Antiqua"/>
                            </a:defRPr>
                          </a:lvl4pPr>
                          <a:lvl5pPr marL="1828800" algn="l" defTabSz="914400" rtl="0" eaLnBrk="1" latinLnBrk="0" hangingPunct="1">
                            <a:defRPr sz="1800" kern="1200">
                              <a:solidFill>
                                <a:sysClr val="window" lastClr="FFFFFF"/>
                              </a:solidFill>
                              <a:latin typeface="Book Antiqua"/>
                            </a:defRPr>
                          </a:lvl5pPr>
                          <a:lvl6pPr marL="2286000" algn="l" defTabSz="914400" rtl="0" eaLnBrk="1" latinLnBrk="0" hangingPunct="1">
                            <a:defRPr sz="1800" kern="1200">
                              <a:solidFill>
                                <a:sysClr val="window" lastClr="FFFFFF"/>
                              </a:solidFill>
                              <a:latin typeface="Book Antiqua"/>
                            </a:defRPr>
                          </a:lvl6pPr>
                          <a:lvl7pPr marL="2743200" algn="l" defTabSz="914400" rtl="0" eaLnBrk="1" latinLnBrk="0" hangingPunct="1">
                            <a:defRPr sz="1800" kern="1200">
                              <a:solidFill>
                                <a:sysClr val="window" lastClr="FFFFFF"/>
                              </a:solidFill>
                              <a:latin typeface="Book Antiqua"/>
                            </a:defRPr>
                          </a:lvl7pPr>
                          <a:lvl8pPr marL="3200400" algn="l" defTabSz="914400" rtl="0" eaLnBrk="1" latinLnBrk="0" hangingPunct="1">
                            <a:defRPr sz="1800" kern="1200">
                              <a:solidFill>
                                <a:sysClr val="window" lastClr="FFFFFF"/>
                              </a:solidFill>
                              <a:latin typeface="Book Antiqua"/>
                            </a:defRPr>
                          </a:lvl8pPr>
                          <a:lvl9pPr marL="3657600" algn="l" defTabSz="914400" rtl="0" eaLnBrk="1" latinLnBrk="0" hangingPunct="1">
                            <a:defRPr sz="1800" kern="1200">
                              <a:solidFill>
                                <a:sysClr val="window" lastClr="FFFFFF"/>
                              </a:solidFill>
                              <a:latin typeface="Book Antiqua"/>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1075D" w:rsidRDefault="0021075D" w:rsidP="00DA4357">
      <w:pPr>
        <w:spacing w:after="0" w:line="360" w:lineRule="auto"/>
        <w:rPr>
          <w:b/>
        </w:rPr>
      </w:pPr>
    </w:p>
    <w:p w:rsidR="0021075D" w:rsidRDefault="0021075D" w:rsidP="00DA4357">
      <w:pPr>
        <w:spacing w:after="0" w:line="360" w:lineRule="auto"/>
        <w:rPr>
          <w:b/>
        </w:rPr>
      </w:pPr>
    </w:p>
    <w:p w:rsidR="00231926" w:rsidRDefault="00C26C4C" w:rsidP="00DA4357">
      <w:pPr>
        <w:spacing w:after="0" w:line="360" w:lineRule="auto"/>
        <w:rPr>
          <w:b/>
        </w:rPr>
      </w:pPr>
      <w:r>
        <w:rPr>
          <w:b/>
        </w:rPr>
        <w:t>Fig. 1</w:t>
      </w:r>
      <w:r w:rsidR="002A6DD8" w:rsidRPr="002A6DD8">
        <w:rPr>
          <w:b/>
        </w:rPr>
        <w:t xml:space="preserve"> P</w:t>
      </w:r>
      <w:r w:rsidR="00231926">
        <w:rPr>
          <w:b/>
        </w:rPr>
        <w:t>ooled measurements</w:t>
      </w:r>
      <w:r w:rsidR="00C0528E">
        <w:rPr>
          <w:b/>
        </w:rPr>
        <w:t xml:space="preserve"> (ratios)</w:t>
      </w:r>
      <w:r w:rsidR="00231926">
        <w:rPr>
          <w:b/>
        </w:rPr>
        <w:t xml:space="preserve"> </w:t>
      </w:r>
      <w:r w:rsidR="00C0528E">
        <w:rPr>
          <w:b/>
        </w:rPr>
        <w:t>of men and women</w:t>
      </w:r>
      <w:r w:rsidR="00266926">
        <w:rPr>
          <w:b/>
        </w:rPr>
        <w:t xml:space="preserve"> </w:t>
      </w:r>
      <w:r w:rsidR="00C0528E">
        <w:rPr>
          <w:b/>
        </w:rPr>
        <w:t>combined</w:t>
      </w:r>
      <w:r w:rsidR="00231926">
        <w:rPr>
          <w:b/>
        </w:rPr>
        <w:t xml:space="preserve"> obtained from the Fayum skulls. </w:t>
      </w:r>
    </w:p>
    <w:p w:rsidR="00935686" w:rsidRPr="00FF25A3" w:rsidRDefault="00935686" w:rsidP="00935686">
      <w:pPr>
        <w:spacing w:line="480" w:lineRule="auto"/>
        <w:rPr>
          <w:rFonts w:ascii="Times New Roman" w:hAnsi="Times New Roman"/>
          <w:b/>
          <w:sz w:val="24"/>
          <w:szCs w:val="24"/>
        </w:rPr>
      </w:pPr>
      <w:r>
        <w:rPr>
          <w:rFonts w:ascii="Times New Roman" w:hAnsi="Times New Roman"/>
          <w:sz w:val="24"/>
          <w:szCs w:val="24"/>
        </w:rPr>
        <w:t xml:space="preserve">The analysis was based on right/left ratios (a dimensionless measure) of </w:t>
      </w:r>
      <w:r>
        <w:rPr>
          <w:rFonts w:ascii="Times New Roman" w:hAnsi="Times New Roman"/>
          <w:sz w:val="24"/>
          <w:szCs w:val="24"/>
        </w:rPr>
        <w:t>Geheset’s</w:t>
      </w:r>
      <w:r>
        <w:rPr>
          <w:rFonts w:ascii="Times New Roman" w:hAnsi="Times New Roman"/>
          <w:sz w:val="24"/>
          <w:szCs w:val="24"/>
        </w:rPr>
        <w:t xml:space="preserve"> skull, obtained from photographs, to obviate the influence of possible photographic distortions, and compared to the same ratios gleaned from caliper measurements of 8 female skulls</w:t>
      </w:r>
      <w:r>
        <w:rPr>
          <w:rFonts w:ascii="Times New Roman" w:hAnsi="Times New Roman"/>
          <w:sz w:val="24"/>
          <w:szCs w:val="24"/>
        </w:rPr>
        <w:t xml:space="preserve"> and 24 male skulls</w:t>
      </w:r>
      <w:r>
        <w:rPr>
          <w:rFonts w:ascii="Times New Roman" w:hAnsi="Times New Roman"/>
          <w:sz w:val="24"/>
          <w:szCs w:val="24"/>
        </w:rPr>
        <w:t xml:space="preserve"> excavated from the Fayum. Geheset’s ratios (red dots) are outliers with highly significant differences (z-scores) from the measures obtained from the Fayum skulls. 1=Orbit width; 2=Orbit height; 3=Malar height; 4=</w:t>
      </w:r>
      <w:proofErr w:type="spellStart"/>
      <w:r>
        <w:rPr>
          <w:rFonts w:ascii="Times New Roman" w:hAnsi="Times New Roman"/>
          <w:sz w:val="24"/>
          <w:szCs w:val="24"/>
        </w:rPr>
        <w:t>Infraorbital</w:t>
      </w:r>
      <w:proofErr w:type="spellEnd"/>
      <w:r>
        <w:rPr>
          <w:rFonts w:ascii="Times New Roman" w:hAnsi="Times New Roman"/>
          <w:sz w:val="24"/>
          <w:szCs w:val="24"/>
        </w:rPr>
        <w:t xml:space="preserve"> foramen. Note: the left </w:t>
      </w:r>
      <w:proofErr w:type="spellStart"/>
      <w:r>
        <w:rPr>
          <w:rFonts w:ascii="Times New Roman" w:hAnsi="Times New Roman"/>
          <w:sz w:val="24"/>
          <w:szCs w:val="24"/>
        </w:rPr>
        <w:t>infraorbital</w:t>
      </w:r>
      <w:proofErr w:type="spellEnd"/>
      <w:r>
        <w:rPr>
          <w:rFonts w:ascii="Times New Roman" w:hAnsi="Times New Roman"/>
          <w:sz w:val="24"/>
          <w:szCs w:val="24"/>
        </w:rPr>
        <w:t xml:space="preserve"> foramen was larger on the affected side; negative R/L ratio.   </w:t>
      </w:r>
    </w:p>
    <w:sectPr w:rsidR="00935686" w:rsidRPr="00FF25A3" w:rsidSect="000816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1D" w:rsidRDefault="008C7D1D" w:rsidP="003C4044">
      <w:pPr>
        <w:spacing w:after="0" w:line="240" w:lineRule="auto"/>
      </w:pPr>
      <w:r>
        <w:separator/>
      </w:r>
    </w:p>
  </w:endnote>
  <w:endnote w:type="continuationSeparator" w:id="0">
    <w:p w:rsidR="008C7D1D" w:rsidRDefault="008C7D1D" w:rsidP="003C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AS Monospace">
    <w:altName w:val="Consolas"/>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1D" w:rsidRDefault="008C7D1D" w:rsidP="003C4044">
      <w:pPr>
        <w:spacing w:after="0" w:line="240" w:lineRule="auto"/>
      </w:pPr>
      <w:r>
        <w:separator/>
      </w:r>
    </w:p>
  </w:footnote>
  <w:footnote w:type="continuationSeparator" w:id="0">
    <w:p w:rsidR="008C7D1D" w:rsidRDefault="008C7D1D" w:rsidP="003C40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5FC"/>
    <w:rsid w:val="00016389"/>
    <w:rsid w:val="00027BD8"/>
    <w:rsid w:val="00081686"/>
    <w:rsid w:val="000B70BC"/>
    <w:rsid w:val="00107581"/>
    <w:rsid w:val="00117AC6"/>
    <w:rsid w:val="00126C58"/>
    <w:rsid w:val="00160567"/>
    <w:rsid w:val="00180816"/>
    <w:rsid w:val="00190DAC"/>
    <w:rsid w:val="00194DD6"/>
    <w:rsid w:val="001B5196"/>
    <w:rsid w:val="001F2462"/>
    <w:rsid w:val="001F5DB2"/>
    <w:rsid w:val="0021075D"/>
    <w:rsid w:val="00231926"/>
    <w:rsid w:val="002346A0"/>
    <w:rsid w:val="002346AD"/>
    <w:rsid w:val="002371E3"/>
    <w:rsid w:val="00266926"/>
    <w:rsid w:val="0028042C"/>
    <w:rsid w:val="00296B14"/>
    <w:rsid w:val="002A6DD8"/>
    <w:rsid w:val="002B34E1"/>
    <w:rsid w:val="002E332B"/>
    <w:rsid w:val="00305576"/>
    <w:rsid w:val="00312EE9"/>
    <w:rsid w:val="003173BD"/>
    <w:rsid w:val="00324302"/>
    <w:rsid w:val="003248EC"/>
    <w:rsid w:val="00325010"/>
    <w:rsid w:val="00332D12"/>
    <w:rsid w:val="0036230A"/>
    <w:rsid w:val="00366763"/>
    <w:rsid w:val="0039282E"/>
    <w:rsid w:val="003C4044"/>
    <w:rsid w:val="0042541E"/>
    <w:rsid w:val="004258C7"/>
    <w:rsid w:val="00433C49"/>
    <w:rsid w:val="004C206C"/>
    <w:rsid w:val="004F285B"/>
    <w:rsid w:val="00523D87"/>
    <w:rsid w:val="00525BD5"/>
    <w:rsid w:val="00542A4B"/>
    <w:rsid w:val="005B5730"/>
    <w:rsid w:val="005D46F5"/>
    <w:rsid w:val="00626D0F"/>
    <w:rsid w:val="006607A6"/>
    <w:rsid w:val="00674A61"/>
    <w:rsid w:val="00682102"/>
    <w:rsid w:val="00690ABA"/>
    <w:rsid w:val="006A779B"/>
    <w:rsid w:val="006C677B"/>
    <w:rsid w:val="00747571"/>
    <w:rsid w:val="00752104"/>
    <w:rsid w:val="0077110F"/>
    <w:rsid w:val="00784001"/>
    <w:rsid w:val="00784FD9"/>
    <w:rsid w:val="007E7E8E"/>
    <w:rsid w:val="00801D92"/>
    <w:rsid w:val="008247D1"/>
    <w:rsid w:val="00826A64"/>
    <w:rsid w:val="00832B39"/>
    <w:rsid w:val="008355CA"/>
    <w:rsid w:val="00835B8F"/>
    <w:rsid w:val="00884C6D"/>
    <w:rsid w:val="008C08E0"/>
    <w:rsid w:val="008C7D1D"/>
    <w:rsid w:val="008D7E24"/>
    <w:rsid w:val="009056B5"/>
    <w:rsid w:val="00913DAD"/>
    <w:rsid w:val="00924CD5"/>
    <w:rsid w:val="00935686"/>
    <w:rsid w:val="00965F24"/>
    <w:rsid w:val="00994144"/>
    <w:rsid w:val="009A2013"/>
    <w:rsid w:val="009A7EFE"/>
    <w:rsid w:val="009C3646"/>
    <w:rsid w:val="00A32080"/>
    <w:rsid w:val="00A400B5"/>
    <w:rsid w:val="00A432A8"/>
    <w:rsid w:val="00A529EE"/>
    <w:rsid w:val="00A61BE5"/>
    <w:rsid w:val="00AC29A1"/>
    <w:rsid w:val="00AD3298"/>
    <w:rsid w:val="00AE0C31"/>
    <w:rsid w:val="00B04699"/>
    <w:rsid w:val="00B06143"/>
    <w:rsid w:val="00B11F8B"/>
    <w:rsid w:val="00B352B5"/>
    <w:rsid w:val="00B407E2"/>
    <w:rsid w:val="00B46552"/>
    <w:rsid w:val="00B62582"/>
    <w:rsid w:val="00B74DCE"/>
    <w:rsid w:val="00BA0DE8"/>
    <w:rsid w:val="00BA32BE"/>
    <w:rsid w:val="00BB4409"/>
    <w:rsid w:val="00BC1708"/>
    <w:rsid w:val="00BD1665"/>
    <w:rsid w:val="00BF426E"/>
    <w:rsid w:val="00C02C42"/>
    <w:rsid w:val="00C0528E"/>
    <w:rsid w:val="00C10112"/>
    <w:rsid w:val="00C15E86"/>
    <w:rsid w:val="00C161F9"/>
    <w:rsid w:val="00C26C4C"/>
    <w:rsid w:val="00C364C2"/>
    <w:rsid w:val="00C461AD"/>
    <w:rsid w:val="00CE445F"/>
    <w:rsid w:val="00D10406"/>
    <w:rsid w:val="00D243BA"/>
    <w:rsid w:val="00D94BFB"/>
    <w:rsid w:val="00D95436"/>
    <w:rsid w:val="00DA4357"/>
    <w:rsid w:val="00DC4537"/>
    <w:rsid w:val="00DD3222"/>
    <w:rsid w:val="00E22DC6"/>
    <w:rsid w:val="00E44124"/>
    <w:rsid w:val="00E74771"/>
    <w:rsid w:val="00E9507C"/>
    <w:rsid w:val="00ED0A33"/>
    <w:rsid w:val="00ED5BF2"/>
    <w:rsid w:val="00F11AA8"/>
    <w:rsid w:val="00F175FC"/>
    <w:rsid w:val="00F7067B"/>
    <w:rsid w:val="00F75E4F"/>
    <w:rsid w:val="00FA7A67"/>
    <w:rsid w:val="00FB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86"/>
  </w:style>
  <w:style w:type="paragraph" w:styleId="Heading1">
    <w:name w:val="heading 1"/>
    <w:basedOn w:val="Normal"/>
    <w:next w:val="Normal"/>
    <w:link w:val="Heading1Char"/>
    <w:uiPriority w:val="9"/>
    <w:qFormat/>
    <w:rsid w:val="00AD3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BFB"/>
    <w:rPr>
      <w:color w:val="808080"/>
    </w:rPr>
  </w:style>
  <w:style w:type="paragraph" w:styleId="BalloonText">
    <w:name w:val="Balloon Text"/>
    <w:basedOn w:val="Normal"/>
    <w:link w:val="BalloonTextChar"/>
    <w:uiPriority w:val="99"/>
    <w:semiHidden/>
    <w:unhideWhenUsed/>
    <w:rsid w:val="00D9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FB"/>
    <w:rPr>
      <w:rFonts w:ascii="Tahoma" w:hAnsi="Tahoma" w:cs="Tahoma"/>
      <w:sz w:val="16"/>
      <w:szCs w:val="16"/>
    </w:rPr>
  </w:style>
  <w:style w:type="paragraph" w:styleId="Header">
    <w:name w:val="header"/>
    <w:basedOn w:val="Normal"/>
    <w:link w:val="HeaderChar"/>
    <w:uiPriority w:val="99"/>
    <w:semiHidden/>
    <w:unhideWhenUsed/>
    <w:rsid w:val="003C4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044"/>
  </w:style>
  <w:style w:type="paragraph" w:styleId="Footer">
    <w:name w:val="footer"/>
    <w:basedOn w:val="Normal"/>
    <w:link w:val="FooterChar"/>
    <w:uiPriority w:val="99"/>
    <w:semiHidden/>
    <w:unhideWhenUsed/>
    <w:rsid w:val="003C40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044"/>
  </w:style>
  <w:style w:type="character" w:styleId="Hyperlink">
    <w:name w:val="Hyperlink"/>
    <w:uiPriority w:val="99"/>
    <w:unhideWhenUsed/>
    <w:rsid w:val="00AD3298"/>
    <w:rPr>
      <w:color w:val="0000FF"/>
      <w:u w:val="single"/>
    </w:rPr>
  </w:style>
  <w:style w:type="character" w:customStyle="1" w:styleId="Heading1Char">
    <w:name w:val="Heading 1 Char"/>
    <w:basedOn w:val="DefaultParagraphFont"/>
    <w:link w:val="Heading1"/>
    <w:uiPriority w:val="9"/>
    <w:rsid w:val="00AD32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BFB"/>
    <w:rPr>
      <w:color w:val="808080"/>
    </w:rPr>
  </w:style>
  <w:style w:type="paragraph" w:styleId="BalloonText">
    <w:name w:val="Balloon Text"/>
    <w:basedOn w:val="Normal"/>
    <w:link w:val="BalloonTextChar"/>
    <w:uiPriority w:val="99"/>
    <w:semiHidden/>
    <w:unhideWhenUsed/>
    <w:rsid w:val="00D9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0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Test independence Residuals</a:t>
            </a:r>
          </a:p>
        </c:rich>
      </c:tx>
    </c:title>
    <c:plotArea>
      <c:layout/>
      <c:barChart>
        <c:barDir val="col"/>
        <c:grouping val="clustered"/>
        <c:ser>
          <c:idx val="0"/>
          <c:order val="0"/>
          <c:tx>
            <c:v>I=1</c:v>
          </c:tx>
          <c:val>
            <c:numRef>
              <c:f>Data!$I$2:$I$10</c:f>
              <c:numCache>
                <c:formatCode>General</c:formatCode>
                <c:ptCount val="9"/>
                <c:pt idx="0">
                  <c:v>-0.50528255215902707</c:v>
                </c:pt>
                <c:pt idx="1">
                  <c:v>-0.6600983619844476</c:v>
                </c:pt>
                <c:pt idx="2">
                  <c:v>-5.7166195047504163E-2</c:v>
                </c:pt>
                <c:pt idx="3">
                  <c:v>-0.27258651025456027</c:v>
                </c:pt>
                <c:pt idx="4">
                  <c:v>-0.42008402520840615</c:v>
                </c:pt>
                <c:pt idx="5">
                  <c:v>-0.33633639699815387</c:v>
                </c:pt>
                <c:pt idx="6">
                  <c:v>1.5403080924308119</c:v>
                </c:pt>
                <c:pt idx="7">
                  <c:v>-0.42008402520840615</c:v>
                </c:pt>
                <c:pt idx="8">
                  <c:v>1.1402280684228041</c:v>
                </c:pt>
              </c:numCache>
            </c:numRef>
          </c:val>
        </c:ser>
        <c:ser>
          <c:idx val="1"/>
          <c:order val="1"/>
          <c:tx>
            <c:v>I=2</c:v>
          </c:tx>
          <c:val>
            <c:numRef>
              <c:f>Data!$I$11:$I$19</c:f>
              <c:numCache>
                <c:formatCode>General</c:formatCode>
                <c:ptCount val="9"/>
                <c:pt idx="0">
                  <c:v>-0.28180093098831882</c:v>
                </c:pt>
                <c:pt idx="1">
                  <c:v>4.9341414282514195</c:v>
                </c:pt>
                <c:pt idx="2">
                  <c:v>0.8413341412630887</c:v>
                </c:pt>
                <c:pt idx="3">
                  <c:v>-1.0733183981936278</c:v>
                </c:pt>
                <c:pt idx="4">
                  <c:v>-0.27116307227332026</c:v>
                </c:pt>
                <c:pt idx="5">
                  <c:v>-1.1028893904383497</c:v>
                </c:pt>
                <c:pt idx="6">
                  <c:v>-0.54232614454663641</c:v>
                </c:pt>
                <c:pt idx="7">
                  <c:v>-0.27116307227332026</c:v>
                </c:pt>
                <c:pt idx="8">
                  <c:v>-0.8444792822226288</c:v>
                </c:pt>
              </c:numCache>
            </c:numRef>
          </c:val>
        </c:ser>
        <c:ser>
          <c:idx val="2"/>
          <c:order val="2"/>
          <c:tx>
            <c:v>I=3</c:v>
          </c:tx>
          <c:val>
            <c:numRef>
              <c:f>Data!$I$20:$I$28</c:f>
              <c:numCache>
                <c:formatCode>General</c:formatCode>
                <c:ptCount val="9"/>
                <c:pt idx="0">
                  <c:v>-0.16269784336399218</c:v>
                </c:pt>
                <c:pt idx="1">
                  <c:v>0.84133414126309281</c:v>
                </c:pt>
                <c:pt idx="2">
                  <c:v>4.8318794297384331</c:v>
                </c:pt>
                <c:pt idx="3">
                  <c:v>-0.9650764472411546</c:v>
                </c:pt>
                <c:pt idx="4">
                  <c:v>-0.15655607277128741</c:v>
                </c:pt>
                <c:pt idx="5">
                  <c:v>-0.97769236109380264</c:v>
                </c:pt>
                <c:pt idx="6">
                  <c:v>-0.31311214554257488</c:v>
                </c:pt>
                <c:pt idx="7">
                  <c:v>-0.15655607277128741</c:v>
                </c:pt>
                <c:pt idx="8">
                  <c:v>-0.18339425667493744</c:v>
                </c:pt>
              </c:numCache>
            </c:numRef>
          </c:val>
        </c:ser>
        <c:ser>
          <c:idx val="3"/>
          <c:order val="3"/>
          <c:tx>
            <c:v>I=4</c:v>
          </c:tx>
          <c:val>
            <c:numRef>
              <c:f>Data!$I$29:$I$37</c:f>
              <c:numCache>
                <c:formatCode>General</c:formatCode>
                <c:ptCount val="9"/>
                <c:pt idx="0">
                  <c:v>-1.4142135623731007</c:v>
                </c:pt>
                <c:pt idx="1">
                  <c:v>-2.0511601988091844E-15</c:v>
                </c:pt>
                <c:pt idx="2">
                  <c:v>0.99999999999999467</c:v>
                </c:pt>
                <c:pt idx="3">
                  <c:v>3.0464244212495828</c:v>
                </c:pt>
                <c:pt idx="4">
                  <c:v>-0.40824829046386368</c:v>
                </c:pt>
                <c:pt idx="5">
                  <c:v>0.19611613513818354</c:v>
                </c:pt>
                <c:pt idx="6">
                  <c:v>-0.81649658092772137</c:v>
                </c:pt>
                <c:pt idx="7">
                  <c:v>-0.40824829046386368</c:v>
                </c:pt>
                <c:pt idx="8">
                  <c:v>-1.4580296087995124</c:v>
                </c:pt>
              </c:numCache>
            </c:numRef>
          </c:val>
        </c:ser>
        <c:ser>
          <c:idx val="4"/>
          <c:order val="4"/>
          <c:tx>
            <c:v>I=5</c:v>
          </c:tx>
          <c:val>
            <c:numRef>
              <c:f>Data!$I$38:$I$46</c:f>
              <c:numCache>
                <c:formatCode>General</c:formatCode>
                <c:ptCount val="9"/>
                <c:pt idx="0">
                  <c:v>-8.084520834544498E-2</c:v>
                </c:pt>
                <c:pt idx="1">
                  <c:v>0.23103442669455868</c:v>
                </c:pt>
                <c:pt idx="2">
                  <c:v>-0.51449575542752679</c:v>
                </c:pt>
                <c:pt idx="3">
                  <c:v>-0.52245747798789466</c:v>
                </c:pt>
                <c:pt idx="4">
                  <c:v>4.5509102730910245</c:v>
                </c:pt>
                <c:pt idx="5">
                  <c:v>0.9753755512946567</c:v>
                </c:pt>
                <c:pt idx="6">
                  <c:v>-0.42008402520840593</c:v>
                </c:pt>
                <c:pt idx="7">
                  <c:v>-0.21004201260420149</c:v>
                </c:pt>
                <c:pt idx="8">
                  <c:v>-0.79015804741580764</c:v>
                </c:pt>
              </c:numCache>
            </c:numRef>
          </c:val>
        </c:ser>
        <c:ser>
          <c:idx val="5"/>
          <c:order val="5"/>
          <c:tx>
            <c:v>I=6</c:v>
          </c:tx>
          <c:val>
            <c:numRef>
              <c:f>Data!$I$47:$I$55</c:f>
              <c:numCache>
                <c:formatCode>General</c:formatCode>
                <c:ptCount val="9"/>
                <c:pt idx="0">
                  <c:v>-1.0809056378665085</c:v>
                </c:pt>
                <c:pt idx="1">
                  <c:v>-0.97448864904261656</c:v>
                </c:pt>
                <c:pt idx="2">
                  <c:v>-0.92354814518279948</c:v>
                </c:pt>
                <c:pt idx="3">
                  <c:v>-0.60319836010031169</c:v>
                </c:pt>
                <c:pt idx="4">
                  <c:v>-0.37703695143194932</c:v>
                </c:pt>
                <c:pt idx="5">
                  <c:v>2.7418228331020713</c:v>
                </c:pt>
                <c:pt idx="6">
                  <c:v>0.57205606424157862</c:v>
                </c:pt>
                <c:pt idx="7">
                  <c:v>-0.37703695143194932</c:v>
                </c:pt>
                <c:pt idx="8">
                  <c:v>1.3001274187304505E-2</c:v>
                </c:pt>
              </c:numCache>
            </c:numRef>
          </c:val>
        </c:ser>
        <c:ser>
          <c:idx val="6"/>
          <c:order val="6"/>
          <c:tx>
            <c:v>I=7</c:v>
          </c:tx>
          <c:val>
            <c:numRef>
              <c:f>Data!$I$56:$I$64</c:f>
              <c:numCache>
                <c:formatCode>General</c:formatCode>
                <c:ptCount val="9"/>
                <c:pt idx="0">
                  <c:v>0.27500954910846132</c:v>
                </c:pt>
                <c:pt idx="1">
                  <c:v>-0.78590524799337969</c:v>
                </c:pt>
                <c:pt idx="2">
                  <c:v>-0.45374260648651354</c:v>
                </c:pt>
                <c:pt idx="3">
                  <c:v>-0.26615570980261782</c:v>
                </c:pt>
                <c:pt idx="4">
                  <c:v>-0.18523964340873741</c:v>
                </c:pt>
                <c:pt idx="5">
                  <c:v>0.57205444070353784</c:v>
                </c:pt>
                <c:pt idx="6">
                  <c:v>2.3287269457098372</c:v>
                </c:pt>
                <c:pt idx="7">
                  <c:v>-0.18523964340873741</c:v>
                </c:pt>
                <c:pt idx="8">
                  <c:v>-0.52547572313907365</c:v>
                </c:pt>
              </c:numCache>
            </c:numRef>
          </c:val>
        </c:ser>
        <c:ser>
          <c:idx val="7"/>
          <c:order val="7"/>
          <c:tx>
            <c:v>I=8</c:v>
          </c:tx>
          <c:val>
            <c:numRef>
              <c:f>Data!$I$65:$I$73</c:f>
              <c:numCache>
                <c:formatCode>General</c:formatCode>
                <c:ptCount val="9"/>
                <c:pt idx="0">
                  <c:v>-0.84016805041680764</c:v>
                </c:pt>
                <c:pt idx="1">
                  <c:v>-0.51449575542752679</c:v>
                </c:pt>
                <c:pt idx="2">
                  <c:v>-0.29704426289300484</c:v>
                </c:pt>
                <c:pt idx="3">
                  <c:v>0.59016710652347304</c:v>
                </c:pt>
                <c:pt idx="4">
                  <c:v>-0.12126781251816664</c:v>
                </c:pt>
                <c:pt idx="5">
                  <c:v>0.56313333710094748</c:v>
                </c:pt>
                <c:pt idx="6">
                  <c:v>-0.24253562503633341</c:v>
                </c:pt>
                <c:pt idx="7">
                  <c:v>-0.12126781251816664</c:v>
                </c:pt>
                <c:pt idx="8">
                  <c:v>0.32915549112073594</c:v>
                </c:pt>
              </c:numCache>
            </c:numRef>
          </c:val>
        </c:ser>
        <c:ser>
          <c:idx val="8"/>
          <c:order val="8"/>
          <c:tx>
            <c:v>I=9</c:v>
          </c:tx>
          <c:val>
            <c:numRef>
              <c:f>Data!$I$74:$I$82</c:f>
              <c:numCache>
                <c:formatCode>General</c:formatCode>
                <c:ptCount val="9"/>
                <c:pt idx="0">
                  <c:v>2.4032527719567858</c:v>
                </c:pt>
                <c:pt idx="1">
                  <c:v>-1.1700358786034155</c:v>
                </c:pt>
                <c:pt idx="2">
                  <c:v>-1.3932610920384629</c:v>
                </c:pt>
                <c:pt idx="3">
                  <c:v>-0.65428505937769099</c:v>
                </c:pt>
                <c:pt idx="4">
                  <c:v>-0.56879645899452602</c:v>
                </c:pt>
                <c:pt idx="5">
                  <c:v>-1.5814856756459739</c:v>
                </c:pt>
                <c:pt idx="6">
                  <c:v>-1.1375929179890418</c:v>
                </c:pt>
                <c:pt idx="7">
                  <c:v>1.1893016869885424</c:v>
                </c:pt>
                <c:pt idx="8">
                  <c:v>1.0415623469899558</c:v>
                </c:pt>
              </c:numCache>
            </c:numRef>
          </c:val>
        </c:ser>
        <c:axId val="114692480"/>
        <c:axId val="114694016"/>
      </c:barChart>
      <c:catAx>
        <c:axId val="114692480"/>
        <c:scaling>
          <c:orientation val="minMax"/>
        </c:scaling>
        <c:axPos val="b"/>
        <c:tickLblPos val="nextTo"/>
        <c:crossAx val="114694016"/>
        <c:crosses val="autoZero"/>
        <c:auto val="1"/>
        <c:lblAlgn val="ctr"/>
        <c:lblOffset val="100"/>
      </c:catAx>
      <c:valAx>
        <c:axId val="114694016"/>
        <c:scaling>
          <c:orientation val="minMax"/>
        </c:scaling>
        <c:axPos val="l"/>
        <c:majorGridlines/>
        <c:numFmt formatCode="General" sourceLinked="1"/>
        <c:tickLblPos val="nextTo"/>
        <c:crossAx val="1146924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UNMHSC</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Otto Appenzeller</cp:lastModifiedBy>
  <cp:revision>5</cp:revision>
  <cp:lastPrinted>2012-04-28T13:58:00Z</cp:lastPrinted>
  <dcterms:created xsi:type="dcterms:W3CDTF">2012-10-08T15:06:00Z</dcterms:created>
  <dcterms:modified xsi:type="dcterms:W3CDTF">2012-10-26T15:46:00Z</dcterms:modified>
</cp:coreProperties>
</file>