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6C" w:rsidRPr="00F7328E" w:rsidRDefault="006D15DF" w:rsidP="00265A6C">
      <w:pPr>
        <w:rPr>
          <w:b/>
        </w:rPr>
      </w:pPr>
      <w:r>
        <w:rPr>
          <w:b/>
        </w:rPr>
        <w:t>Table S1</w:t>
      </w:r>
      <w:r w:rsidR="00265A6C" w:rsidRPr="002B1AA2">
        <w:rPr>
          <w:b/>
        </w:rPr>
        <w:t>. Overview of search strategy</w:t>
      </w:r>
    </w:p>
    <w:tbl>
      <w:tblPr>
        <w:tblW w:w="12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3828"/>
        <w:gridCol w:w="3290"/>
        <w:gridCol w:w="1559"/>
      </w:tblGrid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tabs>
                <w:tab w:val="center" w:pos="175"/>
              </w:tabs>
              <w:spacing w:line="276" w:lineRule="auto"/>
              <w:rPr>
                <w:b/>
                <w:sz w:val="18"/>
                <w:szCs w:val="18"/>
              </w:rPr>
            </w:pPr>
            <w:r w:rsidRPr="000A1DBC">
              <w:rPr>
                <w:b/>
                <w:sz w:val="18"/>
                <w:szCs w:val="18"/>
              </w:rPr>
              <w:tab/>
              <w:t>Set</w:t>
            </w:r>
          </w:p>
        </w:tc>
        <w:tc>
          <w:tcPr>
            <w:tcW w:w="3685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A1DBC">
              <w:rPr>
                <w:b/>
                <w:sz w:val="18"/>
                <w:szCs w:val="18"/>
              </w:rPr>
              <w:t>Embase</w:t>
            </w:r>
            <w:proofErr w:type="spellEnd"/>
          </w:p>
        </w:tc>
        <w:tc>
          <w:tcPr>
            <w:tcW w:w="3828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1DBC">
              <w:rPr>
                <w:b/>
                <w:sz w:val="18"/>
                <w:szCs w:val="18"/>
              </w:rPr>
              <w:t>Global Health</w:t>
            </w:r>
          </w:p>
        </w:tc>
        <w:tc>
          <w:tcPr>
            <w:tcW w:w="3290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1DBC">
              <w:rPr>
                <w:b/>
                <w:sz w:val="18"/>
                <w:szCs w:val="18"/>
              </w:rPr>
              <w:t>Medline</w:t>
            </w:r>
          </w:p>
        </w:tc>
        <w:tc>
          <w:tcPr>
            <w:tcW w:w="1559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1DBC">
              <w:rPr>
                <w:b/>
                <w:sz w:val="18"/>
                <w:szCs w:val="18"/>
              </w:rPr>
              <w:t>Web of Science**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2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TUBERCULIN TEST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 xml:space="preserve">(TST or tuberculin adj1 sensitivity adj1 test or tuberculin adj1 skin adj1 test or </w:t>
            </w:r>
            <w:proofErr w:type="spellStart"/>
            <w:r w:rsidRPr="000A1DBC">
              <w:rPr>
                <w:sz w:val="18"/>
                <w:szCs w:val="18"/>
              </w:rPr>
              <w:t>Mantoux</w:t>
            </w:r>
            <w:proofErr w:type="spellEnd"/>
            <w:r w:rsidRPr="000A1DBC">
              <w:rPr>
                <w:sz w:val="18"/>
                <w:szCs w:val="18"/>
              </w:rPr>
              <w:t xml:space="preserve"> adj1 tuberculin adj1 skin adj1 test or </w:t>
            </w:r>
            <w:proofErr w:type="spellStart"/>
            <w:r w:rsidRPr="000A1DBC">
              <w:rPr>
                <w:sz w:val="18"/>
                <w:szCs w:val="18"/>
              </w:rPr>
              <w:t>Mantoux</w:t>
            </w:r>
            <w:proofErr w:type="spellEnd"/>
            <w:r w:rsidRPr="000A1DBC">
              <w:rPr>
                <w:sz w:val="18"/>
                <w:szCs w:val="18"/>
              </w:rPr>
              <w:t xml:space="preserve"> adj1 test or </w:t>
            </w:r>
            <w:proofErr w:type="spellStart"/>
            <w:r w:rsidRPr="000A1DBC">
              <w:rPr>
                <w:sz w:val="18"/>
                <w:szCs w:val="18"/>
              </w:rPr>
              <w:t>Mantoux</w:t>
            </w:r>
            <w:proofErr w:type="spellEnd"/>
            <w:r w:rsidRPr="000A1DBC">
              <w:rPr>
                <w:sz w:val="18"/>
                <w:szCs w:val="18"/>
              </w:rPr>
              <w:t xml:space="preserve"> adj1 screening adj1 test or PPD or purified adj1 protein adj1 derivative or </w:t>
            </w:r>
            <w:proofErr w:type="spellStart"/>
            <w:r w:rsidRPr="000A1DBC">
              <w:rPr>
                <w:sz w:val="18"/>
                <w:szCs w:val="18"/>
              </w:rPr>
              <w:t>Pirquet</w:t>
            </w:r>
            <w:proofErr w:type="spellEnd"/>
            <w:r w:rsidRPr="000A1DBC">
              <w:rPr>
                <w:sz w:val="18"/>
                <w:szCs w:val="18"/>
              </w:rPr>
              <w:t xml:space="preserve"> adj1 test)</w:t>
            </w:r>
          </w:p>
        </w:tc>
        <w:tc>
          <w:tcPr>
            <w:tcW w:w="3828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TUBERCULIN and SKIN TESTS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0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TUBERCULIN TEST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0A1DBC">
              <w:rPr>
                <w:sz w:val="18"/>
                <w:szCs w:val="18"/>
              </w:rPr>
              <w:t>.TI</w:t>
            </w:r>
            <w:proofErr w:type="gramEnd"/>
            <w:r w:rsidRPr="000A1DBC">
              <w:rPr>
                <w:sz w:val="18"/>
                <w:szCs w:val="18"/>
              </w:rPr>
              <w:t xml:space="preserve"> or .TS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4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1 and 2 were combined with “or”</w:t>
            </w:r>
          </w:p>
        </w:tc>
      </w:tr>
      <w:tr w:rsidR="00265A6C" w:rsidRPr="000A1DBC" w:rsidTr="007821DC">
        <w:trPr>
          <w:trHeight w:val="468"/>
        </w:trPr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5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LATENT TUBERCULOSIS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(</w:t>
            </w:r>
            <w:proofErr w:type="gramStart"/>
            <w:r w:rsidRPr="000A1DBC">
              <w:rPr>
                <w:sz w:val="18"/>
                <w:szCs w:val="18"/>
              </w:rPr>
              <w:t>latent</w:t>
            </w:r>
            <w:proofErr w:type="gramEnd"/>
            <w:r w:rsidRPr="000A1DBC">
              <w:rPr>
                <w:sz w:val="18"/>
                <w:szCs w:val="18"/>
              </w:rPr>
              <w:t xml:space="preserve"> adj1 tuberculosis or LTB or LTBI)</w:t>
            </w:r>
          </w:p>
        </w:tc>
        <w:tc>
          <w:tcPr>
            <w:tcW w:w="3828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0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LATENT TUBERCULOSIS</w:t>
            </w:r>
          </w:p>
        </w:tc>
        <w:tc>
          <w:tcPr>
            <w:tcW w:w="1559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0A1DBC">
              <w:rPr>
                <w:sz w:val="18"/>
                <w:szCs w:val="18"/>
              </w:rPr>
              <w:t>.TI</w:t>
            </w:r>
            <w:proofErr w:type="gramEnd"/>
            <w:r w:rsidRPr="000A1DBC">
              <w:rPr>
                <w:sz w:val="18"/>
                <w:szCs w:val="18"/>
              </w:rPr>
              <w:t xml:space="preserve"> or .TS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7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5 and 6 were combined with “or”</w:t>
            </w:r>
          </w:p>
        </w:tc>
      </w:tr>
      <w:tr w:rsidR="00265A6C" w:rsidRPr="000A1DBC" w:rsidTr="007821DC">
        <w:trPr>
          <w:trHeight w:val="468"/>
        </w:trPr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8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ISONIAZID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(Isoniazid or isoniazid adj1 preventive adj1 therapy or IPT or INH)</w:t>
            </w:r>
          </w:p>
        </w:tc>
        <w:tc>
          <w:tcPr>
            <w:tcW w:w="3828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ISONIAZID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0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ISONIAZID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0A1DBC">
              <w:rPr>
                <w:sz w:val="18"/>
                <w:szCs w:val="18"/>
              </w:rPr>
              <w:t>.TI</w:t>
            </w:r>
            <w:proofErr w:type="gramEnd"/>
            <w:r w:rsidRPr="000A1DBC">
              <w:rPr>
                <w:sz w:val="18"/>
                <w:szCs w:val="18"/>
              </w:rPr>
              <w:t xml:space="preserve"> or .TS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10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8 and 9 were combined with “or”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11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4, 7, 10 were combined with “or”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12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13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HUMAN IMMUNODEFICIENCY VIRUS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ACQUIRED IMMUNODEFICIENCY SYNDROME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 xml:space="preserve">(HIV or AIDS or human adj1 </w:t>
            </w:r>
            <w:proofErr w:type="gramStart"/>
            <w:r w:rsidRPr="000A1DBC">
              <w:rPr>
                <w:sz w:val="18"/>
                <w:szCs w:val="18"/>
              </w:rPr>
              <w:t>immunodeficiency  adj1</w:t>
            </w:r>
            <w:proofErr w:type="gramEnd"/>
            <w:r w:rsidRPr="000A1DBC">
              <w:rPr>
                <w:sz w:val="18"/>
                <w:szCs w:val="18"/>
              </w:rPr>
              <w:t xml:space="preserve"> virus or autoimmune adj1 deficiency adj1 syndrome or acquired adj1 immune adj1 deficiency adj1 syndrome)</w:t>
            </w:r>
          </w:p>
        </w:tc>
        <w:tc>
          <w:tcPr>
            <w:tcW w:w="3828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HUMAN IMMUNODEFICIENCY VIRUSES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ACQUIRED IMMUNE DEFICIENCY SYNDROME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90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HIV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ACQUIRED IMMUNODEFICIENCY SYNDROME</w:t>
            </w: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0A1DBC">
              <w:rPr>
                <w:sz w:val="18"/>
                <w:szCs w:val="18"/>
              </w:rPr>
              <w:t>.TI</w:t>
            </w:r>
            <w:proofErr w:type="gramEnd"/>
            <w:r w:rsidRPr="000A1DBC">
              <w:rPr>
                <w:sz w:val="18"/>
                <w:szCs w:val="18"/>
              </w:rPr>
              <w:t xml:space="preserve"> or .TS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15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12-14 were combined with “or”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17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11 and 15 were combined with “and”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18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17 was limited to 1990-present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19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18 was combined with country set using “and”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20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19 was limited to humans</w:t>
            </w:r>
          </w:p>
        </w:tc>
      </w:tr>
      <w:tr w:rsidR="00265A6C" w:rsidRPr="000A1DBC" w:rsidTr="007821DC">
        <w:tc>
          <w:tcPr>
            <w:tcW w:w="567" w:type="dxa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21</w:t>
            </w:r>
          </w:p>
        </w:tc>
        <w:tc>
          <w:tcPr>
            <w:tcW w:w="12362" w:type="dxa"/>
            <w:gridSpan w:val="4"/>
          </w:tcPr>
          <w:p w:rsidR="00265A6C" w:rsidRPr="000A1DBC" w:rsidRDefault="00265A6C" w:rsidP="007821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A1DBC">
              <w:rPr>
                <w:sz w:val="18"/>
                <w:szCs w:val="18"/>
              </w:rPr>
              <w:t>Set 20 was limited to English</w:t>
            </w:r>
          </w:p>
        </w:tc>
      </w:tr>
    </w:tbl>
    <w:p w:rsidR="00265A6C" w:rsidRDefault="00265A6C" w:rsidP="00265A6C">
      <w:pPr>
        <w:ind w:left="-142"/>
        <w:rPr>
          <w:sz w:val="18"/>
          <w:szCs w:val="18"/>
        </w:rPr>
      </w:pPr>
    </w:p>
    <w:p w:rsidR="00265A6C" w:rsidRPr="00F35BB1" w:rsidRDefault="00265A6C" w:rsidP="00265A6C">
      <w:pPr>
        <w:ind w:left="-142"/>
        <w:rPr>
          <w:sz w:val="18"/>
          <w:szCs w:val="18"/>
        </w:rPr>
      </w:pPr>
      <w:r w:rsidRPr="00306281">
        <w:rPr>
          <w:sz w:val="18"/>
          <w:szCs w:val="18"/>
        </w:rPr>
        <w:t xml:space="preserve">All words in upper case words were searched as </w:t>
      </w:r>
      <w:proofErr w:type="spellStart"/>
      <w:r w:rsidRPr="00306281">
        <w:rPr>
          <w:sz w:val="18"/>
          <w:szCs w:val="18"/>
        </w:rPr>
        <w:t>MeSH</w:t>
      </w:r>
      <w:proofErr w:type="spellEnd"/>
      <w:r w:rsidRPr="00306281">
        <w:rPr>
          <w:sz w:val="18"/>
          <w:szCs w:val="18"/>
        </w:rPr>
        <w:t xml:space="preserve"> terms</w:t>
      </w:r>
      <w:r w:rsidR="007762B9">
        <w:rPr>
          <w:sz w:val="18"/>
          <w:szCs w:val="18"/>
        </w:rPr>
        <w:t xml:space="preserve">. </w:t>
      </w:r>
      <w:r w:rsidRPr="00306281">
        <w:rPr>
          <w:sz w:val="18"/>
          <w:szCs w:val="18"/>
        </w:rPr>
        <w:t>All words in parentheses were searched as free text</w:t>
      </w:r>
      <w:r>
        <w:rPr>
          <w:sz w:val="18"/>
          <w:szCs w:val="18"/>
        </w:rPr>
        <w:t>.  **TI = title. TS = topic.</w:t>
      </w:r>
    </w:p>
    <w:p w:rsidR="00265A6C" w:rsidRDefault="00265A6C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sectPr w:rsidR="00265A6C" w:rsidSect="00265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6C"/>
    <w:rsid w:val="001C7A25"/>
    <w:rsid w:val="00265A6C"/>
    <w:rsid w:val="005443C9"/>
    <w:rsid w:val="006D15DF"/>
    <w:rsid w:val="007762B9"/>
    <w:rsid w:val="00C3390E"/>
    <w:rsid w:val="00D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Macintosh Word</Application>
  <DocSecurity>0</DocSecurity>
  <Lines>10</Lines>
  <Paragraphs>3</Paragraphs>
  <ScaleCrop>false</ScaleCrop>
  <Company>London School of Hygiene &amp; Tropical Medicine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Lawn</dc:creator>
  <cp:lastModifiedBy>Andrew Kerkhoff</cp:lastModifiedBy>
  <cp:revision>2</cp:revision>
  <dcterms:created xsi:type="dcterms:W3CDTF">2012-10-27T16:25:00Z</dcterms:created>
  <dcterms:modified xsi:type="dcterms:W3CDTF">2012-10-27T16:25:00Z</dcterms:modified>
</cp:coreProperties>
</file>