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41" w:rsidRDefault="00F37141" w:rsidP="00F37141">
      <w:pPr>
        <w:pStyle w:val="Textoindependiente2"/>
        <w:rPr>
          <w:b/>
          <w:color w:val="000000"/>
          <w:szCs w:val="24"/>
        </w:rPr>
      </w:pPr>
      <w:r w:rsidRPr="00EE56F7">
        <w:rPr>
          <w:b/>
          <w:color w:val="000000"/>
          <w:szCs w:val="24"/>
        </w:rPr>
        <w:t>Method S</w:t>
      </w:r>
      <w:r>
        <w:rPr>
          <w:b/>
          <w:color w:val="000000"/>
          <w:szCs w:val="24"/>
        </w:rPr>
        <w:t>3</w:t>
      </w:r>
    </w:p>
    <w:p w:rsidR="00F37141" w:rsidRDefault="00F37141" w:rsidP="00F37141">
      <w:pPr>
        <w:pStyle w:val="Ttulo6"/>
        <w:rPr>
          <w:color w:val="000000"/>
          <w:u w:val="none"/>
          <w:lang w:val="en-US"/>
        </w:rPr>
      </w:pPr>
      <w:r w:rsidRPr="006567D7">
        <w:rPr>
          <w:b/>
          <w:color w:val="000000"/>
          <w:u w:val="none"/>
          <w:lang w:val="en-US"/>
        </w:rPr>
        <w:t xml:space="preserve">Flow </w:t>
      </w:r>
      <w:proofErr w:type="spellStart"/>
      <w:r w:rsidRPr="006567D7">
        <w:rPr>
          <w:b/>
          <w:color w:val="000000"/>
          <w:u w:val="none"/>
          <w:lang w:val="en-US"/>
        </w:rPr>
        <w:t>cytometry</w:t>
      </w:r>
      <w:proofErr w:type="spellEnd"/>
      <w:r>
        <w:rPr>
          <w:b/>
          <w:color w:val="000000"/>
          <w:u w:val="none"/>
          <w:lang w:val="en-US"/>
        </w:rPr>
        <w:t xml:space="preserve">. </w:t>
      </w:r>
      <w:r w:rsidRPr="006567D7">
        <w:rPr>
          <w:color w:val="000000"/>
          <w:u w:val="none"/>
          <w:lang w:val="en-US"/>
        </w:rPr>
        <w:t>To measure expression of surface antigens, cells (5x10</w:t>
      </w:r>
      <w:r w:rsidRPr="006567D7">
        <w:rPr>
          <w:color w:val="000000"/>
          <w:szCs w:val="24"/>
          <w:u w:val="none"/>
          <w:vertAlign w:val="superscript"/>
          <w:lang w:val="en-US"/>
        </w:rPr>
        <w:t>5</w:t>
      </w:r>
      <w:r w:rsidRPr="006567D7">
        <w:rPr>
          <w:color w:val="000000"/>
          <w:szCs w:val="24"/>
          <w:u w:val="none"/>
          <w:lang w:val="en-US"/>
        </w:rPr>
        <w:t xml:space="preserve">/100 </w:t>
      </w:r>
      <w:r w:rsidR="00085298">
        <w:rPr>
          <w:color w:val="000000"/>
          <w:szCs w:val="24"/>
          <w:u w:val="none"/>
          <w:lang w:val="en-US"/>
        </w:rPr>
        <w:sym w:font="Symbol" w:char="F06D"/>
      </w:r>
      <w:r w:rsidRPr="006567D7">
        <w:rPr>
          <w:color w:val="000000"/>
          <w:szCs w:val="24"/>
          <w:u w:val="none"/>
          <w:lang w:val="en-US"/>
        </w:rPr>
        <w:t>l</w:t>
      </w:r>
      <w:r w:rsidRPr="006567D7">
        <w:rPr>
          <w:color w:val="000000"/>
          <w:u w:val="none"/>
          <w:lang w:val="en-US"/>
        </w:rPr>
        <w:t xml:space="preserve">) were labeled with 10 </w:t>
      </w:r>
      <w:r w:rsidR="00085298">
        <w:rPr>
          <w:color w:val="000000"/>
          <w:u w:val="none"/>
          <w:lang w:val="en-US"/>
        </w:rPr>
        <w:sym w:font="Symbol" w:char="F06D"/>
      </w:r>
      <w:r w:rsidRPr="006567D7">
        <w:rPr>
          <w:color w:val="000000"/>
          <w:u w:val="none"/>
          <w:lang w:val="en-US"/>
        </w:rPr>
        <w:t xml:space="preserve">l of </w:t>
      </w:r>
      <w:proofErr w:type="spellStart"/>
      <w:r w:rsidRPr="006567D7">
        <w:rPr>
          <w:color w:val="000000"/>
          <w:u w:val="none"/>
          <w:lang w:val="en-US"/>
        </w:rPr>
        <w:t>fluoresc</w:t>
      </w:r>
      <w:r w:rsidR="00085298">
        <w:rPr>
          <w:color w:val="000000"/>
          <w:u w:val="none"/>
          <w:lang w:val="en-US"/>
        </w:rPr>
        <w:t>ein</w:t>
      </w:r>
      <w:proofErr w:type="spellEnd"/>
      <w:r w:rsidR="00085298">
        <w:rPr>
          <w:color w:val="000000"/>
          <w:u w:val="none"/>
          <w:lang w:val="en-US"/>
        </w:rPr>
        <w:t xml:space="preserve">- or </w:t>
      </w:r>
      <w:proofErr w:type="spellStart"/>
      <w:r w:rsidR="00085298">
        <w:rPr>
          <w:color w:val="000000"/>
          <w:u w:val="none"/>
          <w:lang w:val="en-US"/>
        </w:rPr>
        <w:t>phycoerythrin</w:t>
      </w:r>
      <w:proofErr w:type="spellEnd"/>
      <w:r w:rsidR="00085298">
        <w:rPr>
          <w:color w:val="000000"/>
          <w:u w:val="none"/>
          <w:lang w:val="en-US"/>
        </w:rPr>
        <w:t>-</w:t>
      </w:r>
      <w:r w:rsidRPr="006567D7">
        <w:rPr>
          <w:color w:val="000000"/>
          <w:u w:val="none"/>
          <w:lang w:val="en-US"/>
        </w:rPr>
        <w:t>conjuga</w:t>
      </w:r>
      <w:r w:rsidR="00085298">
        <w:rPr>
          <w:color w:val="000000"/>
          <w:u w:val="none"/>
          <w:lang w:val="en-US"/>
        </w:rPr>
        <w:t xml:space="preserve">ted monoclonal antibodies </w:t>
      </w:r>
      <w:r w:rsidRPr="006567D7">
        <w:rPr>
          <w:color w:val="000000"/>
          <w:u w:val="none"/>
          <w:lang w:val="en-US"/>
        </w:rPr>
        <w:t>against human CD105 (</w:t>
      </w:r>
      <w:proofErr w:type="spellStart"/>
      <w:r w:rsidRPr="006567D7">
        <w:rPr>
          <w:color w:val="000000"/>
          <w:u w:val="none"/>
          <w:lang w:val="en-US"/>
        </w:rPr>
        <w:t>Serotec</w:t>
      </w:r>
      <w:proofErr w:type="spellEnd"/>
      <w:r w:rsidRPr="006567D7">
        <w:rPr>
          <w:color w:val="000000"/>
          <w:u w:val="none"/>
          <w:lang w:val="en-US"/>
        </w:rPr>
        <w:t xml:space="preserve">), CD90, CD166, CD29, CD44, CD14, CD117, CD34, CD45, CD34 (BD </w:t>
      </w:r>
      <w:proofErr w:type="spellStart"/>
      <w:r w:rsidRPr="006567D7">
        <w:rPr>
          <w:color w:val="000000"/>
          <w:u w:val="none"/>
          <w:lang w:val="en-US"/>
        </w:rPr>
        <w:t>Pharmingen</w:t>
      </w:r>
      <w:proofErr w:type="spellEnd"/>
      <w:r w:rsidRPr="006567D7">
        <w:rPr>
          <w:color w:val="000000"/>
          <w:u w:val="none"/>
          <w:lang w:val="en-US"/>
        </w:rPr>
        <w:t>), CD31 (</w:t>
      </w:r>
      <w:proofErr w:type="spellStart"/>
      <w:r w:rsidRPr="006567D7">
        <w:rPr>
          <w:color w:val="000000"/>
          <w:u w:val="none"/>
          <w:lang w:val="en-US"/>
        </w:rPr>
        <w:t>Abcam</w:t>
      </w:r>
      <w:proofErr w:type="spellEnd"/>
      <w:r w:rsidRPr="006567D7">
        <w:rPr>
          <w:color w:val="000000"/>
          <w:u w:val="none"/>
          <w:lang w:val="en-US"/>
        </w:rPr>
        <w:t xml:space="preserve"> Inc.), and CD133 and VEGFR-2 (R&amp;D Systems) during</w:t>
      </w:r>
      <w:r>
        <w:rPr>
          <w:color w:val="000000"/>
          <w:u w:val="none"/>
          <w:lang w:val="en-US"/>
        </w:rPr>
        <w:t xml:space="preserve"> 30 min at room temperature</w:t>
      </w:r>
      <w:r w:rsidRPr="006567D7">
        <w:rPr>
          <w:color w:val="000000"/>
          <w:u w:val="none"/>
          <w:lang w:val="en-US"/>
        </w:rPr>
        <w:t xml:space="preserve">. </w:t>
      </w:r>
      <w:proofErr w:type="spellStart"/>
      <w:r w:rsidRPr="006567D7">
        <w:rPr>
          <w:color w:val="000000"/>
          <w:u w:val="none"/>
          <w:lang w:val="en-US"/>
        </w:rPr>
        <w:t>Labelled</w:t>
      </w:r>
      <w:proofErr w:type="spellEnd"/>
      <w:r w:rsidRPr="006567D7">
        <w:rPr>
          <w:color w:val="000000"/>
          <w:u w:val="none"/>
          <w:lang w:val="en-US"/>
        </w:rPr>
        <w:t xml:space="preserve"> </w:t>
      </w:r>
      <w:proofErr w:type="spellStart"/>
      <w:r w:rsidRPr="006567D7">
        <w:rPr>
          <w:color w:val="000000"/>
          <w:u w:val="none"/>
          <w:lang w:val="en-US"/>
        </w:rPr>
        <w:t>isotype</w:t>
      </w:r>
      <w:proofErr w:type="spellEnd"/>
      <w:r w:rsidRPr="006567D7">
        <w:rPr>
          <w:color w:val="000000"/>
          <w:u w:val="none"/>
          <w:lang w:val="en-US"/>
        </w:rPr>
        <w:t xml:space="preserve">-matched </w:t>
      </w:r>
      <w:proofErr w:type="spellStart"/>
      <w:r w:rsidRPr="006567D7">
        <w:rPr>
          <w:color w:val="000000"/>
          <w:u w:val="none"/>
          <w:lang w:val="en-US"/>
        </w:rPr>
        <w:t>IgG</w:t>
      </w:r>
      <w:proofErr w:type="spellEnd"/>
      <w:r w:rsidRPr="006567D7">
        <w:rPr>
          <w:color w:val="000000"/>
          <w:u w:val="none"/>
          <w:lang w:val="en-US"/>
        </w:rPr>
        <w:t xml:space="preserve"> (</w:t>
      </w:r>
      <w:proofErr w:type="spellStart"/>
      <w:r w:rsidRPr="006567D7">
        <w:rPr>
          <w:color w:val="000000"/>
          <w:u w:val="none"/>
          <w:lang w:val="en-US"/>
        </w:rPr>
        <w:t>Caltag</w:t>
      </w:r>
      <w:proofErr w:type="spellEnd"/>
      <w:r w:rsidRPr="006567D7">
        <w:rPr>
          <w:color w:val="000000"/>
          <w:u w:val="none"/>
          <w:lang w:val="en-US"/>
        </w:rPr>
        <w:t xml:space="preserve"> Laboratories) were used as negative controls. Intensity levels for each antigen were calculated as the ratio between specific antibody and control (1 = no difference). Data acquisition and further analysis were carried out using a Coulter EPICS XL flow </w:t>
      </w:r>
      <w:proofErr w:type="spellStart"/>
      <w:r w:rsidRPr="006567D7">
        <w:rPr>
          <w:color w:val="000000"/>
          <w:u w:val="none"/>
          <w:lang w:val="en-US"/>
        </w:rPr>
        <w:t>cytometer</w:t>
      </w:r>
      <w:proofErr w:type="spellEnd"/>
      <w:r w:rsidRPr="006567D7">
        <w:rPr>
          <w:color w:val="000000"/>
          <w:u w:val="none"/>
          <w:lang w:val="en-US"/>
        </w:rPr>
        <w:t xml:space="preserve"> and the Expo32 software (Beckman Coulter), respectively.</w:t>
      </w:r>
    </w:p>
    <w:p w:rsidR="00F37141" w:rsidRDefault="00F37141" w:rsidP="00F37141">
      <w:pPr>
        <w:pStyle w:val="Textoindependiente2"/>
        <w:rPr>
          <w:b/>
          <w:color w:val="000000"/>
          <w:szCs w:val="24"/>
        </w:rPr>
      </w:pPr>
    </w:p>
    <w:sectPr w:rsidR="00F37141" w:rsidSect="00A1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141"/>
    <w:rsid w:val="00085298"/>
    <w:rsid w:val="00A1687E"/>
    <w:rsid w:val="00C77A99"/>
    <w:rsid w:val="00F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41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F37141"/>
    <w:pPr>
      <w:keepNext/>
      <w:spacing w:line="360" w:lineRule="auto"/>
      <w:outlineLvl w:val="0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F37141"/>
    <w:pPr>
      <w:keepNext/>
      <w:spacing w:line="480" w:lineRule="auto"/>
      <w:jc w:val="both"/>
      <w:outlineLvl w:val="5"/>
    </w:pPr>
    <w:rPr>
      <w:sz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7141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F37141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F37141"/>
    <w:pPr>
      <w:spacing w:line="480" w:lineRule="auto"/>
      <w:jc w:val="both"/>
    </w:pPr>
    <w:rPr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F3714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F37141"/>
    <w:rPr>
      <w:rFonts w:ascii="Arial" w:hAnsi="Arial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37141"/>
    <w:rPr>
      <w:rFonts w:ascii="Arial" w:eastAsia="Times New Roman" w:hAnsi="Arial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F37141"/>
    <w:pPr>
      <w:spacing w:line="480" w:lineRule="auto"/>
      <w:ind w:firstLine="567"/>
      <w:jc w:val="both"/>
    </w:pPr>
    <w:rPr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3714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3714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37141"/>
    <w:rPr>
      <w:rFonts w:ascii="Times New Roman" w:eastAsia="Times New Roman" w:hAnsi="Times New Roman" w:cs="Times New Roman"/>
      <w:sz w:val="72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Company>IGTP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Roura Ferrer</dc:creator>
  <cp:keywords/>
  <dc:description/>
  <cp:lastModifiedBy>Santi Roura Ferrer</cp:lastModifiedBy>
  <cp:revision>3</cp:revision>
  <dcterms:created xsi:type="dcterms:W3CDTF">2012-10-22T09:29:00Z</dcterms:created>
  <dcterms:modified xsi:type="dcterms:W3CDTF">2012-10-22T10:11:00Z</dcterms:modified>
</cp:coreProperties>
</file>