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92" w:rsidRPr="00913CD9" w:rsidRDefault="00506C07" w:rsidP="006D0E8E">
      <w:pPr>
        <w:autoSpaceDE w:val="0"/>
        <w:autoSpaceDN w:val="0"/>
        <w:adjustRightInd w:val="0"/>
        <w:ind w:right="130"/>
        <w:jc w:val="both"/>
      </w:pPr>
      <w:bookmarkStart w:id="0" w:name="_GoBack"/>
      <w:bookmarkEnd w:id="0"/>
      <w:r>
        <w:rPr>
          <w:b/>
        </w:rPr>
        <w:t>Table S</w:t>
      </w:r>
      <w:r w:rsidR="0011253B">
        <w:rPr>
          <w:b/>
        </w:rPr>
        <w:t>8</w:t>
      </w:r>
      <w:r w:rsidR="00A61292" w:rsidRPr="00D546E2">
        <w:t xml:space="preserve">. The identified mid-gestation marker genes showing no </w:t>
      </w:r>
      <w:r w:rsidR="006A7006">
        <w:t xml:space="preserve">statistically </w:t>
      </w:r>
      <w:r w:rsidR="00A61292" w:rsidRPr="00D546E2">
        <w:t xml:space="preserve">significant difference in gene expression between </w:t>
      </w:r>
      <w:r w:rsidR="006A7006">
        <w:t xml:space="preserve">the </w:t>
      </w:r>
      <w:r w:rsidR="00A61292" w:rsidRPr="00D546E2">
        <w:t xml:space="preserve">term placental samples </w:t>
      </w:r>
      <w:r w:rsidR="006A7006">
        <w:t>from</w:t>
      </w:r>
      <w:r w:rsidR="00A61292" w:rsidRPr="00D546E2">
        <w:t xml:space="preserve"> normal pregnancies and </w:t>
      </w:r>
      <w:r w:rsidR="006A7006">
        <w:t>the</w:t>
      </w:r>
      <w:r w:rsidR="00A61292" w:rsidRPr="00D546E2">
        <w:t xml:space="preserve"> pregnancy complications in </w:t>
      </w:r>
      <w:r w:rsidR="006A7006">
        <w:t xml:space="preserve">the </w:t>
      </w:r>
      <w:r w:rsidR="00A61292" w:rsidRPr="00D546E2">
        <w:t>REPROMETA sample collection.</w:t>
      </w:r>
    </w:p>
    <w:tbl>
      <w:tblPr>
        <w:tblW w:w="7196" w:type="dxa"/>
        <w:tblLook w:val="00A0"/>
      </w:tblPr>
      <w:tblGrid>
        <w:gridCol w:w="1257"/>
        <w:gridCol w:w="1540"/>
        <w:gridCol w:w="1564"/>
        <w:gridCol w:w="1701"/>
        <w:gridCol w:w="1134"/>
      </w:tblGrid>
      <w:tr w:rsidR="00A61292" w:rsidRPr="00913CD9">
        <w:trPr>
          <w:trHeight w:hRule="exact" w:val="608"/>
        </w:trPr>
        <w:tc>
          <w:tcPr>
            <w:tcW w:w="1257" w:type="dxa"/>
            <w:tcBorders>
              <w:top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  <w:vertAlign w:val="superscript"/>
              </w:rPr>
            </w:pPr>
            <w:r w:rsidRPr="0036607A">
              <w:rPr>
                <w:szCs w:val="20"/>
              </w:rPr>
              <w:t>Differential placental mRNA expression</w:t>
            </w:r>
            <w:r w:rsidRPr="0036607A">
              <w:rPr>
                <w:szCs w:val="20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  <w:vertAlign w:val="superscript"/>
              </w:rPr>
            </w:pPr>
          </w:p>
        </w:tc>
      </w:tr>
      <w:tr w:rsidR="00A61292" w:rsidRPr="00913CD9">
        <w:trPr>
          <w:trHeight w:hRule="exact" w:val="71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</w:tcPr>
          <w:p w:rsidR="00A61292" w:rsidRPr="0036607A" w:rsidRDefault="00A61292" w:rsidP="00986197">
            <w:pPr>
              <w:rPr>
                <w:szCs w:val="20"/>
              </w:rPr>
            </w:pPr>
            <w:r w:rsidRPr="0036607A">
              <w:rPr>
                <w:szCs w:val="20"/>
              </w:rPr>
              <w:t>Student t-test</w:t>
            </w:r>
          </w:p>
          <w:p w:rsidR="00A61292" w:rsidRPr="0036607A" w:rsidRDefault="00685F57" w:rsidP="00986197">
            <w:pPr>
              <w:rPr>
                <w:szCs w:val="20"/>
              </w:rPr>
            </w:pPr>
            <w:r>
              <w:rPr>
                <w:szCs w:val="20"/>
              </w:rPr>
              <w:t>(no adjustment)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</w:p>
        </w:tc>
      </w:tr>
      <w:tr w:rsidR="00A61292" w:rsidRPr="00913CD9">
        <w:trPr>
          <w:trHeight w:hRule="exact" w:val="818"/>
        </w:trPr>
        <w:tc>
          <w:tcPr>
            <w:tcW w:w="1257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Gene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  <w:vertAlign w:val="superscript"/>
              </w:rPr>
            </w:pPr>
            <w:r w:rsidRPr="0036607A">
              <w:rPr>
                <w:szCs w:val="20"/>
              </w:rPr>
              <w:t>Pregnancy complication</w:t>
            </w:r>
            <w:r w:rsidRPr="0036607A">
              <w:rPr>
                <w:szCs w:val="20"/>
                <w:vertAlign w:val="superscript"/>
              </w:rPr>
              <w:t>a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i/>
                <w:szCs w:val="20"/>
              </w:rPr>
              <w:t>P</w:t>
            </w:r>
            <w:r w:rsidRPr="0036607A">
              <w:rPr>
                <w:szCs w:val="20"/>
              </w:rPr>
              <w:t>-value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FDR-corrected</w:t>
            </w:r>
          </w:p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i/>
                <w:szCs w:val="20"/>
              </w:rPr>
              <w:t>P</w:t>
            </w:r>
            <w:r w:rsidRPr="0036607A">
              <w:rPr>
                <w:szCs w:val="20"/>
              </w:rPr>
              <w:t>-value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  <w:vertAlign w:val="superscript"/>
              </w:rPr>
            </w:pPr>
            <w:r w:rsidRPr="0036607A">
              <w:rPr>
                <w:szCs w:val="20"/>
              </w:rPr>
              <w:t>Fold change</w:t>
            </w:r>
            <w:r w:rsidRPr="0036607A">
              <w:rPr>
                <w:szCs w:val="20"/>
                <w:vertAlign w:val="superscript"/>
              </w:rPr>
              <w:t>c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BMP5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0.11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0.76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0.39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1.23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0.75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0.94</w:t>
            </w:r>
          </w:p>
        </w:tc>
      </w:tr>
      <w:tr w:rsidR="00A61292" w:rsidRPr="00AF719D">
        <w:trPr>
          <w:trHeight w:hRule="exact" w:val="437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0.063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0.21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0.74</w:t>
            </w:r>
          </w:p>
        </w:tc>
      </w:tr>
      <w:tr w:rsidR="00A61292" w:rsidRPr="00AF719D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FST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0.51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0.67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0.89</w:t>
            </w:r>
          </w:p>
        </w:tc>
      </w:tr>
      <w:tr w:rsidR="00A61292" w:rsidRPr="00AF719D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0.17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1.26</w:t>
            </w:r>
          </w:p>
        </w:tc>
      </w:tr>
      <w:tr w:rsidR="00A61292" w:rsidRPr="00AF719D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0.94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0.99</w:t>
            </w:r>
          </w:p>
        </w:tc>
      </w:tr>
      <w:tr w:rsidR="00A61292" w:rsidRPr="00913CD9">
        <w:trPr>
          <w:trHeight w:hRule="exact" w:val="437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0.85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1.05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ITGBL1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0.67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1.14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0.46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0.63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0.88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0.054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0.69</w:t>
            </w:r>
          </w:p>
        </w:tc>
      </w:tr>
      <w:tr w:rsidR="00A61292" w:rsidRPr="00913CD9">
        <w:trPr>
          <w:trHeight w:hRule="exact" w:val="45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0.052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0.68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NEDD9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0.34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1.07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0.48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0.94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0.11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1.1</w:t>
            </w:r>
          </w:p>
        </w:tc>
      </w:tr>
      <w:tr w:rsidR="00A61292" w:rsidRPr="00913CD9">
        <w:trPr>
          <w:trHeight w:hRule="exact" w:val="45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0.72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0.85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0.98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NR3C1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0.94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0.99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1.12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</w:t>
            </w:r>
          </w:p>
        </w:tc>
      </w:tr>
      <w:tr w:rsidR="00A61292" w:rsidRPr="00913CD9">
        <w:trPr>
          <w:trHeight w:hRule="exact" w:val="45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0.86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0.92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1.02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NRCAM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0.85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0.87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0.92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0.97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0.1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0.47</w:t>
            </w:r>
          </w:p>
        </w:tc>
      </w:tr>
      <w:tr w:rsidR="00A61292" w:rsidRPr="00913CD9">
        <w:trPr>
          <w:trHeight w:hRule="exact" w:val="45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0.71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0.86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PLAGL1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0.34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1.21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0.17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1.22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0.29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1.16</w:t>
            </w:r>
          </w:p>
        </w:tc>
      </w:tr>
      <w:tr w:rsidR="00A61292" w:rsidRPr="00913CD9">
        <w:trPr>
          <w:trHeight w:hRule="exact" w:val="45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0.45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0.62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1.1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SLC16A10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0.16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0.37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0.34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1.24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0.87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0.92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1.02</w:t>
            </w:r>
          </w:p>
        </w:tc>
      </w:tr>
      <w:tr w:rsidR="00A61292" w:rsidRPr="00913CD9">
        <w:trPr>
          <w:trHeight w:hRule="exact" w:val="454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0.37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0.58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0.89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  <w:r w:rsidRPr="0036607A">
              <w:rPr>
                <w:i/>
                <w:szCs w:val="20"/>
              </w:rPr>
              <w:t>ZFP36L1</w:t>
            </w: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PE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0.85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1.09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GD</w:t>
            </w:r>
            <w:r w:rsidR="00940FFE">
              <w:rPr>
                <w:szCs w:val="20"/>
              </w:rPr>
              <w:t>M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0.93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0.96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0.98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SGA</w:t>
            </w:r>
          </w:p>
        </w:tc>
        <w:tc>
          <w:tcPr>
            <w:tcW w:w="156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0.25</w:t>
            </w:r>
          </w:p>
        </w:tc>
        <w:tc>
          <w:tcPr>
            <w:tcW w:w="1701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</w:t>
            </w:r>
          </w:p>
        </w:tc>
        <w:tc>
          <w:tcPr>
            <w:tcW w:w="1134" w:type="dxa"/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0.72</w:t>
            </w:r>
          </w:p>
        </w:tc>
      </w:tr>
      <w:tr w:rsidR="00A61292" w:rsidRPr="00913CD9">
        <w:trPr>
          <w:trHeight w:hRule="exact" w:val="340"/>
        </w:trPr>
        <w:tc>
          <w:tcPr>
            <w:tcW w:w="1257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i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LGA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292" w:rsidRPr="0036607A" w:rsidRDefault="00A61292" w:rsidP="00986197">
            <w:pPr>
              <w:jc w:val="both"/>
              <w:rPr>
                <w:szCs w:val="20"/>
              </w:rPr>
            </w:pPr>
            <w:r w:rsidRPr="0036607A">
              <w:rPr>
                <w:szCs w:val="20"/>
              </w:rPr>
              <w:t>0.88</w:t>
            </w:r>
          </w:p>
        </w:tc>
      </w:tr>
    </w:tbl>
    <w:p w:rsidR="00A61292" w:rsidRPr="00913CD9" w:rsidRDefault="00A61292" w:rsidP="00A61292">
      <w:pPr>
        <w:ind w:right="-863"/>
        <w:jc w:val="both"/>
      </w:pPr>
      <w:r w:rsidRPr="00913CD9">
        <w:rPr>
          <w:vertAlign w:val="superscript"/>
        </w:rPr>
        <w:t>a</w:t>
      </w:r>
      <w:r w:rsidRPr="00913CD9">
        <w:t xml:space="preserve">Cases included maternal (preeclampsia, PE, </w:t>
      </w:r>
      <w:r w:rsidRPr="00913CD9">
        <w:rPr>
          <w:i/>
        </w:rPr>
        <w:t>n</w:t>
      </w:r>
      <w:r w:rsidRPr="00913CD9">
        <w:t xml:space="preserve">=12; </w:t>
      </w:r>
      <w:r w:rsidRPr="00913CD9">
        <w:rPr>
          <w:color w:val="000000"/>
        </w:rPr>
        <w:t>gestational diabetes</w:t>
      </w:r>
      <w:r w:rsidR="00940FFE">
        <w:rPr>
          <w:color w:val="000000"/>
        </w:rPr>
        <w:t xml:space="preserve"> mellitus</w:t>
      </w:r>
      <w:r w:rsidRPr="00913CD9">
        <w:rPr>
          <w:color w:val="000000"/>
        </w:rPr>
        <w:t>, GD</w:t>
      </w:r>
      <w:r w:rsidR="00940FFE">
        <w:rPr>
          <w:color w:val="000000"/>
        </w:rPr>
        <w:t>M</w:t>
      </w:r>
      <w:r w:rsidRPr="00913CD9">
        <w:rPr>
          <w:color w:val="000000"/>
        </w:rPr>
        <w:t xml:space="preserve">, </w:t>
      </w:r>
      <w:r w:rsidRPr="00913CD9">
        <w:rPr>
          <w:i/>
          <w:color w:val="000000"/>
        </w:rPr>
        <w:t>n</w:t>
      </w:r>
      <w:r w:rsidRPr="00913CD9">
        <w:rPr>
          <w:color w:val="000000"/>
        </w:rPr>
        <w:t xml:space="preserve">=12) </w:t>
      </w:r>
      <w:r w:rsidRPr="00913CD9">
        <w:t xml:space="preserve">and fetal (small-for-gestational-age, SGA, </w:t>
      </w:r>
      <w:r w:rsidRPr="00913CD9">
        <w:rPr>
          <w:i/>
        </w:rPr>
        <w:t>n</w:t>
      </w:r>
      <w:r w:rsidRPr="00913CD9">
        <w:t xml:space="preserve">=12; large-for-gestational-age, LGA, </w:t>
      </w:r>
      <w:r w:rsidRPr="00913CD9">
        <w:rPr>
          <w:i/>
        </w:rPr>
        <w:t>n</w:t>
      </w:r>
      <w:r w:rsidRPr="00913CD9">
        <w:t xml:space="preserve">=12) pregnancy complications and the reference sample for gene expression comprised of normal </w:t>
      </w:r>
      <w:r>
        <w:rPr>
          <w:color w:val="000000"/>
        </w:rPr>
        <w:t>uncomplicated</w:t>
      </w:r>
      <w:r w:rsidRPr="00913CD9">
        <w:t xml:space="preserve"> pregnancies (</w:t>
      </w:r>
      <w:r w:rsidRPr="00913CD9">
        <w:rPr>
          <w:i/>
        </w:rPr>
        <w:t>n</w:t>
      </w:r>
      <w:r w:rsidRPr="00913CD9">
        <w:t>=12).</w:t>
      </w:r>
    </w:p>
    <w:p w:rsidR="00A61292" w:rsidRDefault="00A61292" w:rsidP="00A61292">
      <w:pPr>
        <w:ind w:right="-863"/>
        <w:jc w:val="both"/>
      </w:pPr>
      <w:r w:rsidRPr="00913CD9">
        <w:rPr>
          <w:vertAlign w:val="superscript"/>
        </w:rPr>
        <w:t>b</w:t>
      </w:r>
      <w:r w:rsidRPr="00913CD9">
        <w:rPr>
          <w:i/>
        </w:rPr>
        <w:t>P</w:t>
      </w:r>
      <w:r w:rsidRPr="00913CD9">
        <w:t xml:space="preserve">-values from RT-qPCR data were estimated using Student </w:t>
      </w:r>
      <w:r w:rsidRPr="00E718E5">
        <w:rPr>
          <w:i/>
        </w:rPr>
        <w:t>t</w:t>
      </w:r>
      <w:r w:rsidRPr="00913CD9">
        <w:t>-test (no adjustment)</w:t>
      </w:r>
      <w:r w:rsidRPr="00913CD9">
        <w:rPr>
          <w:color w:val="000000"/>
        </w:rPr>
        <w:t xml:space="preserve">. </w:t>
      </w:r>
      <w:r w:rsidRPr="00913CD9">
        <w:t xml:space="preserve">FDR correction considered 16 genes. </w:t>
      </w:r>
    </w:p>
    <w:p w:rsidR="0021766D" w:rsidRPr="00A61292" w:rsidRDefault="00A61292" w:rsidP="00A61292">
      <w:pPr>
        <w:jc w:val="both"/>
      </w:pPr>
      <w:r>
        <w:rPr>
          <w:vertAlign w:val="superscript"/>
        </w:rPr>
        <w:t>c</w:t>
      </w:r>
      <w:r w:rsidRPr="00913CD9">
        <w:t xml:space="preserve">Fold change was calculated as the difference of mean relative RT-qPCR expression values of each pregnancy complication vs control group of normal </w:t>
      </w:r>
      <w:r>
        <w:rPr>
          <w:color w:val="000000"/>
        </w:rPr>
        <w:t xml:space="preserve">uncomplicated </w:t>
      </w:r>
      <w:r w:rsidRPr="00913CD9">
        <w:t>pregnancie</w:t>
      </w:r>
      <w:r>
        <w:t>s</w:t>
      </w:r>
      <w:r w:rsidR="00433045">
        <w:t>.</w:t>
      </w:r>
    </w:p>
    <w:sectPr w:rsidR="0021766D" w:rsidRPr="00A61292" w:rsidSect="004257A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292"/>
    <w:rsid w:val="00092334"/>
    <w:rsid w:val="000E5523"/>
    <w:rsid w:val="00106AAF"/>
    <w:rsid w:val="001109F3"/>
    <w:rsid w:val="0011253B"/>
    <w:rsid w:val="00196897"/>
    <w:rsid w:val="0028405C"/>
    <w:rsid w:val="002F019A"/>
    <w:rsid w:val="00433045"/>
    <w:rsid w:val="00506C07"/>
    <w:rsid w:val="0065064C"/>
    <w:rsid w:val="00666F71"/>
    <w:rsid w:val="00685F57"/>
    <w:rsid w:val="006A7006"/>
    <w:rsid w:val="006D0E8E"/>
    <w:rsid w:val="0086575D"/>
    <w:rsid w:val="00940FFE"/>
    <w:rsid w:val="00A61292"/>
    <w:rsid w:val="00A84194"/>
    <w:rsid w:val="00C2081A"/>
    <w:rsid w:val="00CC16FE"/>
    <w:rsid w:val="00EB516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Emphasis" w:qFormat="1"/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A61292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A61292"/>
    <w:pPr>
      <w:keepNext/>
      <w:autoSpaceDE w:val="0"/>
      <w:autoSpaceDN w:val="0"/>
      <w:adjustRightInd w:val="0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61292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1"/>
    <w:rsid w:val="00A612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A61292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A612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61292"/>
    <w:rPr>
      <w:color w:val="0000FF"/>
      <w:u w:val="single"/>
    </w:rPr>
  </w:style>
  <w:style w:type="character" w:styleId="FollowedHyperlink">
    <w:name w:val="FollowedHyperlink"/>
    <w:rsid w:val="00A61292"/>
    <w:rPr>
      <w:color w:val="800080"/>
      <w:u w:val="single"/>
    </w:rPr>
  </w:style>
  <w:style w:type="paragraph" w:styleId="Footer">
    <w:name w:val="footer"/>
    <w:basedOn w:val="Normal"/>
    <w:link w:val="FooterChar"/>
    <w:rsid w:val="00A6129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1292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character" w:styleId="PageNumber">
    <w:name w:val="page number"/>
    <w:basedOn w:val="DefaultParagraphFont"/>
    <w:rsid w:val="00A61292"/>
  </w:style>
  <w:style w:type="character" w:styleId="Emphasis">
    <w:name w:val="Emphasis"/>
    <w:qFormat/>
    <w:rsid w:val="00A61292"/>
    <w:rPr>
      <w:i/>
      <w:iCs/>
    </w:rPr>
  </w:style>
  <w:style w:type="paragraph" w:styleId="Header">
    <w:name w:val="header"/>
    <w:basedOn w:val="Normal"/>
    <w:link w:val="HeaderChar"/>
    <w:rsid w:val="00A6129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1292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NoSpacing">
    <w:name w:val="No Spacing"/>
    <w:uiPriority w:val="1"/>
    <w:qFormat/>
    <w:rsid w:val="00A61292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link w:val="BalloonText"/>
    <w:rsid w:val="00A61292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rsid w:val="00A612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A61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1292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A6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292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A61292"/>
    <w:pPr>
      <w:ind w:left="720"/>
      <w:contextualSpacing/>
    </w:pPr>
  </w:style>
  <w:style w:type="character" w:customStyle="1" w:styleId="sublft">
    <w:name w:val="sublft"/>
    <w:basedOn w:val="DefaultParagraphFont"/>
    <w:rsid w:val="00A61292"/>
  </w:style>
  <w:style w:type="character" w:customStyle="1" w:styleId="text">
    <w:name w:val="text"/>
    <w:basedOn w:val="DefaultParagraphFont"/>
    <w:rsid w:val="00A61292"/>
  </w:style>
  <w:style w:type="character" w:styleId="LineNumber">
    <w:name w:val="line number"/>
    <w:basedOn w:val="DefaultParagraphFont"/>
    <w:rsid w:val="00A612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Macintosh Word</Application>
  <DocSecurity>0</DocSecurity>
  <Lines>12</Lines>
  <Paragraphs>2</Paragraphs>
  <ScaleCrop>false</ScaleCrop>
  <Company>UT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5</cp:revision>
  <dcterms:created xsi:type="dcterms:W3CDTF">2012-09-13T21:42:00Z</dcterms:created>
  <dcterms:modified xsi:type="dcterms:W3CDTF">2012-10-13T00:37:00Z</dcterms:modified>
</cp:coreProperties>
</file>