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BE" w:rsidRDefault="00B100BE" w:rsidP="00B100BE">
      <w:pPr>
        <w:spacing w:line="480" w:lineRule="auto"/>
        <w:jc w:val="both"/>
        <w:rPr>
          <w:rFonts w:ascii="Arial" w:hAnsi="Arial"/>
          <w:lang w:eastAsia="ja-JP"/>
        </w:rPr>
      </w:pPr>
      <w:r w:rsidRPr="00267574">
        <w:rPr>
          <w:rFonts w:ascii="Arial" w:hAnsi="Arial"/>
          <w:b/>
        </w:rPr>
        <w:t xml:space="preserve">Description S1. </w:t>
      </w:r>
      <w:r>
        <w:rPr>
          <w:rFonts w:ascii="Arial" w:hAnsi="Arial"/>
          <w:lang w:eastAsia="ja-JP"/>
        </w:rPr>
        <w:t>The signal intensity of all 1</w:t>
      </w:r>
      <w:r w:rsidRPr="00751237">
        <w:rPr>
          <w:rFonts w:ascii="Arial" w:hAnsi="Arial"/>
          <w:lang w:eastAsia="ja-JP"/>
        </w:rPr>
        <w:t xml:space="preserve">212 spots including </w:t>
      </w:r>
      <w:proofErr w:type="spellStart"/>
      <w:r>
        <w:rPr>
          <w:rFonts w:ascii="Arial" w:hAnsi="Arial"/>
          <w:lang w:eastAsia="ja-JP"/>
        </w:rPr>
        <w:t>miRNAs</w:t>
      </w:r>
      <w:proofErr w:type="spellEnd"/>
      <w:r w:rsidRPr="00751237">
        <w:rPr>
          <w:rFonts w:ascii="Arial" w:hAnsi="Arial"/>
          <w:lang w:eastAsia="ja-JP"/>
        </w:rPr>
        <w:t xml:space="preserve">, controls and blanks measured by microarray scanner for all 19 samples assayed were detected in duplicate. </w:t>
      </w:r>
    </w:p>
    <w:p w:rsidR="00B100BE" w:rsidRDefault="00B100BE" w:rsidP="00B100BE">
      <w:pPr>
        <w:spacing w:line="480" w:lineRule="auto"/>
        <w:jc w:val="both"/>
        <w:rPr>
          <w:rFonts w:ascii="Arial" w:hAnsi="Arial"/>
          <w:lang w:eastAsia="ja-JP"/>
        </w:rPr>
      </w:pPr>
      <w:r w:rsidRPr="00751237">
        <w:rPr>
          <w:rFonts w:ascii="Arial" w:hAnsi="Arial"/>
          <w:lang w:eastAsia="ja-JP"/>
        </w:rPr>
        <w:t>Using the raw data, we identified the background (BG) value which was defined as the mean of the blank spot signal intensity after removing 5% upper and lower outliers, the threshold value which is defined as the BG m</w:t>
      </w:r>
      <w:r>
        <w:rPr>
          <w:rFonts w:ascii="Arial" w:hAnsi="Arial"/>
          <w:lang w:eastAsia="ja-JP"/>
        </w:rPr>
        <w:t>ean + 2 standard deviation (SD),</w:t>
      </w:r>
      <w:r w:rsidRPr="00751237">
        <w:rPr>
          <w:rFonts w:ascii="Arial" w:hAnsi="Arial"/>
          <w:lang w:eastAsia="ja-JP"/>
        </w:rPr>
        <w:t xml:space="preserve"> and the coefficient of variation (CV) of the 532 blank controls for</w:t>
      </w:r>
      <w:r>
        <w:rPr>
          <w:rFonts w:ascii="Arial" w:hAnsi="Arial"/>
          <w:lang w:eastAsia="ja-JP"/>
        </w:rPr>
        <w:t xml:space="preserve"> each sample. </w:t>
      </w:r>
    </w:p>
    <w:p w:rsidR="00B100BE" w:rsidRDefault="00B100BE" w:rsidP="00B100BE">
      <w:pPr>
        <w:spacing w:line="480" w:lineRule="auto"/>
        <w:jc w:val="both"/>
        <w:rPr>
          <w:rFonts w:ascii="Arial" w:hAnsi="Arial"/>
          <w:lang w:eastAsia="ja-JP"/>
        </w:rPr>
      </w:pPr>
      <w:r>
        <w:rPr>
          <w:rFonts w:ascii="Arial" w:hAnsi="Arial"/>
          <w:lang w:eastAsia="ja-JP"/>
        </w:rPr>
        <w:t>T</w:t>
      </w:r>
      <w:r w:rsidRPr="00751237">
        <w:rPr>
          <w:rFonts w:ascii="Arial" w:hAnsi="Arial"/>
          <w:lang w:eastAsia="ja-JP"/>
        </w:rPr>
        <w:t>he duplicated "BG-subtracte</w:t>
      </w:r>
      <w:r>
        <w:rPr>
          <w:rFonts w:ascii="Arial" w:hAnsi="Arial"/>
          <w:lang w:eastAsia="ja-JP"/>
        </w:rPr>
        <w:t>d" signal intensities for all 1</w:t>
      </w:r>
      <w:r w:rsidRPr="00751237">
        <w:rPr>
          <w:rFonts w:ascii="Arial" w:hAnsi="Arial"/>
          <w:lang w:eastAsia="ja-JP"/>
        </w:rPr>
        <w:t xml:space="preserve">212 </w:t>
      </w:r>
      <w:proofErr w:type="spellStart"/>
      <w:r>
        <w:rPr>
          <w:rFonts w:ascii="Arial" w:hAnsi="Arial"/>
          <w:lang w:eastAsia="ja-JP"/>
        </w:rPr>
        <w:t>miRNAs</w:t>
      </w:r>
      <w:proofErr w:type="spellEnd"/>
      <w:r>
        <w:rPr>
          <w:rFonts w:ascii="Arial" w:hAnsi="Arial"/>
          <w:lang w:eastAsia="ja-JP"/>
        </w:rPr>
        <w:t xml:space="preserve"> </w:t>
      </w:r>
      <w:r w:rsidRPr="00751237">
        <w:rPr>
          <w:rFonts w:ascii="Arial" w:hAnsi="Arial"/>
          <w:lang w:eastAsia="ja-JP"/>
        </w:rPr>
        <w:t xml:space="preserve">were calculated as the raw signal intensities subtracted with the mean BG </w:t>
      </w:r>
      <w:r>
        <w:rPr>
          <w:rFonts w:ascii="Arial" w:hAnsi="Arial"/>
          <w:lang w:eastAsia="ja-JP"/>
        </w:rPr>
        <w:t>if the raw signal is more than BG mean +2SD</w:t>
      </w:r>
      <w:r w:rsidRPr="00751237">
        <w:rPr>
          <w:rFonts w:ascii="Arial" w:hAnsi="Arial"/>
          <w:lang w:eastAsia="ja-JP"/>
        </w:rPr>
        <w:t>. If one of the duplicated spots shows the signal inten</w:t>
      </w:r>
      <w:r>
        <w:rPr>
          <w:rFonts w:ascii="Arial" w:hAnsi="Arial"/>
          <w:lang w:eastAsia="ja-JP"/>
        </w:rPr>
        <w:t>sity of less than BG mean +2SD</w:t>
      </w:r>
      <w:r w:rsidRPr="00751237">
        <w:rPr>
          <w:rFonts w:ascii="Arial" w:hAnsi="Arial"/>
          <w:lang w:eastAsia="ja-JP"/>
        </w:rPr>
        <w:t xml:space="preserve">, the remaining spot represents the </w:t>
      </w:r>
      <w:proofErr w:type="spellStart"/>
      <w:r>
        <w:rPr>
          <w:rFonts w:ascii="Arial" w:hAnsi="Arial"/>
          <w:lang w:eastAsia="ja-JP"/>
        </w:rPr>
        <w:t>miRNA</w:t>
      </w:r>
      <w:proofErr w:type="spellEnd"/>
      <w:r w:rsidRPr="00751237">
        <w:rPr>
          <w:rFonts w:ascii="Arial" w:hAnsi="Arial"/>
          <w:lang w:eastAsia="ja-JP"/>
        </w:rPr>
        <w:t>. If both of the duplicated spots show the signal inten</w:t>
      </w:r>
      <w:r>
        <w:rPr>
          <w:rFonts w:ascii="Arial" w:hAnsi="Arial"/>
          <w:lang w:eastAsia="ja-JP"/>
        </w:rPr>
        <w:t>sity of less than mean BG +2SD</w:t>
      </w:r>
      <w:r w:rsidRPr="00751237">
        <w:rPr>
          <w:rFonts w:ascii="Arial" w:hAnsi="Arial"/>
          <w:lang w:eastAsia="ja-JP"/>
        </w:rPr>
        <w:t xml:space="preserve">, the gene is defined as "undetected" and the cells were left blank. </w:t>
      </w:r>
    </w:p>
    <w:p w:rsidR="00B100BE" w:rsidRDefault="00B100BE" w:rsidP="00B100BE">
      <w:pPr>
        <w:spacing w:line="480" w:lineRule="auto"/>
        <w:jc w:val="both"/>
        <w:rPr>
          <w:rFonts w:ascii="Arial" w:hAnsi="Arial"/>
          <w:lang w:eastAsia="ja-JP"/>
        </w:rPr>
      </w:pPr>
      <w:r w:rsidRPr="00751237">
        <w:rPr>
          <w:rFonts w:ascii="Arial" w:hAnsi="Arial"/>
          <w:lang w:eastAsia="ja-JP"/>
        </w:rPr>
        <w:t xml:space="preserve">The signal </w:t>
      </w:r>
      <w:proofErr w:type="gramStart"/>
      <w:r w:rsidRPr="00751237">
        <w:rPr>
          <w:rFonts w:ascii="Arial" w:hAnsi="Arial"/>
          <w:lang w:eastAsia="ja-JP"/>
        </w:rPr>
        <w:t>distribution of all samples as well as the mean of each OS group were</w:t>
      </w:r>
      <w:proofErr w:type="gramEnd"/>
      <w:r w:rsidRPr="00751237">
        <w:rPr>
          <w:rFonts w:ascii="Arial" w:hAnsi="Arial"/>
          <w:lang w:eastAsia="ja-JP"/>
        </w:rPr>
        <w:t xml:space="preserve"> shown </w:t>
      </w:r>
      <w:r>
        <w:rPr>
          <w:rFonts w:ascii="Arial" w:hAnsi="Arial"/>
          <w:lang w:eastAsia="ja-JP"/>
        </w:rPr>
        <w:t>in the included</w:t>
      </w:r>
      <w:r w:rsidRPr="00751237">
        <w:rPr>
          <w:rFonts w:ascii="Arial" w:hAnsi="Arial"/>
          <w:lang w:eastAsia="ja-JP"/>
        </w:rPr>
        <w:t xml:space="preserve"> figures.</w:t>
      </w:r>
    </w:p>
    <w:p w:rsidR="00B100BE" w:rsidRDefault="00B100BE" w:rsidP="00B100BE">
      <w:pPr>
        <w:spacing w:line="480" w:lineRule="auto"/>
        <w:jc w:val="both"/>
        <w:rPr>
          <w:rFonts w:ascii="Arial" w:hAnsi="Arial"/>
          <w:lang w:eastAsia="ja-JP"/>
        </w:rPr>
      </w:pPr>
      <w:r>
        <w:rPr>
          <w:noProof/>
        </w:rPr>
        <w:drawing>
          <wp:inline distT="0" distB="0" distL="0" distR="0">
            <wp:extent cx="4711700" cy="3086100"/>
            <wp:effectExtent l="2540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4"/>
                    <a:srcRect/>
                    <a:stretch>
                      <a:fillRect/>
                    </a:stretch>
                  </pic:blipFill>
                  <pic:spPr bwMode="auto">
                    <a:xfrm>
                      <a:off x="0" y="0"/>
                      <a:ext cx="4711700" cy="3086100"/>
                    </a:xfrm>
                    <a:prstGeom prst="rect">
                      <a:avLst/>
                    </a:prstGeom>
                    <a:noFill/>
                    <a:ln w="9525">
                      <a:noFill/>
                      <a:miter lim="800000"/>
                      <a:headEnd/>
                      <a:tailEnd/>
                    </a:ln>
                  </pic:spPr>
                </pic:pic>
              </a:graphicData>
            </a:graphic>
          </wp:inline>
        </w:drawing>
      </w:r>
      <w:r>
        <w:rPr>
          <w:noProof/>
        </w:rPr>
        <w:drawing>
          <wp:inline distT="0" distB="0" distL="0" distR="0">
            <wp:extent cx="4775200" cy="3124200"/>
            <wp:effectExtent l="25400" t="0" r="0" b="0"/>
            <wp:docPr id="2"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5"/>
                    <a:srcRect/>
                    <a:stretch>
                      <a:fillRect/>
                    </a:stretch>
                  </pic:blipFill>
                  <pic:spPr bwMode="auto">
                    <a:xfrm>
                      <a:off x="0" y="0"/>
                      <a:ext cx="4775200" cy="3124200"/>
                    </a:xfrm>
                    <a:prstGeom prst="rect">
                      <a:avLst/>
                    </a:prstGeom>
                    <a:noFill/>
                    <a:ln w="9525">
                      <a:noFill/>
                      <a:miter lim="800000"/>
                      <a:headEnd/>
                      <a:tailEnd/>
                    </a:ln>
                  </pic:spPr>
                </pic:pic>
              </a:graphicData>
            </a:graphic>
          </wp:inline>
        </w:drawing>
      </w:r>
      <w:r>
        <w:rPr>
          <w:noProof/>
        </w:rPr>
        <w:drawing>
          <wp:inline distT="0" distB="0" distL="0" distR="0">
            <wp:extent cx="1016000" cy="393700"/>
            <wp:effectExtent l="25400" t="0" r="0" b="0"/>
            <wp:docPr id="3" nam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pic:cNvPicPr>
                      <a:picLocks noChangeAspect="1" noChangeArrowheads="1"/>
                    </pic:cNvPicPr>
                  </pic:nvPicPr>
                  <pic:blipFill>
                    <a:blip r:embed="rId4"/>
                    <a:srcRect l="55623" t="17630" r="22690" b="69653"/>
                    <a:stretch>
                      <a:fillRect/>
                    </a:stretch>
                  </pic:blipFill>
                  <pic:spPr bwMode="auto">
                    <a:xfrm>
                      <a:off x="0" y="0"/>
                      <a:ext cx="1016000" cy="393700"/>
                    </a:xfrm>
                    <a:prstGeom prst="rect">
                      <a:avLst/>
                    </a:prstGeom>
                    <a:noFill/>
                    <a:ln w="9525">
                      <a:noFill/>
                      <a:miter lim="800000"/>
                      <a:headEnd/>
                      <a:tailEnd/>
                    </a:ln>
                  </pic:spPr>
                </pic:pic>
              </a:graphicData>
            </a:graphic>
          </wp:inline>
        </w:drawing>
      </w:r>
    </w:p>
    <w:p w:rsidR="00B100BE" w:rsidRDefault="00B100BE" w:rsidP="00B100BE">
      <w:pPr>
        <w:spacing w:line="480" w:lineRule="auto"/>
        <w:jc w:val="both"/>
        <w:rPr>
          <w:rFonts w:ascii="Arial" w:hAnsi="Arial"/>
          <w:lang w:eastAsia="ja-JP"/>
        </w:rPr>
      </w:pPr>
    </w:p>
    <w:p w:rsidR="00B100BE" w:rsidRDefault="00B100BE" w:rsidP="00B100BE">
      <w:pPr>
        <w:spacing w:line="480" w:lineRule="auto"/>
        <w:jc w:val="both"/>
        <w:rPr>
          <w:rFonts w:ascii="Arial" w:hAnsi="Arial"/>
          <w:lang w:eastAsia="ja-JP"/>
        </w:rPr>
      </w:pPr>
      <w:r>
        <w:rPr>
          <w:rFonts w:ascii="Arial" w:hAnsi="Arial"/>
          <w:lang w:eastAsia="ja-JP"/>
        </w:rPr>
        <w:t xml:space="preserve">Since </w:t>
      </w:r>
      <w:r w:rsidRPr="00751237">
        <w:rPr>
          <w:rFonts w:ascii="Arial" w:hAnsi="Arial"/>
          <w:lang w:eastAsia="ja-JP"/>
        </w:rPr>
        <w:t xml:space="preserve">the signal distribution of "BG subtracted" data was similar over samples, the BG subtracted intensities were globally normalized such that the medians of all </w:t>
      </w:r>
      <w:proofErr w:type="spellStart"/>
      <w:r>
        <w:rPr>
          <w:rFonts w:ascii="Arial" w:hAnsi="Arial"/>
          <w:lang w:eastAsia="ja-JP"/>
        </w:rPr>
        <w:t>miRNAs</w:t>
      </w:r>
      <w:proofErr w:type="spellEnd"/>
      <w:r w:rsidRPr="00751237">
        <w:rPr>
          <w:rFonts w:ascii="Arial" w:hAnsi="Arial"/>
          <w:lang w:eastAsia="ja-JP"/>
        </w:rPr>
        <w:t xml:space="preserve"> for each sample to be 25.</w:t>
      </w:r>
    </w:p>
    <w:p w:rsidR="00B100BE" w:rsidRDefault="00B100BE" w:rsidP="00B100BE">
      <w:pPr>
        <w:spacing w:line="480" w:lineRule="auto"/>
        <w:jc w:val="both"/>
        <w:rPr>
          <w:rFonts w:ascii="Arial" w:hAnsi="Arial"/>
          <w:lang w:eastAsia="ja-JP"/>
        </w:rPr>
      </w:pPr>
      <w:proofErr w:type="spellStart"/>
      <w:r w:rsidRPr="00C94BAA">
        <w:rPr>
          <w:rFonts w:ascii="Arial" w:hAnsi="Arial"/>
          <w:lang w:eastAsia="ja-JP"/>
        </w:rPr>
        <w:t>MiRNAs</w:t>
      </w:r>
      <w:proofErr w:type="spellEnd"/>
      <w:r w:rsidRPr="00C94BAA">
        <w:rPr>
          <w:rFonts w:ascii="Arial" w:hAnsi="Arial"/>
          <w:lang w:eastAsia="ja-JP"/>
        </w:rPr>
        <w:t xml:space="preserve"> that had more than one missing data point over all the 19 samples were discarded, while any missing values in the resulting set as well as in the complete data set (N=48) were imputed based on the group average [</w:t>
      </w:r>
      <w:r>
        <w:rPr>
          <w:rFonts w:ascii="Arial" w:hAnsi="Arial"/>
          <w:lang w:eastAsia="ja-JP"/>
        </w:rPr>
        <w:t>Supplemental reference#1]</w:t>
      </w:r>
      <w:r w:rsidRPr="00C94BAA">
        <w:rPr>
          <w:rFonts w:ascii="Arial" w:hAnsi="Arial"/>
          <w:lang w:eastAsia="ja-JP"/>
        </w:rPr>
        <w:t xml:space="preserve">. Similarly in the iterative approach all </w:t>
      </w:r>
      <w:proofErr w:type="spellStart"/>
      <w:r w:rsidRPr="00C94BAA">
        <w:rPr>
          <w:rFonts w:ascii="Arial" w:hAnsi="Arial"/>
          <w:lang w:eastAsia="ja-JP"/>
        </w:rPr>
        <w:t>miRNAs</w:t>
      </w:r>
      <w:proofErr w:type="spellEnd"/>
      <w:r w:rsidRPr="00C94BAA">
        <w:rPr>
          <w:rFonts w:ascii="Arial" w:hAnsi="Arial"/>
          <w:lang w:eastAsia="ja-JP"/>
        </w:rPr>
        <w:t xml:space="preserve"> that show any missing values over all 12 selected samples were discarded, yielding one hundred sets ranging from 660 to 713 </w:t>
      </w:r>
      <w:proofErr w:type="spellStart"/>
      <w:r w:rsidRPr="00C94BAA">
        <w:rPr>
          <w:rFonts w:ascii="Arial" w:hAnsi="Arial"/>
          <w:lang w:eastAsia="ja-JP"/>
        </w:rPr>
        <w:t>miRs</w:t>
      </w:r>
      <w:proofErr w:type="spellEnd"/>
      <w:r w:rsidRPr="00C94BAA">
        <w:rPr>
          <w:rFonts w:ascii="Arial" w:hAnsi="Arial"/>
          <w:lang w:eastAsia="ja-JP"/>
        </w:rPr>
        <w:t xml:space="preserve"> in size.</w:t>
      </w:r>
    </w:p>
    <w:p w:rsidR="00B100BE" w:rsidRPr="00751237" w:rsidRDefault="00B100BE" w:rsidP="00B100BE">
      <w:pPr>
        <w:spacing w:line="480" w:lineRule="auto"/>
        <w:jc w:val="both"/>
        <w:rPr>
          <w:rFonts w:ascii="Arial" w:hAnsi="Arial"/>
          <w:lang w:eastAsia="ja-JP"/>
        </w:rPr>
      </w:pPr>
    </w:p>
    <w:p w:rsidR="00B100BE" w:rsidRPr="0076566B" w:rsidRDefault="00B100BE" w:rsidP="00B100BE">
      <w:pPr>
        <w:spacing w:line="480" w:lineRule="auto"/>
        <w:jc w:val="both"/>
        <w:rPr>
          <w:rFonts w:ascii="Arial" w:hAnsi="Arial"/>
          <w:b/>
          <w:lang w:eastAsia="ja-JP"/>
        </w:rPr>
      </w:pPr>
      <w:r>
        <w:rPr>
          <w:rFonts w:ascii="Arial" w:hAnsi="Arial"/>
          <w:b/>
          <w:lang w:eastAsia="ja-JP"/>
        </w:rPr>
        <w:t>Supplemental R</w:t>
      </w:r>
      <w:r w:rsidRPr="0076566B">
        <w:rPr>
          <w:rFonts w:ascii="Arial" w:hAnsi="Arial"/>
          <w:b/>
          <w:lang w:eastAsia="ja-JP"/>
        </w:rPr>
        <w:t>eferences</w:t>
      </w:r>
    </w:p>
    <w:p w:rsidR="004F14E3" w:rsidRDefault="00B100BE" w:rsidP="00AA55AA">
      <w:pPr>
        <w:spacing w:line="480" w:lineRule="auto"/>
        <w:jc w:val="both"/>
      </w:pPr>
      <w:r>
        <w:rPr>
          <w:rFonts w:ascii="Arial" w:hAnsi="Arial"/>
          <w:lang w:eastAsia="ja-JP"/>
        </w:rPr>
        <w:t xml:space="preserve">1. </w:t>
      </w:r>
      <w:proofErr w:type="spellStart"/>
      <w:r w:rsidRPr="0076566B">
        <w:rPr>
          <w:rFonts w:ascii="Arial" w:hAnsi="Arial"/>
          <w:lang w:eastAsia="ja-JP"/>
        </w:rPr>
        <w:t>Acuna</w:t>
      </w:r>
      <w:proofErr w:type="spellEnd"/>
      <w:r w:rsidRPr="0076566B">
        <w:rPr>
          <w:rFonts w:ascii="Arial" w:hAnsi="Arial"/>
          <w:lang w:eastAsia="ja-JP"/>
        </w:rPr>
        <w:t xml:space="preserve"> E, Rodriguez C (2004). </w:t>
      </w:r>
      <w:proofErr w:type="gramStart"/>
      <w:r w:rsidRPr="0076566B">
        <w:rPr>
          <w:rFonts w:ascii="Arial" w:hAnsi="Arial"/>
          <w:lang w:eastAsia="ja-JP"/>
        </w:rPr>
        <w:t>The treatment of missing values and its effect in the classifier accuracy.</w:t>
      </w:r>
      <w:proofErr w:type="gramEnd"/>
      <w:r w:rsidRPr="0076566B">
        <w:rPr>
          <w:rFonts w:ascii="Arial" w:hAnsi="Arial"/>
          <w:lang w:eastAsia="ja-JP"/>
        </w:rPr>
        <w:t xml:space="preserve"> In D. Banks, L. House, F.R. </w:t>
      </w:r>
      <w:proofErr w:type="spellStart"/>
      <w:r w:rsidRPr="0076566B">
        <w:rPr>
          <w:rFonts w:ascii="Arial" w:hAnsi="Arial"/>
          <w:lang w:eastAsia="ja-JP"/>
        </w:rPr>
        <w:t>McMorris</w:t>
      </w:r>
      <w:proofErr w:type="spellEnd"/>
      <w:r w:rsidRPr="0076566B">
        <w:rPr>
          <w:rFonts w:ascii="Arial" w:hAnsi="Arial"/>
          <w:lang w:eastAsia="ja-JP"/>
        </w:rPr>
        <w:t xml:space="preserve">, P. </w:t>
      </w:r>
      <w:proofErr w:type="spellStart"/>
      <w:r w:rsidRPr="0076566B">
        <w:rPr>
          <w:rFonts w:ascii="Arial" w:hAnsi="Arial"/>
          <w:lang w:eastAsia="ja-JP"/>
        </w:rPr>
        <w:t>Arabie</w:t>
      </w:r>
      <w:proofErr w:type="spellEnd"/>
      <w:r w:rsidRPr="0076566B">
        <w:rPr>
          <w:rFonts w:ascii="Arial" w:hAnsi="Arial"/>
          <w:lang w:eastAsia="ja-JP"/>
        </w:rPr>
        <w:t>, W. Gaul (</w:t>
      </w:r>
      <w:proofErr w:type="spellStart"/>
      <w:r w:rsidRPr="0076566B">
        <w:rPr>
          <w:rFonts w:ascii="Arial" w:hAnsi="Arial"/>
          <w:lang w:eastAsia="ja-JP"/>
        </w:rPr>
        <w:t>Eds</w:t>
      </w:r>
      <w:proofErr w:type="spellEnd"/>
      <w:r w:rsidRPr="0076566B">
        <w:rPr>
          <w:rFonts w:ascii="Arial" w:hAnsi="Arial"/>
          <w:lang w:eastAsia="ja-JP"/>
        </w:rPr>
        <w:t xml:space="preserve">). </w:t>
      </w:r>
      <w:proofErr w:type="gramStart"/>
      <w:r w:rsidRPr="0076566B">
        <w:rPr>
          <w:rFonts w:ascii="Arial" w:hAnsi="Arial"/>
          <w:lang w:eastAsia="ja-JP"/>
        </w:rPr>
        <w:t>Classification, Clustering and Data Mining Applications.</w:t>
      </w:r>
      <w:proofErr w:type="gramEnd"/>
      <w:r w:rsidRPr="0076566B">
        <w:rPr>
          <w:rFonts w:ascii="Arial" w:hAnsi="Arial"/>
          <w:lang w:eastAsia="ja-JP"/>
        </w:rPr>
        <w:t xml:space="preserve"> Springer-</w:t>
      </w:r>
      <w:proofErr w:type="spellStart"/>
      <w:r w:rsidRPr="0076566B">
        <w:rPr>
          <w:rFonts w:ascii="Arial" w:hAnsi="Arial"/>
          <w:lang w:eastAsia="ja-JP"/>
        </w:rPr>
        <w:t>Verlag</w:t>
      </w:r>
      <w:proofErr w:type="spellEnd"/>
      <w:r w:rsidRPr="0076566B">
        <w:rPr>
          <w:rFonts w:ascii="Arial" w:hAnsi="Arial"/>
          <w:lang w:eastAsia="ja-JP"/>
        </w:rPr>
        <w:t xml:space="preserve"> Berlin-Heidelberg, 639-648</w:t>
      </w:r>
    </w:p>
    <w:sectPr w:rsidR="004F14E3" w:rsidSect="004F14E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00BE"/>
    <w:rsid w:val="00AA55AA"/>
    <w:rsid w:val="00B100B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BE"/>
    <w:rPr>
      <w:rFonts w:ascii="Cambria" w:eastAsia="MS Mincho"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1666</Characters>
  <Application>Microsoft Macintosh Word</Application>
  <DocSecurity>0</DocSecurity>
  <Lines>13</Lines>
  <Paragraphs>3</Paragraphs>
  <ScaleCrop>false</ScaleCrop>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Giovannetti</dc:creator>
  <cp:keywords/>
  <cp:lastModifiedBy>Elisa Giovannetti</cp:lastModifiedBy>
  <cp:revision>2</cp:revision>
  <dcterms:created xsi:type="dcterms:W3CDTF">2012-10-17T20:22:00Z</dcterms:created>
  <dcterms:modified xsi:type="dcterms:W3CDTF">2012-10-17T20:32:00Z</dcterms:modified>
</cp:coreProperties>
</file>