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74" w:rsidRDefault="00785C94" w:rsidP="00785C94">
      <w:pPr>
        <w:rPr>
          <w:sz w:val="24"/>
          <w:szCs w:val="24"/>
        </w:rPr>
      </w:pPr>
      <w:r w:rsidRPr="00732A74">
        <w:rPr>
          <w:sz w:val="24"/>
          <w:szCs w:val="24"/>
        </w:rPr>
        <w:t xml:space="preserve">Table </w:t>
      </w:r>
      <w:r w:rsidR="000044AB" w:rsidRPr="00732A74">
        <w:rPr>
          <w:sz w:val="24"/>
          <w:szCs w:val="24"/>
        </w:rPr>
        <w:t>S</w:t>
      </w:r>
      <w:r w:rsidR="00732A74">
        <w:rPr>
          <w:sz w:val="24"/>
          <w:szCs w:val="24"/>
        </w:rPr>
        <w:t>1</w:t>
      </w:r>
    </w:p>
    <w:p w:rsidR="00732A74" w:rsidRPr="00732A74" w:rsidRDefault="00732A74" w:rsidP="00785C94">
      <w:pPr>
        <w:rPr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810"/>
        <w:gridCol w:w="1461"/>
        <w:gridCol w:w="1462"/>
        <w:gridCol w:w="1461"/>
        <w:gridCol w:w="1462"/>
        <w:gridCol w:w="1462"/>
      </w:tblGrid>
      <w:tr w:rsidR="00D3151D" w:rsidTr="00A841E1">
        <w:tc>
          <w:tcPr>
            <w:tcW w:w="1458" w:type="dxa"/>
            <w:tcBorders>
              <w:bottom w:val="single" w:sz="4" w:space="0" w:color="auto"/>
            </w:tcBorders>
          </w:tcPr>
          <w:p w:rsidR="00D3151D" w:rsidRDefault="00D3151D" w:rsidP="00D3151D">
            <w:r>
              <w:t>Condition</w:t>
            </w:r>
          </w:p>
        </w:tc>
        <w:tc>
          <w:tcPr>
            <w:tcW w:w="810" w:type="dxa"/>
          </w:tcPr>
          <w:p w:rsidR="00D3151D" w:rsidRDefault="00D3151D" w:rsidP="00D3151D">
            <w:r>
              <w:t>Target</w:t>
            </w:r>
          </w:p>
        </w:tc>
        <w:tc>
          <w:tcPr>
            <w:tcW w:w="1461" w:type="dxa"/>
          </w:tcPr>
          <w:p w:rsidR="00D3151D" w:rsidRDefault="00D3151D" w:rsidP="00D3151D">
            <w:pPr>
              <w:jc w:val="center"/>
            </w:pPr>
            <w:r>
              <w:t>Experiment 1</w:t>
            </w:r>
          </w:p>
        </w:tc>
        <w:tc>
          <w:tcPr>
            <w:tcW w:w="1462" w:type="dxa"/>
          </w:tcPr>
          <w:p w:rsidR="00D3151D" w:rsidRDefault="00D3151D" w:rsidP="00D3151D">
            <w:pPr>
              <w:jc w:val="center"/>
            </w:pPr>
            <w:r>
              <w:t>Experiment 2</w:t>
            </w:r>
          </w:p>
        </w:tc>
        <w:tc>
          <w:tcPr>
            <w:tcW w:w="1461" w:type="dxa"/>
          </w:tcPr>
          <w:p w:rsidR="00D3151D" w:rsidRPr="002E61B4" w:rsidRDefault="00D3151D" w:rsidP="00D3151D">
            <w:pPr>
              <w:jc w:val="center"/>
            </w:pPr>
            <w:r w:rsidRPr="002E61B4">
              <w:t>Experiment 3</w:t>
            </w:r>
          </w:p>
        </w:tc>
        <w:tc>
          <w:tcPr>
            <w:tcW w:w="1462" w:type="dxa"/>
          </w:tcPr>
          <w:p w:rsidR="00D3151D" w:rsidRDefault="00D3151D" w:rsidP="00D3151D">
            <w:pPr>
              <w:jc w:val="center"/>
            </w:pPr>
            <w:r>
              <w:t>Experiment 4</w:t>
            </w:r>
          </w:p>
        </w:tc>
        <w:tc>
          <w:tcPr>
            <w:tcW w:w="1462" w:type="dxa"/>
          </w:tcPr>
          <w:p w:rsidR="00D3151D" w:rsidRDefault="00D3151D" w:rsidP="00D3151D">
            <w:pPr>
              <w:jc w:val="center"/>
            </w:pPr>
            <w:r>
              <w:t>Experiment 5</w:t>
            </w:r>
          </w:p>
        </w:tc>
      </w:tr>
      <w:tr w:rsidR="00E371E6" w:rsidTr="00A841E1">
        <w:tc>
          <w:tcPr>
            <w:tcW w:w="1458" w:type="dxa"/>
            <w:tcBorders>
              <w:bottom w:val="nil"/>
            </w:tcBorders>
          </w:tcPr>
          <w:p w:rsidR="00E371E6" w:rsidRPr="00E371E6" w:rsidRDefault="00E371E6" w:rsidP="00D3151D">
            <w:pPr>
              <w:rPr>
                <w:b/>
              </w:rPr>
            </w:pPr>
            <w:r w:rsidRPr="00E371E6">
              <w:rPr>
                <w:b/>
              </w:rPr>
              <w:t>White Target</w:t>
            </w:r>
          </w:p>
        </w:tc>
        <w:tc>
          <w:tcPr>
            <w:tcW w:w="810" w:type="dxa"/>
          </w:tcPr>
          <w:p w:rsidR="00E371E6" w:rsidRPr="00E371E6" w:rsidRDefault="00E371E6" w:rsidP="008B19FF">
            <w:pPr>
              <w:rPr>
                <w:b/>
              </w:rPr>
            </w:pPr>
            <w:r w:rsidRPr="00E371E6">
              <w:rPr>
                <w:b/>
              </w:rPr>
              <w:t>Other</w:t>
            </w:r>
          </w:p>
        </w:tc>
        <w:tc>
          <w:tcPr>
            <w:tcW w:w="1461" w:type="dxa"/>
          </w:tcPr>
          <w:p w:rsidR="00E371E6" w:rsidRPr="00E371E6" w:rsidRDefault="00E371E6" w:rsidP="008B19FF">
            <w:pPr>
              <w:jc w:val="center"/>
              <w:rPr>
                <w:b/>
              </w:rPr>
            </w:pPr>
            <w:r w:rsidRPr="00E371E6">
              <w:rPr>
                <w:b/>
              </w:rPr>
              <w:t>2.3</w:t>
            </w:r>
            <w:r w:rsidR="00500578">
              <w:rPr>
                <w:b/>
              </w:rPr>
              <w:t>9</w:t>
            </w:r>
          </w:p>
          <w:p w:rsidR="00E371E6" w:rsidRPr="00E371E6" w:rsidRDefault="00E371E6" w:rsidP="008B19FF">
            <w:pPr>
              <w:jc w:val="center"/>
              <w:rPr>
                <w:b/>
              </w:rPr>
            </w:pPr>
            <w:r w:rsidRPr="00E371E6">
              <w:rPr>
                <w:b/>
              </w:rPr>
              <w:t>(.41)</w:t>
            </w:r>
          </w:p>
        </w:tc>
        <w:tc>
          <w:tcPr>
            <w:tcW w:w="1462" w:type="dxa"/>
          </w:tcPr>
          <w:p w:rsidR="00E371E6" w:rsidRPr="00E371E6" w:rsidRDefault="00E371E6" w:rsidP="008B19FF">
            <w:pPr>
              <w:jc w:val="center"/>
              <w:rPr>
                <w:b/>
              </w:rPr>
            </w:pPr>
            <w:r w:rsidRPr="00E371E6">
              <w:rPr>
                <w:b/>
              </w:rPr>
              <w:t>2.60</w:t>
            </w:r>
          </w:p>
          <w:p w:rsidR="00E371E6" w:rsidRPr="00E371E6" w:rsidRDefault="00E371E6" w:rsidP="008B19FF">
            <w:pPr>
              <w:jc w:val="center"/>
              <w:rPr>
                <w:b/>
              </w:rPr>
            </w:pPr>
            <w:r w:rsidRPr="00E371E6">
              <w:rPr>
                <w:b/>
              </w:rPr>
              <w:t>(.51)</w:t>
            </w:r>
          </w:p>
        </w:tc>
        <w:tc>
          <w:tcPr>
            <w:tcW w:w="1461" w:type="dxa"/>
          </w:tcPr>
          <w:p w:rsidR="00E371E6" w:rsidRPr="002E61B4" w:rsidRDefault="00E371E6" w:rsidP="008B19FF">
            <w:pPr>
              <w:jc w:val="center"/>
              <w:rPr>
                <w:b/>
              </w:rPr>
            </w:pPr>
            <w:r w:rsidRPr="002E61B4">
              <w:rPr>
                <w:b/>
              </w:rPr>
              <w:t>2.32</w:t>
            </w:r>
          </w:p>
          <w:p w:rsidR="00E371E6" w:rsidRPr="002E61B4" w:rsidRDefault="00E371E6" w:rsidP="008B19FF">
            <w:pPr>
              <w:jc w:val="center"/>
              <w:rPr>
                <w:b/>
              </w:rPr>
            </w:pPr>
            <w:r w:rsidRPr="002E61B4">
              <w:rPr>
                <w:b/>
              </w:rPr>
              <w:t>(.37)</w:t>
            </w:r>
          </w:p>
        </w:tc>
        <w:tc>
          <w:tcPr>
            <w:tcW w:w="1462" w:type="dxa"/>
          </w:tcPr>
          <w:p w:rsidR="00E371E6" w:rsidRPr="00E371E6" w:rsidRDefault="00E371E6" w:rsidP="008B19FF">
            <w:pPr>
              <w:jc w:val="center"/>
              <w:rPr>
                <w:b/>
              </w:rPr>
            </w:pPr>
            <w:r w:rsidRPr="00E371E6">
              <w:rPr>
                <w:b/>
              </w:rPr>
              <w:t>2.39</w:t>
            </w:r>
          </w:p>
          <w:p w:rsidR="00E371E6" w:rsidRPr="00E371E6" w:rsidRDefault="00E371E6" w:rsidP="008B19FF">
            <w:pPr>
              <w:jc w:val="center"/>
              <w:rPr>
                <w:b/>
              </w:rPr>
            </w:pPr>
            <w:r w:rsidRPr="00E371E6">
              <w:rPr>
                <w:b/>
              </w:rPr>
              <w:t>(.42)</w:t>
            </w:r>
          </w:p>
        </w:tc>
        <w:tc>
          <w:tcPr>
            <w:tcW w:w="1462" w:type="dxa"/>
          </w:tcPr>
          <w:p w:rsidR="00E371E6" w:rsidRPr="00E371E6" w:rsidRDefault="00E371E6" w:rsidP="008B19FF">
            <w:pPr>
              <w:jc w:val="center"/>
              <w:rPr>
                <w:b/>
              </w:rPr>
            </w:pPr>
            <w:r w:rsidRPr="00E371E6">
              <w:rPr>
                <w:b/>
              </w:rPr>
              <w:t>2.41</w:t>
            </w:r>
          </w:p>
          <w:p w:rsidR="00E371E6" w:rsidRPr="00E371E6" w:rsidRDefault="00E371E6" w:rsidP="008B19FF">
            <w:pPr>
              <w:jc w:val="center"/>
              <w:rPr>
                <w:b/>
              </w:rPr>
            </w:pPr>
            <w:r w:rsidRPr="00E371E6">
              <w:rPr>
                <w:b/>
              </w:rPr>
              <w:t>(.42)</w:t>
            </w:r>
          </w:p>
        </w:tc>
      </w:tr>
      <w:tr w:rsidR="00E371E6" w:rsidTr="00E371E6">
        <w:tc>
          <w:tcPr>
            <w:tcW w:w="1458" w:type="dxa"/>
            <w:tcBorders>
              <w:top w:val="nil"/>
              <w:bottom w:val="single" w:sz="4" w:space="0" w:color="auto"/>
            </w:tcBorders>
          </w:tcPr>
          <w:p w:rsidR="00E371E6" w:rsidRDefault="00E371E6" w:rsidP="00D3151D"/>
        </w:tc>
        <w:tc>
          <w:tcPr>
            <w:tcW w:w="810" w:type="dxa"/>
            <w:tcBorders>
              <w:bottom w:val="single" w:sz="4" w:space="0" w:color="auto"/>
            </w:tcBorders>
          </w:tcPr>
          <w:p w:rsidR="00E371E6" w:rsidRDefault="00E371E6" w:rsidP="008B19FF">
            <w:r>
              <w:t xml:space="preserve">Self </w:t>
            </w: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:rsidR="00E371E6" w:rsidRDefault="00E371E6" w:rsidP="008B19FF">
            <w:pPr>
              <w:jc w:val="center"/>
            </w:pPr>
            <w:r>
              <w:t>2.3</w:t>
            </w:r>
            <w:r w:rsidR="00500578">
              <w:t>6</w:t>
            </w:r>
          </w:p>
          <w:p w:rsidR="00E371E6" w:rsidRDefault="00E371E6" w:rsidP="008B19FF">
            <w:pPr>
              <w:jc w:val="center"/>
            </w:pPr>
            <w:r>
              <w:t>(.35)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E371E6" w:rsidRDefault="00E371E6" w:rsidP="008B19FF">
            <w:pPr>
              <w:jc w:val="center"/>
            </w:pPr>
            <w:r>
              <w:t>2.51</w:t>
            </w:r>
          </w:p>
          <w:p w:rsidR="00E371E6" w:rsidRDefault="00E371E6" w:rsidP="008B19FF">
            <w:pPr>
              <w:jc w:val="center"/>
            </w:pPr>
            <w:r>
              <w:t>(.46)</w:t>
            </w: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:rsidR="00E371E6" w:rsidRPr="002E61B4" w:rsidRDefault="00E371E6" w:rsidP="008B19FF">
            <w:pPr>
              <w:jc w:val="center"/>
            </w:pPr>
            <w:r w:rsidRPr="002E61B4">
              <w:t>2.26</w:t>
            </w:r>
          </w:p>
          <w:p w:rsidR="00E371E6" w:rsidRPr="002E61B4" w:rsidRDefault="00E371E6" w:rsidP="008B19FF">
            <w:pPr>
              <w:jc w:val="center"/>
            </w:pPr>
            <w:r w:rsidRPr="002E61B4">
              <w:t>(.29)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E371E6" w:rsidRDefault="00E371E6" w:rsidP="008B19FF">
            <w:pPr>
              <w:jc w:val="center"/>
            </w:pPr>
            <w:r>
              <w:t>2.28</w:t>
            </w:r>
          </w:p>
          <w:p w:rsidR="00E371E6" w:rsidRDefault="00E371E6" w:rsidP="008B19FF">
            <w:pPr>
              <w:jc w:val="center"/>
            </w:pPr>
            <w:r>
              <w:t>(.36)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E371E6" w:rsidRDefault="00E371E6" w:rsidP="008B19FF">
            <w:pPr>
              <w:jc w:val="center"/>
            </w:pPr>
            <w:r>
              <w:t>2.35</w:t>
            </w:r>
          </w:p>
          <w:p w:rsidR="00E371E6" w:rsidRDefault="00E371E6" w:rsidP="008B19FF">
            <w:pPr>
              <w:jc w:val="center"/>
            </w:pPr>
            <w:r>
              <w:t>(.37)</w:t>
            </w:r>
          </w:p>
        </w:tc>
      </w:tr>
      <w:tr w:rsidR="00E371E6" w:rsidTr="00E371E6">
        <w:tc>
          <w:tcPr>
            <w:tcW w:w="1458" w:type="dxa"/>
            <w:tcBorders>
              <w:bottom w:val="nil"/>
            </w:tcBorders>
          </w:tcPr>
          <w:p w:rsidR="00E371E6" w:rsidRPr="00E371E6" w:rsidRDefault="00E371E6" w:rsidP="00D3151D">
            <w:pPr>
              <w:rPr>
                <w:b/>
              </w:rPr>
            </w:pPr>
            <w:r w:rsidRPr="00E371E6">
              <w:rPr>
                <w:b/>
              </w:rPr>
              <w:t>Black Target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371E6" w:rsidRPr="00E371E6" w:rsidRDefault="00E371E6" w:rsidP="008B19FF">
            <w:pPr>
              <w:rPr>
                <w:b/>
              </w:rPr>
            </w:pPr>
            <w:r w:rsidRPr="00E371E6">
              <w:rPr>
                <w:b/>
              </w:rPr>
              <w:t>Other</w:t>
            </w: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:rsidR="00E371E6" w:rsidRPr="00E371E6" w:rsidRDefault="00E371E6" w:rsidP="008B19FF">
            <w:pPr>
              <w:jc w:val="center"/>
              <w:rPr>
                <w:b/>
              </w:rPr>
            </w:pPr>
            <w:r w:rsidRPr="00E371E6">
              <w:rPr>
                <w:b/>
              </w:rPr>
              <w:t>2.</w:t>
            </w:r>
            <w:r w:rsidR="00500578">
              <w:rPr>
                <w:b/>
              </w:rPr>
              <w:t>20</w:t>
            </w:r>
          </w:p>
          <w:p w:rsidR="00E371E6" w:rsidRPr="00E371E6" w:rsidRDefault="00E371E6" w:rsidP="008B19FF">
            <w:pPr>
              <w:jc w:val="center"/>
              <w:rPr>
                <w:b/>
              </w:rPr>
            </w:pPr>
            <w:r w:rsidRPr="00E371E6">
              <w:rPr>
                <w:b/>
              </w:rPr>
              <w:t>(.35)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E371E6" w:rsidRPr="00E371E6" w:rsidRDefault="00E371E6" w:rsidP="008B19FF">
            <w:pPr>
              <w:jc w:val="center"/>
              <w:rPr>
                <w:b/>
              </w:rPr>
            </w:pPr>
            <w:r w:rsidRPr="00E371E6">
              <w:rPr>
                <w:b/>
              </w:rPr>
              <w:t>2.46</w:t>
            </w:r>
          </w:p>
          <w:p w:rsidR="00E371E6" w:rsidRPr="00E371E6" w:rsidRDefault="00E371E6" w:rsidP="008B19FF">
            <w:pPr>
              <w:jc w:val="center"/>
              <w:rPr>
                <w:b/>
              </w:rPr>
            </w:pPr>
            <w:r w:rsidRPr="00E371E6">
              <w:rPr>
                <w:b/>
              </w:rPr>
              <w:t>(.48)</w:t>
            </w: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:rsidR="00E371E6" w:rsidRPr="002E61B4" w:rsidRDefault="00E371E6" w:rsidP="008B19FF">
            <w:pPr>
              <w:jc w:val="center"/>
              <w:rPr>
                <w:b/>
              </w:rPr>
            </w:pPr>
            <w:r w:rsidRPr="002E61B4">
              <w:rPr>
                <w:b/>
              </w:rPr>
              <w:t>2.33</w:t>
            </w:r>
          </w:p>
          <w:p w:rsidR="00E371E6" w:rsidRPr="002E61B4" w:rsidRDefault="00E371E6" w:rsidP="008B19FF">
            <w:pPr>
              <w:jc w:val="center"/>
              <w:rPr>
                <w:b/>
              </w:rPr>
            </w:pPr>
            <w:r w:rsidRPr="002E61B4">
              <w:rPr>
                <w:b/>
              </w:rPr>
              <w:t>(.30)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E371E6" w:rsidRPr="00E371E6" w:rsidRDefault="00E371E6" w:rsidP="008B19FF">
            <w:pPr>
              <w:jc w:val="center"/>
              <w:rPr>
                <w:b/>
              </w:rPr>
            </w:pPr>
            <w:r w:rsidRPr="00E371E6">
              <w:rPr>
                <w:b/>
              </w:rPr>
              <w:t>2.34</w:t>
            </w:r>
          </w:p>
          <w:p w:rsidR="00E371E6" w:rsidRPr="00E371E6" w:rsidRDefault="00E371E6" w:rsidP="008B19FF">
            <w:pPr>
              <w:jc w:val="center"/>
              <w:rPr>
                <w:b/>
              </w:rPr>
            </w:pPr>
            <w:r w:rsidRPr="00E371E6">
              <w:rPr>
                <w:b/>
              </w:rPr>
              <w:t>(.45)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E371E6" w:rsidRPr="00E371E6" w:rsidRDefault="00E371E6" w:rsidP="008B19FF">
            <w:pPr>
              <w:jc w:val="center"/>
              <w:rPr>
                <w:b/>
              </w:rPr>
            </w:pPr>
            <w:r w:rsidRPr="00E371E6">
              <w:rPr>
                <w:b/>
              </w:rPr>
              <w:t>2.25</w:t>
            </w:r>
          </w:p>
          <w:p w:rsidR="00E371E6" w:rsidRPr="00E371E6" w:rsidRDefault="00E371E6" w:rsidP="008B19FF">
            <w:pPr>
              <w:jc w:val="center"/>
              <w:rPr>
                <w:b/>
              </w:rPr>
            </w:pPr>
            <w:r w:rsidRPr="00E371E6">
              <w:rPr>
                <w:b/>
              </w:rPr>
              <w:t>(.47)</w:t>
            </w:r>
          </w:p>
        </w:tc>
      </w:tr>
      <w:tr w:rsidR="00E371E6" w:rsidTr="00E371E6">
        <w:tc>
          <w:tcPr>
            <w:tcW w:w="1458" w:type="dxa"/>
            <w:tcBorders>
              <w:top w:val="nil"/>
              <w:bottom w:val="single" w:sz="4" w:space="0" w:color="auto"/>
            </w:tcBorders>
          </w:tcPr>
          <w:p w:rsidR="00E371E6" w:rsidRDefault="00E371E6" w:rsidP="00D3151D"/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371E6" w:rsidRDefault="00E371E6" w:rsidP="008B19FF">
            <w:r>
              <w:t>Self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E371E6" w:rsidRDefault="00500578" w:rsidP="008B19FF">
            <w:pPr>
              <w:jc w:val="center"/>
            </w:pPr>
            <w:r>
              <w:t>2.30</w:t>
            </w:r>
          </w:p>
          <w:p w:rsidR="00E371E6" w:rsidRDefault="00E371E6" w:rsidP="008B19FF">
            <w:pPr>
              <w:jc w:val="center"/>
            </w:pPr>
            <w:r>
              <w:t>(.33)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E371E6" w:rsidRDefault="00E371E6" w:rsidP="008B19FF">
            <w:pPr>
              <w:jc w:val="center"/>
            </w:pPr>
            <w:r>
              <w:t>2.56</w:t>
            </w:r>
          </w:p>
          <w:p w:rsidR="00E371E6" w:rsidRDefault="00E371E6" w:rsidP="008B19FF">
            <w:pPr>
              <w:jc w:val="center"/>
            </w:pPr>
            <w:r>
              <w:t>(.40)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E371E6" w:rsidRPr="002E61B4" w:rsidRDefault="00E371E6" w:rsidP="008B19FF">
            <w:pPr>
              <w:jc w:val="center"/>
            </w:pPr>
            <w:r w:rsidRPr="002E61B4">
              <w:t>2.42</w:t>
            </w:r>
          </w:p>
          <w:p w:rsidR="00E371E6" w:rsidRPr="002E61B4" w:rsidRDefault="00E371E6" w:rsidP="008B19FF">
            <w:pPr>
              <w:jc w:val="center"/>
            </w:pPr>
            <w:r w:rsidRPr="002E61B4">
              <w:t>(.29)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E371E6" w:rsidRDefault="00E371E6" w:rsidP="008B19FF">
            <w:pPr>
              <w:jc w:val="center"/>
            </w:pPr>
            <w:r>
              <w:t>2.41</w:t>
            </w:r>
          </w:p>
          <w:p w:rsidR="00E371E6" w:rsidRDefault="00E371E6" w:rsidP="008B19FF">
            <w:pPr>
              <w:jc w:val="center"/>
            </w:pPr>
            <w:r>
              <w:t>(.39)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E371E6" w:rsidRDefault="00E371E6" w:rsidP="008B19FF">
            <w:pPr>
              <w:jc w:val="center"/>
            </w:pPr>
            <w:r>
              <w:t>2.29</w:t>
            </w:r>
          </w:p>
          <w:p w:rsidR="00E371E6" w:rsidRDefault="00E371E6" w:rsidP="008B19FF">
            <w:pPr>
              <w:jc w:val="center"/>
            </w:pPr>
            <w:r>
              <w:t>(.43)</w:t>
            </w:r>
          </w:p>
        </w:tc>
      </w:tr>
    </w:tbl>
    <w:p w:rsidR="00D3151D" w:rsidRDefault="00D3151D" w:rsidP="00D3151D"/>
    <w:p w:rsidR="00E371E6" w:rsidRPr="00732A74" w:rsidRDefault="00E371E6" w:rsidP="00D3151D">
      <w:pPr>
        <w:rPr>
          <w:sz w:val="24"/>
          <w:szCs w:val="24"/>
        </w:rPr>
      </w:pPr>
      <w:r w:rsidRPr="00732A74">
        <w:rPr>
          <w:sz w:val="24"/>
          <w:szCs w:val="24"/>
        </w:rPr>
        <w:t xml:space="preserve">NOTE: Across studies, </w:t>
      </w:r>
      <w:r w:rsidR="009B7FB0" w:rsidRPr="00732A74">
        <w:rPr>
          <w:sz w:val="24"/>
          <w:szCs w:val="24"/>
        </w:rPr>
        <w:t xml:space="preserve">participants generally rated their own pain as </w:t>
      </w:r>
      <w:r w:rsidR="007254E3" w:rsidRPr="00732A74">
        <w:rPr>
          <w:sz w:val="24"/>
          <w:szCs w:val="24"/>
        </w:rPr>
        <w:t>more similar to a White (vs. Black) target, and greater than that of a Black (vs. White) target</w:t>
      </w:r>
      <w:r w:rsidR="009B7FB0" w:rsidRPr="00732A74">
        <w:rPr>
          <w:sz w:val="24"/>
          <w:szCs w:val="24"/>
        </w:rPr>
        <w:t xml:space="preserve">.  This pattern is consistent with our interpretation that people underestimate or </w:t>
      </w:r>
      <w:r w:rsidR="002E61B4" w:rsidRPr="00732A74">
        <w:rPr>
          <w:sz w:val="24"/>
          <w:szCs w:val="24"/>
        </w:rPr>
        <w:t xml:space="preserve">generally </w:t>
      </w:r>
      <w:r w:rsidR="009B7FB0" w:rsidRPr="00732A74">
        <w:rPr>
          <w:sz w:val="24"/>
          <w:szCs w:val="24"/>
        </w:rPr>
        <w:t xml:space="preserve">overlook Black people’s pain.  There were exceptions in our data, however.  In Experiment 3, for example, it appears that randomization to </w:t>
      </w:r>
      <w:r w:rsidR="00F54245" w:rsidRPr="00732A74">
        <w:rPr>
          <w:sz w:val="24"/>
          <w:szCs w:val="24"/>
        </w:rPr>
        <w:t xml:space="preserve">target race </w:t>
      </w:r>
      <w:r w:rsidR="009B7FB0" w:rsidRPr="00732A74">
        <w:rPr>
          <w:sz w:val="24"/>
          <w:szCs w:val="24"/>
        </w:rPr>
        <w:t>condition failed.  The target race effect was driven by self-ratings (which</w:t>
      </w:r>
      <w:r w:rsidR="002E61B4" w:rsidRPr="00732A74">
        <w:rPr>
          <w:sz w:val="24"/>
          <w:szCs w:val="24"/>
        </w:rPr>
        <w:t>,</w:t>
      </w:r>
      <w:r w:rsidR="009B7FB0" w:rsidRPr="00732A74">
        <w:rPr>
          <w:sz w:val="24"/>
          <w:szCs w:val="24"/>
        </w:rPr>
        <w:t xml:space="preserve"> </w:t>
      </w:r>
      <w:r w:rsidR="002E61B4" w:rsidRPr="00732A74">
        <w:rPr>
          <w:sz w:val="24"/>
          <w:szCs w:val="24"/>
        </w:rPr>
        <w:t xml:space="preserve">recall, </w:t>
      </w:r>
      <w:r w:rsidR="009B7FB0" w:rsidRPr="00732A74">
        <w:rPr>
          <w:sz w:val="24"/>
          <w:szCs w:val="24"/>
        </w:rPr>
        <w:t xml:space="preserve">participants made </w:t>
      </w:r>
      <w:r w:rsidR="009B7FB0" w:rsidRPr="00732A74">
        <w:rPr>
          <w:i/>
          <w:sz w:val="24"/>
          <w:szCs w:val="24"/>
        </w:rPr>
        <w:t xml:space="preserve">before </w:t>
      </w:r>
      <w:r w:rsidR="009B7FB0" w:rsidRPr="00732A74">
        <w:rPr>
          <w:sz w:val="24"/>
          <w:szCs w:val="24"/>
        </w:rPr>
        <w:t>seeing a Black or White target).</w:t>
      </w:r>
    </w:p>
    <w:sectPr w:rsidR="00E371E6" w:rsidRPr="00732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BD5" w:rsidRDefault="00913BD5" w:rsidP="00A841E1">
      <w:pPr>
        <w:spacing w:after="0" w:line="240" w:lineRule="auto"/>
      </w:pPr>
      <w:r>
        <w:separator/>
      </w:r>
    </w:p>
  </w:endnote>
  <w:endnote w:type="continuationSeparator" w:id="0">
    <w:p w:rsidR="00913BD5" w:rsidRDefault="00913BD5" w:rsidP="00A84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BD5" w:rsidRDefault="00913BD5" w:rsidP="00A841E1">
      <w:pPr>
        <w:spacing w:after="0" w:line="240" w:lineRule="auto"/>
      </w:pPr>
      <w:r>
        <w:separator/>
      </w:r>
    </w:p>
  </w:footnote>
  <w:footnote w:type="continuationSeparator" w:id="0">
    <w:p w:rsidR="00913BD5" w:rsidRDefault="00913BD5" w:rsidP="00A841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51D"/>
    <w:rsid w:val="000044AB"/>
    <w:rsid w:val="000C1787"/>
    <w:rsid w:val="00136934"/>
    <w:rsid w:val="00257D66"/>
    <w:rsid w:val="002E61B4"/>
    <w:rsid w:val="003E7ECB"/>
    <w:rsid w:val="0048445B"/>
    <w:rsid w:val="00500578"/>
    <w:rsid w:val="00582723"/>
    <w:rsid w:val="007254E3"/>
    <w:rsid w:val="00732A74"/>
    <w:rsid w:val="00785C94"/>
    <w:rsid w:val="007A449A"/>
    <w:rsid w:val="007B1821"/>
    <w:rsid w:val="00913BD5"/>
    <w:rsid w:val="00977B1B"/>
    <w:rsid w:val="009B7FB0"/>
    <w:rsid w:val="00A841E1"/>
    <w:rsid w:val="00AD5B6C"/>
    <w:rsid w:val="00BC14BF"/>
    <w:rsid w:val="00BC6435"/>
    <w:rsid w:val="00C500DB"/>
    <w:rsid w:val="00D3151D"/>
    <w:rsid w:val="00DD0845"/>
    <w:rsid w:val="00E371E6"/>
    <w:rsid w:val="00EB5870"/>
    <w:rsid w:val="00F5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1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4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1E1"/>
  </w:style>
  <w:style w:type="paragraph" w:styleId="Footer">
    <w:name w:val="footer"/>
    <w:basedOn w:val="Normal"/>
    <w:link w:val="FooterChar"/>
    <w:uiPriority w:val="99"/>
    <w:unhideWhenUsed/>
    <w:rsid w:val="00A84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1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1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4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1E1"/>
  </w:style>
  <w:style w:type="paragraph" w:styleId="Footer">
    <w:name w:val="footer"/>
    <w:basedOn w:val="Normal"/>
    <w:link w:val="FooterChar"/>
    <w:uiPriority w:val="99"/>
    <w:unhideWhenUsed/>
    <w:rsid w:val="00A84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McIntire School of Commerce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Trawalter, Sophie (st2pa)</dc:creator>
  <cp:lastModifiedBy>Trawalter, Sophie (st2pa)</cp:lastModifiedBy>
  <cp:revision>4</cp:revision>
  <dcterms:created xsi:type="dcterms:W3CDTF">2012-10-08T19:51:00Z</dcterms:created>
  <dcterms:modified xsi:type="dcterms:W3CDTF">2012-10-08T19:58:00Z</dcterms:modified>
</cp:coreProperties>
</file>