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32" w:rsidRDefault="00CB4032" w:rsidP="00557BC7">
      <w:pPr>
        <w:spacing w:line="480" w:lineRule="auto"/>
        <w:jc w:val="both"/>
        <w:rPr>
          <w:rFonts w:ascii="Arial" w:hAnsi="Arial"/>
        </w:rPr>
      </w:pPr>
    </w:p>
    <w:p w:rsidR="006A6768" w:rsidRDefault="00B81732" w:rsidP="00F87511">
      <w:pPr>
        <w:spacing w:line="480" w:lineRule="auto"/>
        <w:jc w:val="both"/>
        <w:outlineLvl w:val="0"/>
        <w:rPr>
          <w:rFonts w:ascii="Arial" w:hAnsi="Arial"/>
        </w:rPr>
      </w:pPr>
      <w:r>
        <w:rPr>
          <w:rFonts w:ascii="Arial" w:hAnsi="Arial"/>
          <w:u w:val="single"/>
        </w:rPr>
        <w:t>Extended</w:t>
      </w:r>
      <w:r w:rsidR="006A6768" w:rsidRPr="006A6768">
        <w:rPr>
          <w:rFonts w:ascii="Arial" w:hAnsi="Arial"/>
          <w:u w:val="single"/>
        </w:rPr>
        <w:t xml:space="preserve"> </w:t>
      </w:r>
      <w:r w:rsidR="00E20EAB" w:rsidRPr="00E20EAB">
        <w:rPr>
          <w:rFonts w:ascii="Arial" w:hAnsi="Arial"/>
          <w:u w:val="single"/>
        </w:rPr>
        <w:t>Materials and Methods</w:t>
      </w:r>
      <w:r w:rsidR="00E20EAB">
        <w:rPr>
          <w:rFonts w:ascii="Arial" w:hAnsi="Arial"/>
        </w:rPr>
        <w:t xml:space="preserve">: </w:t>
      </w:r>
    </w:p>
    <w:p w:rsidR="006A6768" w:rsidRPr="00FC06ED" w:rsidRDefault="006A6768" w:rsidP="00FC06ED">
      <w:pPr>
        <w:spacing w:after="120" w:line="480" w:lineRule="auto"/>
        <w:jc w:val="both"/>
        <w:rPr>
          <w:rFonts w:ascii="Arial" w:hAnsi="Arial"/>
          <w:b/>
        </w:rPr>
      </w:pPr>
      <w:r w:rsidRPr="00186C98">
        <w:rPr>
          <w:rFonts w:ascii="Arial" w:hAnsi="Arial"/>
          <w:i/>
        </w:rPr>
        <w:t xml:space="preserve">Transfection and </w:t>
      </w:r>
      <w:r>
        <w:rPr>
          <w:rFonts w:ascii="Arial" w:hAnsi="Arial"/>
          <w:i/>
        </w:rPr>
        <w:t>i</w:t>
      </w:r>
      <w:r w:rsidRPr="00186C98">
        <w:rPr>
          <w:rFonts w:ascii="Arial" w:hAnsi="Arial"/>
          <w:i/>
        </w:rPr>
        <w:t>mmunofluorescence</w:t>
      </w:r>
      <w:r w:rsidRPr="00186C98">
        <w:rPr>
          <w:rFonts w:ascii="Arial" w:hAnsi="Arial"/>
        </w:rPr>
        <w:t>. To generate long-</w:t>
      </w:r>
      <w:r w:rsidR="007D044C">
        <w:rPr>
          <w:rFonts w:ascii="Arial" w:hAnsi="Arial"/>
        </w:rPr>
        <w:t xml:space="preserve"> and short-form</w:t>
      </w:r>
      <w:r w:rsidRPr="00186C98">
        <w:rPr>
          <w:rFonts w:ascii="Arial" w:hAnsi="Arial"/>
        </w:rPr>
        <w:t xml:space="preserve"> SIRT3-eGFP fusion construct, long-</w:t>
      </w:r>
      <w:r w:rsidR="007D044C">
        <w:rPr>
          <w:rFonts w:ascii="Arial" w:hAnsi="Arial"/>
        </w:rPr>
        <w:t xml:space="preserve"> and short</w:t>
      </w:r>
      <w:r w:rsidR="002A3DA2">
        <w:rPr>
          <w:rFonts w:ascii="Arial" w:hAnsi="Arial"/>
        </w:rPr>
        <w:t>-</w:t>
      </w:r>
      <w:r w:rsidRPr="00186C98">
        <w:rPr>
          <w:rFonts w:ascii="Arial" w:hAnsi="Arial"/>
        </w:rPr>
        <w:t>form SIRT3 was amplified from mouse brain cDNA</w:t>
      </w:r>
      <w:r w:rsidRPr="0092166B">
        <w:rPr>
          <w:rFonts w:ascii="Arial" w:hAnsi="Arial"/>
        </w:rPr>
        <w:t xml:space="preserve"> and cloned in-frame into pEGFP N1 expression vector (Clontech Laboratories).  HeLa</w:t>
      </w:r>
      <w:r w:rsidR="002A3DA2">
        <w:rPr>
          <w:rFonts w:ascii="Arial" w:hAnsi="Arial"/>
        </w:rPr>
        <w:t xml:space="preserve"> and HEK293T</w:t>
      </w:r>
      <w:r w:rsidRPr="0092166B">
        <w:rPr>
          <w:rFonts w:ascii="Arial" w:hAnsi="Arial"/>
        </w:rPr>
        <w:t xml:space="preserve"> cells and primary hippocampal cultures were transfected using FuGENE 6 (Roche Diagnostics GmBH, Mannheim, Germany) and Lipofectamine 2000 (Invitrogen Life Technologies) transfection reagents respectively, according to manufacturers’ instructions. </w:t>
      </w:r>
      <w:r>
        <w:rPr>
          <w:rFonts w:ascii="Arial" w:hAnsi="Arial"/>
        </w:rPr>
        <w:t>P</w:t>
      </w:r>
      <w:r w:rsidRPr="0092166B">
        <w:rPr>
          <w:rFonts w:ascii="Arial" w:hAnsi="Arial"/>
        </w:rPr>
        <w:t xml:space="preserve">rimary hippocampal cultures fixed with 10% formalin </w:t>
      </w:r>
      <w:r>
        <w:rPr>
          <w:rFonts w:ascii="Arial" w:hAnsi="Arial"/>
        </w:rPr>
        <w:t xml:space="preserve">were labeled </w:t>
      </w:r>
      <w:r w:rsidRPr="0092166B">
        <w:rPr>
          <w:rFonts w:ascii="Arial" w:hAnsi="Arial"/>
        </w:rPr>
        <w:t>immunofluorescen</w:t>
      </w:r>
      <w:r>
        <w:rPr>
          <w:rFonts w:ascii="Arial" w:hAnsi="Arial"/>
        </w:rPr>
        <w:t>tly with</w:t>
      </w:r>
      <w:r w:rsidRPr="0092166B">
        <w:rPr>
          <w:rFonts w:ascii="Arial" w:hAnsi="Arial"/>
        </w:rPr>
        <w:t xml:space="preserve"> anti-GFP (1:2000, Invitrogen Life Technologies), anti-HSP60 (1:1000, Sigma) anti-NeuN (1:200, Abcam) and </w:t>
      </w:r>
      <w:r w:rsidRPr="00E472F0">
        <w:rPr>
          <w:rFonts w:ascii="Arial" w:hAnsi="Arial"/>
        </w:rPr>
        <w:t xml:space="preserve">anti-SIRT3 (1:500, a gift from E. Verdin, UCSF, USA) as </w:t>
      </w:r>
      <w:r w:rsidRPr="00FC06ED">
        <w:rPr>
          <w:rFonts w:ascii="Arial" w:hAnsi="Arial"/>
        </w:rPr>
        <w:t xml:space="preserve">previously described </w:t>
      </w:r>
      <w:r w:rsidR="004D40E2" w:rsidRPr="00FC06ED">
        <w:rPr>
          <w:rFonts w:ascii="Arial" w:hAnsi="Arial"/>
        </w:rPr>
        <w:fldChar w:fldCharType="begin"/>
      </w:r>
      <w:r w:rsidR="0023082F" w:rsidRPr="00FC06ED">
        <w:rPr>
          <w:rFonts w:ascii="Arial" w:hAnsi="Arial"/>
        </w:rPr>
        <w:instrText xml:space="preserve"> ADDIN EN.CITE &lt;EndNote&gt;&lt;Cite&gt;&lt;Author&gt;Lerner&lt;/Author&gt;&lt;Year&gt;2009&lt;/Year&gt;&lt;RecNum&gt;159&lt;/RecNum&gt;&lt;record&gt;&lt;rec-number&gt;159&lt;/rec-number&gt;&lt;foreign-keys&gt;&lt;key app="EN" db-id="x00aspervaf5fue9s0sp0fwc2f0pd999zeaw"&gt;159&lt;/key&gt;&lt;/foreign-keys&gt;&lt;ref-type name="Journal Article"&gt;17&lt;/ref-type&gt;&lt;contributors&gt;&lt;authors&gt;&lt;author&gt;Lerner, R. G.&lt;/author&gt;&lt;author&gt;Depatie, C.&lt;/author&gt;&lt;author&gt;Rutter, G. A.&lt;/author&gt;&lt;author&gt;Screaton, R. A.&lt;/author&gt;&lt;author&gt;Balthasar, N.&lt;/author&gt;&lt;/authors&gt;&lt;/contributors&gt;&lt;auth-address&gt;Department of Physiology and Pharmacology, University of Bristol, School of Medical Sciences, University Walk, Bristol, UK.&lt;/auth-address&gt;&lt;titles&gt;&lt;title&gt;A role for the CREB co-activator CRTC2 in the hypothalamic mechanisms linking glucose sensing with gene regulation&lt;/title&gt;&lt;secondary-title&gt;EMBO Rep&lt;/secondary-title&gt;&lt;/titles&gt;&lt;periodical&gt;&lt;full-title&gt;EMBO Rep&lt;/full-title&gt;&lt;/periodical&gt;&lt;pages&gt;1175-81&lt;/pages&gt;&lt;volume&gt;10&lt;/volume&gt;&lt;number&gt;10&lt;/number&gt;&lt;edition&gt;2009/08/29&lt;/edition&gt;&lt;keywords&gt;&lt;keyword&gt;AMP-Activated Protein Kinases/metabolism&lt;/keyword&gt;&lt;keyword&gt;Animals&lt;/keyword&gt;&lt;keyword&gt;Cyclic AMP Response Element-Binding Protein/metabolism&lt;/keyword&gt;&lt;keyword&gt;*Gene Expression Regulation&lt;/keyword&gt;&lt;keyword&gt;Glucose/*metabolism&lt;/keyword&gt;&lt;keyword&gt;Hypothalamus/*metabolism&lt;/keyword&gt;&lt;keyword&gt;Mice&lt;/keyword&gt;&lt;keyword&gt;Rats&lt;/keyword&gt;&lt;keyword&gt;Tissue Culture Techniques&lt;/keyword&gt;&lt;keyword&gt;Trans-Activators/*metabolism&lt;/keyword&gt;&lt;/keywords&gt;&lt;dates&gt;&lt;year&gt;2009&lt;/year&gt;&lt;pub-dates&gt;&lt;date&gt;Oct&lt;/date&gt;&lt;/pub-dates&gt;&lt;/dates&gt;&lt;isbn&gt;1469-3178 (Electronic)&amp;#xD;1469-221X (Linking)&lt;/isbn&gt;&lt;accession-num&gt;19713961&lt;/accession-num&gt;&lt;urls&gt;&lt;related-urls&gt;&lt;url&gt;http://www.ncbi.nlm.nih.gov/entrez/query.fcgi?cmd=Retrieve&amp;amp;db=PubMed&amp;amp;dopt=Citation&amp;amp;list_uids=19713961&lt;/url&gt;&lt;/related-urls&gt;&lt;/urls&gt;&lt;electronic-resource-num&gt;embor2009177 [pii]&amp;#xD;10.1038/embor.2009.177&lt;/electronic-resource-num&gt;&lt;language&gt;eng&lt;/language&gt;&lt;/record&gt;&lt;/Cite&gt;&lt;/EndNote&gt;</w:instrText>
      </w:r>
      <w:r w:rsidR="004D40E2" w:rsidRPr="00FC06ED">
        <w:rPr>
          <w:rFonts w:ascii="Arial" w:hAnsi="Arial"/>
        </w:rPr>
        <w:fldChar w:fldCharType="separate"/>
      </w:r>
      <w:r w:rsidR="0023082F" w:rsidRPr="00FC06ED">
        <w:rPr>
          <w:rFonts w:ascii="Arial" w:hAnsi="Arial"/>
        </w:rPr>
        <w:t>[</w:t>
      </w:r>
      <w:hyperlink w:anchor="_ENREF_24" w:tooltip="Lerner, 2009 #159" w:history="1">
        <w:r w:rsidR="00F87511" w:rsidRPr="00FC06ED">
          <w:rPr>
            <w:rFonts w:ascii="Arial" w:hAnsi="Arial"/>
          </w:rPr>
          <w:t>24</w:t>
        </w:r>
      </w:hyperlink>
      <w:r w:rsidR="0023082F" w:rsidRPr="00FC06ED">
        <w:rPr>
          <w:rFonts w:ascii="Arial" w:hAnsi="Arial"/>
        </w:rPr>
        <w:t>]</w:t>
      </w:r>
      <w:r w:rsidR="004D40E2" w:rsidRPr="00FC06ED">
        <w:rPr>
          <w:rFonts w:ascii="Arial" w:hAnsi="Arial"/>
        </w:rPr>
        <w:fldChar w:fldCharType="end"/>
      </w:r>
      <w:r w:rsidRPr="00FC06ED">
        <w:rPr>
          <w:rFonts w:ascii="Arial" w:hAnsi="Arial"/>
        </w:rPr>
        <w:t>.</w:t>
      </w:r>
      <w:r w:rsidR="00E472F0" w:rsidRPr="00FC06ED">
        <w:rPr>
          <w:rFonts w:ascii="Arial" w:hAnsi="Arial"/>
        </w:rPr>
        <w:t xml:space="preserve"> Imaging was on a </w:t>
      </w:r>
      <w:r w:rsidR="00E472F0" w:rsidRPr="00FC06ED">
        <w:rPr>
          <w:rStyle w:val="Strong"/>
          <w:rFonts w:ascii="Arial" w:hAnsi="Arial"/>
          <w:b w:val="0"/>
        </w:rPr>
        <w:t>Leica AOBS SP2 confocal imaging system.</w:t>
      </w:r>
    </w:p>
    <w:p w:rsidR="00FC06ED" w:rsidRPr="00FC06ED" w:rsidRDefault="006A6768" w:rsidP="00FC06ED">
      <w:pPr>
        <w:spacing w:before="240" w:line="480" w:lineRule="auto"/>
        <w:jc w:val="both"/>
        <w:rPr>
          <w:rFonts w:ascii="Arial" w:hAnsi="Arial"/>
        </w:rPr>
      </w:pPr>
      <w:r w:rsidRPr="00FC06ED">
        <w:rPr>
          <w:rFonts w:ascii="Arial" w:hAnsi="Arial"/>
          <w:i/>
        </w:rPr>
        <w:t xml:space="preserve">cDNA Generation and Real-Time PCR. </w:t>
      </w:r>
      <w:r w:rsidRPr="00FC06ED">
        <w:rPr>
          <w:rFonts w:ascii="Arial" w:hAnsi="Arial"/>
        </w:rPr>
        <w:t>RNA was extracted from human tissue as described previously</w:t>
      </w:r>
      <w:r w:rsidR="004D40E2" w:rsidRPr="00FC06ED">
        <w:rPr>
          <w:rFonts w:ascii="Arial" w:hAnsi="Arial"/>
        </w:rPr>
        <w:fldChar w:fldCharType="begin">
          <w:fldData xml:space="preserve">PEVuZE5vdGU+PENpdGU+PEF1dGhvcj5QYWxtZXI8L0F1dGhvcj48WWVhcj4yMDA5PC9ZZWFyPjxS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</w:fldData>
        </w:fldChar>
      </w:r>
      <w:r w:rsidR="00F87511" w:rsidRPr="00FC06ED">
        <w:rPr>
          <w:rFonts w:ascii="Arial" w:hAnsi="Arial"/>
        </w:rPr>
        <w:instrText xml:space="preserve"> ADDIN EN.CITE </w:instrText>
      </w:r>
      <w:r w:rsidR="004D40E2" w:rsidRPr="00FC06ED">
        <w:rPr>
          <w:rFonts w:ascii="Arial" w:hAnsi="Arial"/>
        </w:rPr>
        <w:fldChar w:fldCharType="begin">
          <w:fldData xml:space="preserve">PEVuZE5vdGU+PENpdGU+PEF1dGhvcj5QYWxtZXI8L0F1dGhvcj48WWVhcj4yMDA5PC9ZZWFyPjxS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</w:fldData>
        </w:fldChar>
      </w:r>
      <w:r w:rsidR="00F87511" w:rsidRPr="00FC06ED">
        <w:rPr>
          <w:rFonts w:ascii="Arial" w:hAnsi="Arial"/>
        </w:rPr>
        <w:instrText xml:space="preserve"> ADDIN EN.CITE.DATA </w:instrText>
      </w:r>
      <w:r w:rsidR="00B81732" w:rsidRPr="004D40E2">
        <w:rPr>
          <w:rFonts w:ascii="Arial" w:hAnsi="Arial"/>
        </w:rPr>
      </w:r>
      <w:r w:rsidR="004D40E2" w:rsidRPr="00FC06ED">
        <w:rPr>
          <w:rFonts w:ascii="Arial" w:hAnsi="Arial"/>
        </w:rPr>
        <w:fldChar w:fldCharType="end"/>
      </w:r>
      <w:r w:rsidR="00B81732" w:rsidRPr="004D40E2">
        <w:rPr>
          <w:rFonts w:ascii="Arial" w:hAnsi="Arial"/>
        </w:rPr>
      </w:r>
      <w:r w:rsidR="004D40E2" w:rsidRPr="00FC06ED">
        <w:rPr>
          <w:rFonts w:ascii="Arial" w:hAnsi="Arial"/>
        </w:rPr>
        <w:fldChar w:fldCharType="separate"/>
      </w:r>
      <w:r w:rsidR="0023082F" w:rsidRPr="00FC06ED">
        <w:rPr>
          <w:rFonts w:ascii="Arial" w:hAnsi="Arial"/>
          <w:noProof/>
        </w:rPr>
        <w:t>[</w:t>
      </w:r>
      <w:hyperlink w:anchor="_ENREF_22" w:tooltip="Palmer, 2009 #94" w:history="1">
        <w:r w:rsidR="00F87511" w:rsidRPr="00FC06ED">
          <w:rPr>
            <w:rFonts w:ascii="Arial" w:hAnsi="Arial"/>
            <w:noProof/>
          </w:rPr>
          <w:t>22</w:t>
        </w:r>
      </w:hyperlink>
      <w:r w:rsidR="0023082F" w:rsidRPr="00FC06ED">
        <w:rPr>
          <w:rFonts w:ascii="Arial" w:hAnsi="Arial"/>
          <w:noProof/>
        </w:rPr>
        <w:t>]</w:t>
      </w:r>
      <w:r w:rsidR="004D40E2" w:rsidRPr="00FC06ED">
        <w:rPr>
          <w:rFonts w:ascii="Arial" w:hAnsi="Arial"/>
        </w:rPr>
        <w:fldChar w:fldCharType="end"/>
      </w:r>
      <w:r w:rsidRPr="00FC06ED">
        <w:rPr>
          <w:rFonts w:ascii="Arial" w:hAnsi="Arial"/>
        </w:rPr>
        <w:t xml:space="preserve">.  </w:t>
      </w:r>
      <w:r w:rsidR="00FA3157" w:rsidRPr="00FC06ED">
        <w:rPr>
          <w:rFonts w:ascii="Arial" w:hAnsi="Arial"/>
        </w:rPr>
        <w:t>Human brain and m</w:t>
      </w:r>
      <w:r w:rsidR="00BE4ADC">
        <w:rPr>
          <w:rFonts w:ascii="Arial" w:hAnsi="Arial"/>
        </w:rPr>
        <w:t>ouse tissue was homogenized in TRIzol reagent (Invitrogen Life Technologies) according to manufacturer’s instructions.  The RNA was DNase treated (Ambion Inc, Austin, TX) and cDNA generated with RevertAid First Strand cDNA Synthesis Kit (Fermentas, UK).</w:t>
      </w:r>
      <w:r w:rsidR="00BE4ADC">
        <w:rPr>
          <w:rFonts w:ascii="Arial" w:hAnsi="Arial"/>
          <w:i/>
        </w:rPr>
        <w:t xml:space="preserve"> </w:t>
      </w:r>
      <w:r w:rsidR="00BE4ADC">
        <w:rPr>
          <w:rFonts w:ascii="Arial" w:hAnsi="Arial"/>
        </w:rPr>
        <w:t>Multiplex Real-Time PCR was performed</w:t>
      </w:r>
      <w:r w:rsidR="00BE4ADC">
        <w:rPr>
          <w:rFonts w:ascii="Arial" w:hAnsi="Arial" w:cs="Times-Roman"/>
        </w:rPr>
        <w:t xml:space="preserve"> on a Stratagene Mx3000P system (Stratagene, Cedar Creek, TX) </w:t>
      </w:r>
      <w:r w:rsidR="00BE4ADC">
        <w:rPr>
          <w:rFonts w:ascii="Arial" w:hAnsi="Arial"/>
        </w:rPr>
        <w:t>using 18S rRNA (Applied Biosystems, Foster City, CA) and</w:t>
      </w:r>
      <w:r w:rsidR="00BE4ADC">
        <w:rPr>
          <w:rFonts w:ascii="Arial" w:hAnsi="Arial" w:cs="Times-Roman"/>
        </w:rPr>
        <w:t xml:space="preserve"> TaqMan Assay-on-demand probes for </w:t>
      </w:r>
      <w:r w:rsidR="00BE4ADC">
        <w:rPr>
          <w:rFonts w:ascii="Arial" w:hAnsi="Arial" w:cs="Times-Roman"/>
          <w:i/>
        </w:rPr>
        <w:t>Sirt3</w:t>
      </w:r>
      <w:r w:rsidR="00BE4ADC">
        <w:rPr>
          <w:rFonts w:ascii="Arial" w:hAnsi="Arial" w:cs="Times-Roman"/>
        </w:rPr>
        <w:t xml:space="preserve">, </w:t>
      </w:r>
      <w:r w:rsidR="00BE4ADC">
        <w:rPr>
          <w:rFonts w:ascii="Arial" w:hAnsi="Arial" w:cs="Times-Roman"/>
          <w:i/>
        </w:rPr>
        <w:t xml:space="preserve">Eno2 </w:t>
      </w:r>
      <w:r w:rsidR="00BE4ADC">
        <w:rPr>
          <w:rFonts w:ascii="Arial" w:hAnsi="Arial" w:cs="Times-Roman"/>
        </w:rPr>
        <w:t>and</w:t>
      </w:r>
      <w:r w:rsidR="00BE4ADC">
        <w:rPr>
          <w:rFonts w:ascii="Arial" w:hAnsi="Arial" w:cs="Times-Roman"/>
          <w:i/>
        </w:rPr>
        <w:t xml:space="preserve"> Sirt5</w:t>
      </w:r>
      <w:r w:rsidR="00BE4ADC">
        <w:rPr>
          <w:rFonts w:ascii="Arial" w:hAnsi="Arial" w:cs="Times-Roman"/>
        </w:rPr>
        <w:t xml:space="preserve"> (</w:t>
      </w:r>
      <w:r w:rsidR="00BE4ADC">
        <w:rPr>
          <w:rFonts w:ascii="Arial" w:hAnsi="Arial" w:cs="Times-Roman"/>
          <w:i/>
        </w:rPr>
        <w:t>Sirt3</w:t>
      </w:r>
      <w:r w:rsidR="00BE4ADC">
        <w:rPr>
          <w:rFonts w:ascii="Arial" w:hAnsi="Arial" w:cs="Times-Roman"/>
        </w:rPr>
        <w:t xml:space="preserve">: Rn01501410_m1, </w:t>
      </w:r>
      <w:r w:rsidR="00BE4ADC">
        <w:rPr>
          <w:rFonts w:ascii="Arial" w:hAnsi="Arial"/>
        </w:rPr>
        <w:t xml:space="preserve">Hs00202030_m1 and Mm00452129_m1, </w:t>
      </w:r>
      <w:r w:rsidR="00BE4ADC">
        <w:rPr>
          <w:rFonts w:ascii="Arial" w:hAnsi="Arial"/>
          <w:i/>
        </w:rPr>
        <w:t>Eno2</w:t>
      </w:r>
      <w:r w:rsidR="00BE4ADC">
        <w:rPr>
          <w:rFonts w:ascii="Arial" w:hAnsi="Arial"/>
        </w:rPr>
        <w:t xml:space="preserve">: Hs00157360_m1, </w:t>
      </w:r>
      <w:r w:rsidR="00BE4ADC">
        <w:rPr>
          <w:rFonts w:ascii="Arial" w:hAnsi="Arial"/>
          <w:i/>
        </w:rPr>
        <w:t>Sirt5</w:t>
      </w:r>
      <w:r w:rsidR="00BE4ADC">
        <w:rPr>
          <w:rFonts w:ascii="Arial" w:hAnsi="Arial"/>
        </w:rPr>
        <w:t xml:space="preserve">: Rn01450559_m1 and Mm01351576_m1; Applied Biosystems, Foster City, CA). </w:t>
      </w:r>
      <w:r w:rsidR="00FC06ED" w:rsidRPr="00FC06ED">
        <w:rPr>
          <w:rFonts w:ascii="Arial" w:hAnsi="Arial"/>
        </w:rPr>
        <w:t>To</w:t>
      </w:r>
      <w:r w:rsidR="00FC06ED">
        <w:rPr>
          <w:rFonts w:ascii="Arial" w:hAnsi="Arial"/>
        </w:rPr>
        <w:t xml:space="preserve"> analyse the expression of long-</w:t>
      </w:r>
      <w:r w:rsidR="00FC06ED" w:rsidRPr="00FC06ED">
        <w:rPr>
          <w:rFonts w:ascii="Arial" w:hAnsi="Arial"/>
        </w:rPr>
        <w:t xml:space="preserve">form Sirt3 and </w:t>
      </w:r>
      <w:r w:rsidR="00DB3B35">
        <w:rPr>
          <w:rFonts w:ascii="Arial" w:hAnsi="Arial"/>
        </w:rPr>
        <w:t>short-form Sirt3</w:t>
      </w:r>
      <w:r w:rsidR="00FC06ED" w:rsidRPr="00FC06ED">
        <w:rPr>
          <w:rFonts w:ascii="Arial" w:hAnsi="Arial"/>
        </w:rPr>
        <w:t xml:space="preserve"> specifically, TaqMan probes were designed using the Custom TaqMan Assay Design Tool (Applied Biosystems). The amplicon sequence began just upstream of exon 2, either lacking (for long form Sirt3) or including (for </w:t>
      </w:r>
      <w:r w:rsidR="00DB3B35">
        <w:rPr>
          <w:rFonts w:ascii="Arial" w:hAnsi="Arial"/>
        </w:rPr>
        <w:t>short-form Sirt3</w:t>
      </w:r>
      <w:r w:rsidR="00FC06ED" w:rsidRPr="00FC06ED">
        <w:rPr>
          <w:rFonts w:ascii="Arial" w:hAnsi="Arial"/>
        </w:rPr>
        <w:t>) the sequence TGTTACAG – the run of 8bp by which the splice variants differ.</w:t>
      </w:r>
    </w:p>
    <w:p w:rsidR="002D289C" w:rsidRDefault="006A6768" w:rsidP="00FC06ED">
      <w:pPr>
        <w:spacing w:after="120" w:line="480" w:lineRule="auto"/>
        <w:jc w:val="both"/>
        <w:rPr>
          <w:rFonts w:ascii="Arial" w:hAnsi="Arial"/>
        </w:rPr>
      </w:pPr>
      <w:r w:rsidRPr="00FC06ED">
        <w:rPr>
          <w:rFonts w:ascii="Arial" w:hAnsi="Arial"/>
          <w:i/>
        </w:rPr>
        <w:t>In vitro antimycin A and NAC treatment</w:t>
      </w:r>
      <w:r w:rsidRPr="00FC06ED">
        <w:rPr>
          <w:rFonts w:ascii="Arial" w:hAnsi="Arial"/>
        </w:rPr>
        <w:t>. To measure mitochondrial ROS</w:t>
      </w:r>
      <w:r>
        <w:rPr>
          <w:rFonts w:ascii="Arial" w:hAnsi="Arial"/>
        </w:rPr>
        <w:t xml:space="preserve"> production, </w:t>
      </w:r>
      <w:r w:rsidRPr="00186C98">
        <w:rPr>
          <w:rFonts w:ascii="Arial" w:hAnsi="Arial"/>
        </w:rPr>
        <w:t>6</w:t>
      </w:r>
      <w:r>
        <w:rPr>
          <w:rFonts w:ascii="Arial" w:hAnsi="Arial"/>
        </w:rPr>
        <w:t>-</w:t>
      </w:r>
      <w:r w:rsidRPr="00186C98">
        <w:rPr>
          <w:rFonts w:ascii="Arial" w:hAnsi="Arial"/>
        </w:rPr>
        <w:t>day</w:t>
      </w:r>
      <w:r>
        <w:rPr>
          <w:rFonts w:ascii="Arial" w:hAnsi="Arial"/>
        </w:rPr>
        <w:t>-</w:t>
      </w:r>
      <w:r w:rsidRPr="00186C98">
        <w:rPr>
          <w:rFonts w:ascii="Arial" w:hAnsi="Arial"/>
        </w:rPr>
        <w:t xml:space="preserve">old primary hippocampal cultures </w:t>
      </w:r>
      <w:r>
        <w:rPr>
          <w:rFonts w:ascii="Arial" w:hAnsi="Arial"/>
        </w:rPr>
        <w:t>were loaded with MitoSOX (0.5</w:t>
      </w:r>
      <w:r>
        <w:rPr>
          <w:rFonts w:ascii="Arial" w:hAnsi="Arial"/>
        </w:rPr>
        <w:sym w:font="Symbol" w:char="F06D"/>
      </w:r>
      <w:r>
        <w:rPr>
          <w:rFonts w:ascii="Arial" w:hAnsi="Arial"/>
        </w:rPr>
        <w:t xml:space="preserve">M, Invitrogen Life technologies) according to manufacturers instructions. Cultures </w:t>
      </w:r>
      <w:r w:rsidRPr="00186C98">
        <w:rPr>
          <w:rFonts w:ascii="Arial" w:hAnsi="Arial"/>
        </w:rPr>
        <w:t>were</w:t>
      </w:r>
      <w:r>
        <w:rPr>
          <w:rFonts w:ascii="Arial" w:hAnsi="Arial"/>
        </w:rPr>
        <w:t xml:space="preserve"> pretreated with NAC </w:t>
      </w:r>
      <w:r w:rsidRPr="00222947">
        <w:rPr>
          <w:rFonts w:ascii="Arial" w:hAnsi="Arial"/>
        </w:rPr>
        <w:t>(100</w:t>
      </w:r>
      <w:r w:rsidRPr="00222947">
        <w:rPr>
          <w:rFonts w:ascii="Arial" w:hAnsi="Arial"/>
        </w:rPr>
        <w:sym w:font="Symbol" w:char="F06D"/>
      </w:r>
      <w:r w:rsidRPr="00222947">
        <w:rPr>
          <w:rFonts w:ascii="Arial" w:hAnsi="Arial"/>
        </w:rPr>
        <w:t>M, Sigma</w:t>
      </w:r>
      <w:r>
        <w:rPr>
          <w:rFonts w:ascii="Arial" w:hAnsi="Arial"/>
        </w:rPr>
        <w:t xml:space="preserve">) overnight prior to </w:t>
      </w:r>
      <w:r w:rsidRPr="00186C98">
        <w:rPr>
          <w:rFonts w:ascii="Arial" w:hAnsi="Arial"/>
        </w:rPr>
        <w:t>antimycin A (250nM,</w:t>
      </w:r>
      <w:r>
        <w:rPr>
          <w:rFonts w:ascii="Arial" w:hAnsi="Arial"/>
        </w:rPr>
        <w:t xml:space="preserve"> Sigma) treatment in neurobasal medium and images acquired at 0h and 12</w:t>
      </w:r>
      <w:r w:rsidRPr="00186C98">
        <w:rPr>
          <w:rFonts w:ascii="Arial" w:hAnsi="Arial"/>
        </w:rPr>
        <w:t>h</w:t>
      </w:r>
      <w:r>
        <w:rPr>
          <w:rFonts w:ascii="Arial" w:hAnsi="Arial"/>
        </w:rPr>
        <w:t xml:space="preserve"> post-</w:t>
      </w:r>
      <w:r w:rsidRPr="003A2BF9">
        <w:rPr>
          <w:rFonts w:ascii="Arial" w:hAnsi="Arial"/>
        </w:rPr>
        <w:t>treatment. Wi</w:t>
      </w:r>
      <w:r>
        <w:rPr>
          <w:rFonts w:ascii="Arial" w:hAnsi="Arial"/>
        </w:rPr>
        <w:t>de</w:t>
      </w:r>
      <w:r w:rsidRPr="003A2BF9">
        <w:rPr>
          <w:rFonts w:ascii="Arial" w:hAnsi="Arial"/>
        </w:rPr>
        <w:t>-field epifluorescence images were obtained using an Olympus IX-71 inverted microscope (60× Uplan Fluorite objective 0.65-1.25 NA, at maximum aperture) fitted with a CoolSNAP HQ CCD camera (Photometrics, Tucson, AZ) driven by MetaMorph software (Molecular Devices, Sunnyvale, CA). Fluorescence intensity was quantitated in</w:t>
      </w:r>
      <w:r>
        <w:rPr>
          <w:rFonts w:ascii="Arial" w:hAnsi="Arial"/>
        </w:rPr>
        <w:t xml:space="preserve"> </w:t>
      </w:r>
      <w:r>
        <w:rPr>
          <w:rFonts w:ascii="Arial" w:hAnsi="Arial"/>
        </w:rPr>
        <w:sym w:font="Symbol" w:char="F0B3"/>
      </w:r>
      <w:r>
        <w:rPr>
          <w:rFonts w:ascii="Arial" w:hAnsi="Arial"/>
        </w:rPr>
        <w:t xml:space="preserve">50 neurons using ImageJ. </w:t>
      </w:r>
    </w:p>
    <w:p w:rsidR="006A6768" w:rsidRDefault="002D289C" w:rsidP="006A6768">
      <w:pPr>
        <w:spacing w:after="120" w:line="480" w:lineRule="auto"/>
        <w:jc w:val="both"/>
        <w:rPr>
          <w:rFonts w:ascii="Arial" w:hAnsi="Arial"/>
        </w:rPr>
      </w:pPr>
      <w:r w:rsidRPr="002D289C">
        <w:rPr>
          <w:rFonts w:ascii="Arial" w:hAnsi="Arial"/>
          <w:i/>
        </w:rPr>
        <w:t>Neuronal death analysis</w:t>
      </w:r>
      <w:r w:rsidRPr="00E33E02">
        <w:rPr>
          <w:rFonts w:ascii="Arial" w:hAnsi="Arial"/>
        </w:rPr>
        <w:t>. Primary hippocampal cultures expressing lenti-</w:t>
      </w:r>
      <w:r>
        <w:rPr>
          <w:rFonts w:ascii="Arial" w:hAnsi="Arial"/>
        </w:rPr>
        <w:t>mSIRT3i</w:t>
      </w:r>
      <w:r w:rsidRPr="00E33E02">
        <w:rPr>
          <w:rFonts w:ascii="Arial" w:hAnsi="Arial"/>
        </w:rPr>
        <w:t xml:space="preserve">GFP or lenti-GFP were treated with AA (250nM). Time-lapse microscopy was used to acquire images of the cultures at 5 min intervals and </w:t>
      </w:r>
      <w:r w:rsidR="00806950">
        <w:rPr>
          <w:rFonts w:ascii="Arial" w:hAnsi="Arial"/>
        </w:rPr>
        <w:t xml:space="preserve">fluorescent </w:t>
      </w:r>
      <w:r w:rsidRPr="00E33E02">
        <w:rPr>
          <w:rFonts w:ascii="Arial" w:hAnsi="Arial"/>
        </w:rPr>
        <w:t>neuronal death recorded by morphological changes including cell rounding</w:t>
      </w:r>
      <w:r>
        <w:rPr>
          <w:rFonts w:ascii="Arial" w:hAnsi="Arial"/>
        </w:rPr>
        <w:t>. Neuronal death was assessed in 3 separate experiments with analysis of &gt;</w:t>
      </w:r>
      <w:r w:rsidR="00DF647E">
        <w:rPr>
          <w:rFonts w:ascii="Arial" w:hAnsi="Arial"/>
        </w:rPr>
        <w:t>3</w:t>
      </w:r>
      <w:r>
        <w:rPr>
          <w:rFonts w:ascii="Arial" w:hAnsi="Arial"/>
        </w:rPr>
        <w:t>0</w:t>
      </w:r>
      <w:r w:rsidR="00806950">
        <w:rPr>
          <w:rFonts w:ascii="Arial" w:hAnsi="Arial"/>
        </w:rPr>
        <w:t xml:space="preserve"> fluorescent </w:t>
      </w:r>
      <w:r>
        <w:rPr>
          <w:rFonts w:ascii="Arial" w:hAnsi="Arial"/>
        </w:rPr>
        <w:t>neurons/experiment. Data was normalized to control for each experiment.</w:t>
      </w:r>
      <w:r w:rsidR="007C0D6D">
        <w:rPr>
          <w:rFonts w:ascii="Arial" w:hAnsi="Arial"/>
        </w:rPr>
        <w:t xml:space="preserve"> Fig. 2d shows pooled data, Fig.S2d,e shows representative experiment.</w:t>
      </w:r>
    </w:p>
    <w:p w:rsidR="00E20EAB" w:rsidRDefault="00E20EAB" w:rsidP="00E20EAB">
      <w:pPr>
        <w:spacing w:after="120" w:line="480" w:lineRule="auto"/>
        <w:jc w:val="both"/>
        <w:rPr>
          <w:rFonts w:ascii="Arial" w:hAnsi="Arial"/>
        </w:rPr>
      </w:pPr>
      <w:r w:rsidRPr="0092166B">
        <w:rPr>
          <w:rFonts w:ascii="Arial" w:hAnsi="Arial"/>
          <w:i/>
        </w:rPr>
        <w:t>Human brain tissue</w:t>
      </w:r>
      <w:r>
        <w:rPr>
          <w:rFonts w:ascii="Arial" w:hAnsi="Arial"/>
          <w:i/>
        </w:rPr>
        <w:t xml:space="preserve">. </w:t>
      </w:r>
      <w:r w:rsidRPr="0092166B">
        <w:rPr>
          <w:rFonts w:ascii="Arial" w:hAnsi="Arial"/>
        </w:rPr>
        <w:t>Brain tissue was obtained from the Human Tissue Authority</w:t>
      </w:r>
      <w:r>
        <w:rPr>
          <w:rFonts w:ascii="Arial" w:hAnsi="Arial"/>
        </w:rPr>
        <w:t>-</w:t>
      </w:r>
      <w:r w:rsidRPr="0092166B">
        <w:rPr>
          <w:rFonts w:ascii="Arial" w:hAnsi="Arial"/>
        </w:rPr>
        <w:t xml:space="preserve">licensed South West Dementia Brain Bank, University of Bristol, with local Research Ethics Committee approval.  Frozen tissue was dissected from the </w:t>
      </w:r>
      <w:r>
        <w:rPr>
          <w:rFonts w:ascii="Arial" w:hAnsi="Arial"/>
        </w:rPr>
        <w:t>mid</w:t>
      </w:r>
      <w:r w:rsidRPr="0092166B">
        <w:rPr>
          <w:rFonts w:ascii="Arial" w:hAnsi="Arial"/>
        </w:rPr>
        <w:t xml:space="preserve">frontal and temporal </w:t>
      </w:r>
      <w:r w:rsidRPr="00935DFC">
        <w:rPr>
          <w:rFonts w:ascii="Arial" w:hAnsi="Arial"/>
        </w:rPr>
        <w:t>neocortex (Brodmann areas 6 and 22) from 15 AD cases and 15 controls</w:t>
      </w:r>
      <w:r w:rsidRPr="003A48F2">
        <w:rPr>
          <w:rFonts w:ascii="Arial" w:hAnsi="Arial"/>
        </w:rPr>
        <w:t xml:space="preserve"> </w:t>
      </w:r>
      <w:r>
        <w:rPr>
          <w:rFonts w:ascii="Arial" w:hAnsi="Arial"/>
        </w:rPr>
        <w:t>in which transcript stability could be demonstrated with respect to post mortem (PM) delay (See Fig. S</w:t>
      </w:r>
      <w:r w:rsidR="00D53E07">
        <w:rPr>
          <w:rFonts w:ascii="Arial" w:hAnsi="Arial"/>
        </w:rPr>
        <w:t>4</w:t>
      </w:r>
      <w:r>
        <w:rPr>
          <w:rFonts w:ascii="Arial" w:hAnsi="Arial"/>
        </w:rPr>
        <w:t xml:space="preserve">). </w:t>
      </w:r>
      <w:r w:rsidRPr="00935DFC">
        <w:rPr>
          <w:rFonts w:ascii="Arial" w:hAnsi="Arial"/>
        </w:rPr>
        <w:t xml:space="preserve">The AD cases had a diagnosis according to the Consortium to Establish a Registry for Alzheimer’s disease of 'deﬁnite AD' </w:t>
      </w:r>
      <w:r w:rsidR="004D40E2">
        <w:rPr>
          <w:rFonts w:ascii="Arial" w:hAnsi="Arial"/>
        </w:rPr>
        <w:fldChar w:fldCharType="begin"/>
      </w:r>
      <w:r w:rsidR="0023082F">
        <w:rPr>
          <w:rFonts w:ascii="Arial" w:hAnsi="Arial"/>
        </w:rPr>
        <w:instrText xml:space="preserve"> ADDIN EN.CITE &lt;EndNote&gt;&lt;Cite&gt;&lt;Author&gt;Mirra&lt;/Author&gt;&lt;Year&gt;1991&lt;/Year&gt;&lt;RecNum&gt;224&lt;/RecNum&gt;&lt;record&gt;&lt;rec-number&gt;224&lt;/rec-number&gt;&lt;foreign-keys&gt;&lt;key app="EN" db-id="x00aspervaf5fue9s0sp0fwc2f0pd999zeaw"&gt;224&lt;/key&gt;&lt;/foreign-keys&gt;&lt;ref-type name="Journal Article"&gt;17&lt;/ref-type&gt;&lt;contributors&gt;&lt;authors&gt;&lt;author&gt;Mirra, S. S.&lt;/author&gt;&lt;author&gt;Heyman, A.&lt;/author&gt;&lt;author&gt;McKeel, D.&lt;/author&gt;&lt;author&gt;Sumi, S. M.&lt;/author&gt;&lt;author&gt;Crain, B. J.&lt;/author&gt;&lt;author&gt;Brownlee, L. M.&lt;/author&gt;&lt;author&gt;Vogel, F. S.&lt;/author&gt;&lt;author&gt;Hughes, J. P.&lt;/author&gt;&lt;author&gt;van Belle, G.&lt;/author&gt;&lt;author&gt;Berg, L.&lt;/author&gt;&lt;/authors&gt;&lt;/contributors&gt;&lt;auth-address&gt;VA Medical Center, Department of Pathology and Laboratory Medicine, Decatur, GA 30033.&lt;/auth-address&gt;&lt;titles&gt;&lt;title&gt;The Consortium to Establish a Registry for Alzheimer&amp;apos;s Disease (CERAD). Part II. Standardization of the neuropathologic assessment of Alzheimer&amp;apos;s disease&lt;/title&gt;&lt;secondary-title&gt;Neurology&lt;/secondary-title&gt;&lt;/titles&gt;&lt;periodical&gt;&lt;full-title&gt;Neurology&lt;/full-title&gt;&lt;/periodical&gt;&lt;pages&gt;479-86&lt;/pages&gt;&lt;volume&gt;41&lt;/volume&gt;&lt;number&gt;4&lt;/number&gt;&lt;edition&gt;1991/04/01&lt;/edition&gt;&lt;keywords&gt;&lt;keyword&gt;Aged&lt;/keyword&gt;&lt;keyword&gt;Alzheimer Disease/complications/metabolism/*pathology&lt;/keyword&gt;&lt;keyword&gt;Amyloid/metabolism&lt;/keyword&gt;&lt;keyword&gt;Brain/metabolism/*pathology&lt;/keyword&gt;&lt;keyword&gt;Cadaver&lt;/keyword&gt;&lt;keyword&gt;Cognition Disorders/etiology&lt;/keyword&gt;&lt;keyword&gt;Humans&lt;/keyword&gt;&lt;keyword&gt;Reference Values&lt;/keyword&gt;&lt;keyword&gt;*Registries&lt;/keyword&gt;&lt;/keywords&gt;&lt;dates&gt;&lt;year&gt;1991&lt;/year&gt;&lt;pub-dates&gt;&lt;date&gt;Apr&lt;/date&gt;&lt;/pub-dates&gt;&lt;/dates&gt;&lt;isbn&gt;0028-3878 (Print)&amp;#xD;0028-3878 (Linking)&lt;/isbn&gt;&lt;accession-num&gt;2011243&lt;/accession-num&gt;&lt;urls&gt;&lt;related-urls&gt;&lt;url&gt;http://www.ncbi.nlm.nih.gov/entrez/query.fcgi?cmd=Retrieve&amp;amp;db=PubMed&amp;amp;dopt=Citation&amp;amp;list_uids=2011243&lt;/url&gt;&lt;/related-urls&gt;&lt;/urls&gt;&lt;language&gt;eng&lt;/language&gt;&lt;/record&gt;&lt;/Cite&gt;&lt;/EndNote&gt;</w:instrText>
      </w:r>
      <w:r w:rsidR="004D40E2">
        <w:rPr>
          <w:rFonts w:ascii="Arial" w:hAnsi="Arial"/>
        </w:rPr>
        <w:fldChar w:fldCharType="separate"/>
      </w:r>
      <w:r w:rsidR="0023082F">
        <w:rPr>
          <w:rFonts w:ascii="Arial" w:hAnsi="Arial"/>
        </w:rPr>
        <w:t>[</w:t>
      </w:r>
      <w:hyperlink w:anchor="_ENREF_25" w:tooltip="Mirra, 1991 #224" w:history="1">
        <w:r w:rsidR="00F87511">
          <w:rPr>
            <w:rFonts w:ascii="Arial" w:hAnsi="Arial"/>
          </w:rPr>
          <w:t>25</w:t>
        </w:r>
      </w:hyperlink>
      <w:r w:rsidR="0023082F">
        <w:rPr>
          <w:rFonts w:ascii="Arial" w:hAnsi="Arial"/>
        </w:rPr>
        <w:t>]</w:t>
      </w:r>
      <w:r w:rsidR="004D40E2">
        <w:rPr>
          <w:rFonts w:ascii="Arial" w:hAnsi="Arial"/>
        </w:rPr>
        <w:fldChar w:fldCharType="end"/>
      </w:r>
      <w:r w:rsidRPr="00935DFC">
        <w:rPr>
          <w:rFonts w:ascii="Arial" w:hAnsi="Arial"/>
        </w:rPr>
        <w:t xml:space="preserve"> and a Braak tangle stage of IV–VI </w:t>
      </w:r>
      <w:r w:rsidR="004D40E2">
        <w:rPr>
          <w:rFonts w:ascii="Arial" w:hAnsi="Arial"/>
        </w:rPr>
        <w:fldChar w:fldCharType="begin"/>
      </w:r>
      <w:r w:rsidR="0023082F">
        <w:rPr>
          <w:rFonts w:ascii="Arial" w:hAnsi="Arial"/>
        </w:rPr>
        <w:instrText xml:space="preserve"> ADDIN EN.CITE &lt;EndNote&gt;&lt;Cite&gt;&lt;Author&gt;Braak&lt;/Author&gt;&lt;Year&gt;1993&lt;/Year&gt;&lt;RecNum&gt;225&lt;/RecNum&gt;&lt;record&gt;&lt;rec-number&gt;225&lt;/rec-number&gt;&lt;foreign-keys&gt;&lt;key app="EN" db-id="x00aspervaf5fue9s0sp0fwc2f0pd999zeaw"&gt;225&lt;/key&gt;&lt;/foreign-keys&gt;&lt;ref-type name="Journal Article"&gt;17&lt;/ref-type&gt;&lt;contributors&gt;&lt;authors&gt;&lt;author&gt;Braak, H.&lt;/author&gt;&lt;author&gt;Braak, E.&lt;/author&gt;&lt;author&gt;Bohl, J.&lt;/author&gt;&lt;/authors&gt;&lt;/contributors&gt;&lt;auth-address&gt;Department of Anatomy, J.W. Goethe University, Frankfurt, FRG.&lt;/auth-address&gt;&lt;titles&gt;&lt;title&gt;Staging of Alzheimer-related cortical destruction&lt;/title&gt;&lt;secondary-title&gt;Eur Neurol&lt;/secondary-title&gt;&lt;/titles&gt;&lt;periodical&gt;&lt;full-title&gt;Eur Neurol&lt;/full-title&gt;&lt;/periodical&gt;&lt;pages&gt;403-8&lt;/pages&gt;&lt;volume&gt;33&lt;/volume&gt;&lt;number&gt;6&lt;/number&gt;&lt;edition&gt;1993/01/01&lt;/edition&gt;&lt;keywords&gt;&lt;keyword&gt;Aged&lt;/keyword&gt;&lt;keyword&gt;Alzheimer Disease/classification/*pathology&lt;/keyword&gt;&lt;keyword&gt;Brain Mapping&lt;/keyword&gt;&lt;keyword&gt;Cerebral Cortex/*pathology&lt;/keyword&gt;&lt;keyword&gt;Dementia/pathology&lt;/keyword&gt;&lt;keyword&gt;Diagnosis, Differential&lt;/keyword&gt;&lt;keyword&gt;Hippocampus/*pathology&lt;/keyword&gt;&lt;keyword&gt;Humans&lt;/keyword&gt;&lt;keyword&gt;Limbic System/*pathology&lt;/keyword&gt;&lt;keyword&gt;Neurites/pathology&lt;/keyword&gt;&lt;keyword&gt;Neurofibrillary Tangles/*pathology&lt;/keyword&gt;&lt;keyword&gt;Parkinson Disease/pathology&lt;/keyword&gt;&lt;keyword&gt;Supranuclear Palsy, Progressive/pathology&lt;/keyword&gt;&lt;/keywords&gt;&lt;dates&gt;&lt;year&gt;1993&lt;/year&gt;&lt;/dates&gt;&lt;isbn&gt;0014-3022 (Print)&amp;#xD;0014-3022 (Linking)&lt;/isbn&gt;&lt;accession-num&gt;8307060&lt;/accession-num&gt;&lt;urls&gt;&lt;related-urls&gt;&lt;url&gt;http://www.ncbi.nlm.nih.gov/entrez/query.fcgi?cmd=Retrieve&amp;amp;db=PubMed&amp;amp;dopt=Citation&amp;amp;list_uids=8307060&lt;/url&gt;&lt;/related-urls&gt;&lt;/urls&gt;&lt;language&gt;eng&lt;/language&gt;&lt;/record&gt;&lt;/Cite&gt;&lt;/EndNote&gt;</w:instrText>
      </w:r>
      <w:r w:rsidR="004D40E2">
        <w:rPr>
          <w:rFonts w:ascii="Arial" w:hAnsi="Arial"/>
        </w:rPr>
        <w:fldChar w:fldCharType="separate"/>
      </w:r>
      <w:r w:rsidR="0023082F">
        <w:rPr>
          <w:rFonts w:ascii="Arial" w:hAnsi="Arial"/>
        </w:rPr>
        <w:t>[</w:t>
      </w:r>
      <w:hyperlink w:anchor="_ENREF_26" w:tooltip="Braak, 1993 #225" w:history="1">
        <w:r w:rsidR="00F87511">
          <w:rPr>
            <w:rFonts w:ascii="Arial" w:hAnsi="Arial"/>
          </w:rPr>
          <w:t>26</w:t>
        </w:r>
      </w:hyperlink>
      <w:r w:rsidR="0023082F">
        <w:rPr>
          <w:rFonts w:ascii="Arial" w:hAnsi="Arial"/>
        </w:rPr>
        <w:t>]</w:t>
      </w:r>
      <w:r w:rsidR="004D40E2">
        <w:rPr>
          <w:rFonts w:ascii="Arial" w:hAnsi="Arial"/>
        </w:rPr>
        <w:fldChar w:fldCharType="end"/>
      </w:r>
      <w:r w:rsidRPr="00935DFC">
        <w:rPr>
          <w:rFonts w:ascii="Arial" w:hAnsi="Arial"/>
        </w:rPr>
        <w:t>.</w:t>
      </w:r>
      <w:r w:rsidRPr="007D3CE5">
        <w:rPr>
          <w:rFonts w:ascii="Arial" w:hAnsi="Arial"/>
        </w:rPr>
        <w:t xml:space="preserve"> The controls had no history of dementia, few or no neuritic plaques, a Braak tangle stage of III or less, and no other neuropathological abnormalities</w:t>
      </w:r>
      <w:r>
        <w:rPr>
          <w:rFonts w:ascii="Arial" w:hAnsi="Arial"/>
        </w:rPr>
        <w:t xml:space="preserve"> (Table </w:t>
      </w:r>
      <w:r w:rsidR="00D53E07">
        <w:rPr>
          <w:rFonts w:ascii="Arial" w:hAnsi="Arial"/>
        </w:rPr>
        <w:t>S</w:t>
      </w:r>
      <w:r>
        <w:rPr>
          <w:rFonts w:ascii="Arial" w:hAnsi="Arial"/>
        </w:rPr>
        <w:t>1)</w:t>
      </w:r>
      <w:r w:rsidRPr="007D3CE5">
        <w:rPr>
          <w:rFonts w:ascii="Arial" w:hAnsi="Arial"/>
        </w:rPr>
        <w:t>.</w:t>
      </w:r>
      <w:r>
        <w:rPr>
          <w:rFonts w:ascii="Arial" w:hAnsi="Arial"/>
        </w:rPr>
        <w:t xml:space="preserve"> </w:t>
      </w:r>
    </w:p>
    <w:tbl>
      <w:tblPr>
        <w:tblStyle w:val="MediumGrid31"/>
        <w:tblW w:w="8231" w:type="dxa"/>
        <w:tblInd w:w="959" w:type="dxa"/>
        <w:tblLook w:val="0600"/>
      </w:tblPr>
      <w:tblGrid>
        <w:gridCol w:w="2344"/>
        <w:gridCol w:w="1420"/>
        <w:gridCol w:w="1419"/>
        <w:gridCol w:w="1629"/>
        <w:gridCol w:w="1419"/>
      </w:tblGrid>
      <w:tr w:rsidR="00E20EAB">
        <w:tc>
          <w:tcPr>
            <w:tcW w:w="2344" w:type="dxa"/>
            <w:tcBorders>
              <w:bottom w:val="single" w:sz="6" w:space="0" w:color="FFFFFF" w:themeColor="background1"/>
            </w:tcBorders>
          </w:tcPr>
          <w:p w:rsidR="00E20EAB" w:rsidRPr="00091920" w:rsidRDefault="00E20EAB" w:rsidP="00952855">
            <w:pPr>
              <w:spacing w:line="480" w:lineRule="auto"/>
              <w:rPr>
                <w:rFonts w:ascii="Arial" w:hAnsi="Arial"/>
              </w:rPr>
            </w:pPr>
          </w:p>
        </w:tc>
        <w:tc>
          <w:tcPr>
            <w:tcW w:w="1420" w:type="dxa"/>
            <w:tcBorders>
              <w:bottom w:val="single" w:sz="6" w:space="0" w:color="FFFFFF" w:themeColor="background1"/>
            </w:tcBorders>
          </w:tcPr>
          <w:p w:rsidR="00E20EAB" w:rsidRPr="00091920" w:rsidRDefault="00E20EAB" w:rsidP="00952855">
            <w:pPr>
              <w:spacing w:line="480" w:lineRule="auto"/>
              <w:jc w:val="center"/>
              <w:rPr>
                <w:rFonts w:ascii="Arial" w:hAnsi="Arial"/>
                <w:b/>
              </w:rPr>
            </w:pPr>
            <w:r w:rsidRPr="00091920">
              <w:rPr>
                <w:rFonts w:ascii="Arial" w:hAnsi="Arial"/>
                <w:b/>
              </w:rPr>
              <w:t>Age</w:t>
            </w:r>
          </w:p>
        </w:tc>
        <w:tc>
          <w:tcPr>
            <w:tcW w:w="1419" w:type="dxa"/>
            <w:tcBorders>
              <w:bottom w:val="single" w:sz="6" w:space="0" w:color="FFFFFF" w:themeColor="background1"/>
            </w:tcBorders>
          </w:tcPr>
          <w:p w:rsidR="00E20EAB" w:rsidRPr="00091920" w:rsidRDefault="00E20EAB" w:rsidP="00952855">
            <w:pPr>
              <w:spacing w:line="480" w:lineRule="auto"/>
              <w:jc w:val="center"/>
              <w:rPr>
                <w:rFonts w:ascii="Arial" w:hAnsi="Arial"/>
                <w:b/>
              </w:rPr>
            </w:pPr>
            <w:r w:rsidRPr="00091920">
              <w:rPr>
                <w:rFonts w:ascii="Arial" w:hAnsi="Arial"/>
                <w:b/>
              </w:rPr>
              <w:t>Sex</w:t>
            </w:r>
          </w:p>
        </w:tc>
        <w:tc>
          <w:tcPr>
            <w:tcW w:w="1629" w:type="dxa"/>
            <w:tcBorders>
              <w:bottom w:val="single" w:sz="6" w:space="0" w:color="FFFFFF" w:themeColor="background1"/>
            </w:tcBorders>
          </w:tcPr>
          <w:p w:rsidR="00E20EAB" w:rsidRPr="00091920" w:rsidRDefault="00E20EAB" w:rsidP="00952855">
            <w:pPr>
              <w:spacing w:line="480" w:lineRule="auto"/>
              <w:jc w:val="center"/>
              <w:rPr>
                <w:rFonts w:ascii="Arial" w:hAnsi="Arial"/>
                <w:b/>
              </w:rPr>
            </w:pPr>
            <w:r w:rsidRPr="00091920">
              <w:rPr>
                <w:rFonts w:ascii="Arial" w:hAnsi="Arial"/>
                <w:b/>
              </w:rPr>
              <w:t>Braak stage</w:t>
            </w:r>
          </w:p>
        </w:tc>
        <w:tc>
          <w:tcPr>
            <w:tcW w:w="1419" w:type="dxa"/>
            <w:tcBorders>
              <w:bottom w:val="single" w:sz="6" w:space="0" w:color="FFFFFF" w:themeColor="background1"/>
            </w:tcBorders>
          </w:tcPr>
          <w:p w:rsidR="00E20EAB" w:rsidRPr="00091920" w:rsidRDefault="00E20EAB" w:rsidP="00952855">
            <w:pPr>
              <w:spacing w:line="480" w:lineRule="auto"/>
              <w:jc w:val="center"/>
              <w:rPr>
                <w:rFonts w:ascii="Arial" w:hAnsi="Arial"/>
                <w:b/>
              </w:rPr>
            </w:pPr>
            <w:r w:rsidRPr="00091920">
              <w:rPr>
                <w:rFonts w:ascii="Arial" w:hAnsi="Arial"/>
                <w:b/>
              </w:rPr>
              <w:t>PM delay</w:t>
            </w:r>
          </w:p>
        </w:tc>
      </w:tr>
      <w:tr w:rsidR="00E20EAB">
        <w:tc>
          <w:tcPr>
            <w:tcW w:w="2344"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rPr>
                <w:rFonts w:ascii="Arial" w:hAnsi="Arial"/>
                <w:b/>
              </w:rPr>
            </w:pPr>
            <w:r w:rsidRPr="00091920">
              <w:rPr>
                <w:rFonts w:ascii="Arial" w:hAnsi="Arial"/>
                <w:b/>
              </w:rPr>
              <w:t>Control</w:t>
            </w:r>
          </w:p>
        </w:tc>
        <w:tc>
          <w:tcPr>
            <w:tcW w:w="1420"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c>
          <w:tcPr>
            <w:tcW w:w="162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r>
      <w:tr w:rsidR="00E20EAB">
        <w:tc>
          <w:tcPr>
            <w:tcW w:w="2344"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rPr>
                <w:rFonts w:ascii="Arial" w:hAnsi="Arial"/>
              </w:rPr>
            </w:pPr>
            <w:r w:rsidRPr="00091920">
              <w:rPr>
                <w:rFonts w:ascii="Arial" w:hAnsi="Arial"/>
              </w:rPr>
              <w:t xml:space="preserve">     average</w:t>
            </w:r>
            <w:r>
              <w:rPr>
                <w:rFonts w:ascii="Arial" w:hAnsi="Arial"/>
              </w:rPr>
              <w:sym w:font="Symbol" w:char="F0B1"/>
            </w:r>
            <w:r w:rsidRPr="00091920">
              <w:rPr>
                <w:rFonts w:ascii="Arial" w:hAnsi="Arial"/>
              </w:rPr>
              <w:t>SEM</w:t>
            </w:r>
          </w:p>
        </w:tc>
        <w:tc>
          <w:tcPr>
            <w:tcW w:w="1420"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82.3</w:t>
            </w:r>
            <w:r>
              <w:rPr>
                <w:rFonts w:ascii="Arial" w:hAnsi="Arial"/>
              </w:rPr>
              <w:sym w:font="Symbol" w:char="F0B1"/>
            </w:r>
            <w:r>
              <w:rPr>
                <w:rFonts w:ascii="Arial" w:hAnsi="Arial"/>
              </w:rPr>
              <w:t>3.1</w:t>
            </w: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9M 6F</w:t>
            </w:r>
          </w:p>
        </w:tc>
        <w:tc>
          <w:tcPr>
            <w:tcW w:w="162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median=II</w:t>
            </w: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49.8</w:t>
            </w:r>
            <w:r>
              <w:rPr>
                <w:rFonts w:ascii="Arial" w:hAnsi="Arial"/>
              </w:rPr>
              <w:sym w:font="Symbol" w:char="F0B1"/>
            </w:r>
            <w:r>
              <w:rPr>
                <w:rFonts w:ascii="Arial" w:hAnsi="Arial"/>
              </w:rPr>
              <w:t>13.6</w:t>
            </w:r>
          </w:p>
        </w:tc>
      </w:tr>
      <w:tr w:rsidR="00E20EAB">
        <w:trPr>
          <w:trHeight w:val="67"/>
        </w:trPr>
        <w:tc>
          <w:tcPr>
            <w:tcW w:w="2344"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rPr>
                <w:rFonts w:ascii="Arial" w:hAnsi="Arial"/>
              </w:rPr>
            </w:pPr>
            <w:r w:rsidRPr="00091920">
              <w:rPr>
                <w:rFonts w:ascii="Arial" w:hAnsi="Arial"/>
              </w:rPr>
              <w:t xml:space="preserve">     Range</w:t>
            </w:r>
          </w:p>
        </w:tc>
        <w:tc>
          <w:tcPr>
            <w:tcW w:w="1420"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73-94</w:t>
            </w: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c>
          <w:tcPr>
            <w:tcW w:w="162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4C4420">
            <w:pPr>
              <w:spacing w:line="480" w:lineRule="auto"/>
              <w:jc w:val="center"/>
              <w:rPr>
                <w:rFonts w:ascii="Arial" w:hAnsi="Arial"/>
              </w:rPr>
            </w:pPr>
            <w:r>
              <w:rPr>
                <w:rFonts w:ascii="Arial" w:hAnsi="Arial"/>
              </w:rPr>
              <w:t>0-III</w:t>
            </w: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5.5-216</w:t>
            </w:r>
          </w:p>
        </w:tc>
      </w:tr>
      <w:tr w:rsidR="00E20EAB">
        <w:tc>
          <w:tcPr>
            <w:tcW w:w="2344"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rPr>
                <w:rFonts w:ascii="Arial" w:hAnsi="Arial"/>
                <w:b/>
              </w:rPr>
            </w:pPr>
            <w:r w:rsidRPr="00091920">
              <w:rPr>
                <w:rFonts w:ascii="Arial" w:hAnsi="Arial"/>
                <w:b/>
              </w:rPr>
              <w:t>AD</w:t>
            </w:r>
          </w:p>
        </w:tc>
        <w:tc>
          <w:tcPr>
            <w:tcW w:w="1420"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c>
          <w:tcPr>
            <w:tcW w:w="162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r>
      <w:tr w:rsidR="00E20EAB">
        <w:tc>
          <w:tcPr>
            <w:tcW w:w="2344"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rPr>
                <w:rFonts w:ascii="Arial" w:hAnsi="Arial"/>
              </w:rPr>
            </w:pPr>
            <w:r w:rsidRPr="00091920">
              <w:rPr>
                <w:rFonts w:ascii="Arial" w:hAnsi="Arial"/>
              </w:rPr>
              <w:t xml:space="preserve">     average</w:t>
            </w:r>
            <w:r>
              <w:rPr>
                <w:rFonts w:ascii="Arial" w:hAnsi="Arial"/>
              </w:rPr>
              <w:sym w:font="Symbol" w:char="F0B1"/>
            </w:r>
            <w:r w:rsidRPr="00091920">
              <w:rPr>
                <w:rFonts w:ascii="Arial" w:hAnsi="Arial"/>
              </w:rPr>
              <w:t>SEM</w:t>
            </w:r>
          </w:p>
        </w:tc>
        <w:tc>
          <w:tcPr>
            <w:tcW w:w="1420"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82.5</w:t>
            </w:r>
            <w:r>
              <w:rPr>
                <w:rFonts w:ascii="Arial" w:hAnsi="Arial"/>
              </w:rPr>
              <w:sym w:font="Symbol" w:char="F0B1"/>
            </w:r>
            <w:r>
              <w:rPr>
                <w:rFonts w:ascii="Arial" w:hAnsi="Arial"/>
              </w:rPr>
              <w:t>2.3</w:t>
            </w: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7M 8F</w:t>
            </w:r>
          </w:p>
        </w:tc>
        <w:tc>
          <w:tcPr>
            <w:tcW w:w="162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4C4420">
            <w:pPr>
              <w:spacing w:line="480" w:lineRule="auto"/>
              <w:jc w:val="center"/>
              <w:rPr>
                <w:rFonts w:ascii="Arial" w:hAnsi="Arial"/>
              </w:rPr>
            </w:pPr>
            <w:r>
              <w:rPr>
                <w:rFonts w:ascii="Arial" w:hAnsi="Arial"/>
              </w:rPr>
              <w:t>median=IV</w:t>
            </w: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34.1</w:t>
            </w:r>
            <w:r>
              <w:rPr>
                <w:rFonts w:ascii="Arial" w:hAnsi="Arial"/>
              </w:rPr>
              <w:sym w:font="Symbol" w:char="F0B1"/>
            </w:r>
            <w:r>
              <w:rPr>
                <w:rFonts w:ascii="Arial" w:hAnsi="Arial"/>
              </w:rPr>
              <w:t>4.4</w:t>
            </w:r>
          </w:p>
        </w:tc>
      </w:tr>
      <w:tr w:rsidR="00E20EAB">
        <w:tc>
          <w:tcPr>
            <w:tcW w:w="2344"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rPr>
                <w:rFonts w:ascii="Arial" w:hAnsi="Arial"/>
              </w:rPr>
            </w:pPr>
            <w:r w:rsidRPr="00091920">
              <w:rPr>
                <w:rFonts w:ascii="Arial" w:hAnsi="Arial"/>
              </w:rPr>
              <w:t xml:space="preserve">     Range</w:t>
            </w:r>
          </w:p>
        </w:tc>
        <w:tc>
          <w:tcPr>
            <w:tcW w:w="1420"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65-97</w:t>
            </w: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p>
        </w:tc>
        <w:tc>
          <w:tcPr>
            <w:tcW w:w="162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III-VI</w:t>
            </w:r>
          </w:p>
        </w:tc>
        <w:tc>
          <w:tcPr>
            <w:tcW w:w="1419" w:type="dxa"/>
            <w:tcBorders>
              <w:top w:val="single" w:sz="6" w:space="0" w:color="FFFFFF" w:themeColor="background1"/>
              <w:bottom w:val="single" w:sz="6" w:space="0" w:color="FFFFFF" w:themeColor="background1"/>
            </w:tcBorders>
            <w:shd w:val="clear" w:color="auto" w:fill="D9D9D9" w:themeFill="background1" w:themeFillShade="D9"/>
          </w:tcPr>
          <w:p w:rsidR="00E20EAB" w:rsidRPr="00091920" w:rsidRDefault="00E20EAB" w:rsidP="00952855">
            <w:pPr>
              <w:spacing w:line="480" w:lineRule="auto"/>
              <w:jc w:val="center"/>
              <w:rPr>
                <w:rFonts w:ascii="Arial" w:hAnsi="Arial"/>
              </w:rPr>
            </w:pPr>
            <w:r>
              <w:rPr>
                <w:rFonts w:ascii="Arial" w:hAnsi="Arial"/>
              </w:rPr>
              <w:t>4.5-52.3</w:t>
            </w:r>
          </w:p>
        </w:tc>
      </w:tr>
    </w:tbl>
    <w:p w:rsidR="00E20EAB" w:rsidRDefault="00E20EAB" w:rsidP="00E20EAB">
      <w:pPr>
        <w:spacing w:after="120" w:line="480" w:lineRule="auto"/>
        <w:jc w:val="both"/>
        <w:rPr>
          <w:rFonts w:ascii="Arial" w:hAnsi="Arial"/>
        </w:rPr>
      </w:pPr>
    </w:p>
    <w:p w:rsidR="00222947" w:rsidRDefault="00E20EAB" w:rsidP="00E20EAB">
      <w:pPr>
        <w:spacing w:after="120" w:line="480" w:lineRule="auto"/>
        <w:jc w:val="both"/>
        <w:rPr>
          <w:rFonts w:ascii="Arial" w:hAnsi="Arial"/>
        </w:rPr>
      </w:pPr>
      <w:r w:rsidRPr="00C31A3D">
        <w:rPr>
          <w:rFonts w:ascii="Arial" w:hAnsi="Arial"/>
        </w:rPr>
        <w:t xml:space="preserve">Table </w:t>
      </w:r>
      <w:r w:rsidR="00D53E07">
        <w:rPr>
          <w:rFonts w:ascii="Arial" w:hAnsi="Arial"/>
        </w:rPr>
        <w:t>S</w:t>
      </w:r>
      <w:r w:rsidRPr="00C31A3D">
        <w:rPr>
          <w:rFonts w:ascii="Arial" w:hAnsi="Arial"/>
        </w:rPr>
        <w:t>1: Details of human cases studied.</w:t>
      </w:r>
    </w:p>
    <w:p w:rsidR="00222947" w:rsidRDefault="00222947" w:rsidP="00222947">
      <w:pPr>
        <w:spacing w:after="120" w:line="480" w:lineRule="auto"/>
        <w:jc w:val="both"/>
        <w:rPr>
          <w:rFonts w:ascii="Arial" w:hAnsi="Arial"/>
          <w:i/>
        </w:rPr>
      </w:pPr>
      <w:r w:rsidRPr="0092166B">
        <w:rPr>
          <w:rFonts w:ascii="Arial" w:hAnsi="Arial"/>
          <w:i/>
        </w:rPr>
        <w:t>Immunoblotting</w:t>
      </w:r>
      <w:r>
        <w:rPr>
          <w:rFonts w:ascii="Arial" w:hAnsi="Arial"/>
          <w:i/>
        </w:rPr>
        <w:t xml:space="preserve">. </w:t>
      </w:r>
      <w:r w:rsidRPr="0092166B">
        <w:rPr>
          <w:rFonts w:ascii="Arial" w:hAnsi="Arial"/>
        </w:rPr>
        <w:t>Human brain tissue was prepared for immunoblotting by homogeniz</w:t>
      </w:r>
      <w:r>
        <w:rPr>
          <w:rFonts w:ascii="Arial" w:hAnsi="Arial"/>
        </w:rPr>
        <w:t>ation</w:t>
      </w:r>
      <w:r w:rsidRPr="0092166B">
        <w:rPr>
          <w:rFonts w:ascii="Arial" w:hAnsi="Arial"/>
        </w:rPr>
        <w:t xml:space="preserve"> in lysis buffer (100mM NaCl, 10mM Tris pH7.6, 1ng/ml aprotinin, 1nM PMSF, 1% SDS). Protein samples were separated by SDS-PAGE on 12% Tris-HCl gels and membranes were blotted with anti-SIRT3 (1:500, Abgent), anti-tubulin (1:10000, Sigma) and anti-synaptophysin (1:1000, Abcam).</w:t>
      </w:r>
    </w:p>
    <w:p w:rsidR="00E20EAB" w:rsidRPr="00C31A3D" w:rsidRDefault="00E20EAB" w:rsidP="00E20EAB">
      <w:pPr>
        <w:spacing w:after="120" w:line="480" w:lineRule="auto"/>
        <w:jc w:val="both"/>
        <w:rPr>
          <w:rFonts w:ascii="Arial" w:hAnsi="Arial"/>
        </w:rPr>
      </w:pPr>
    </w:p>
    <w:p w:rsidR="00E20EAB" w:rsidRPr="0023082F" w:rsidRDefault="00C31A3D" w:rsidP="00F87511">
      <w:pPr>
        <w:spacing w:line="480" w:lineRule="auto"/>
        <w:jc w:val="both"/>
        <w:outlineLvl w:val="0"/>
        <w:rPr>
          <w:rFonts w:ascii="Arial" w:hAnsi="Arial"/>
          <w:u w:val="single"/>
        </w:rPr>
      </w:pPr>
      <w:r w:rsidRPr="0023082F">
        <w:rPr>
          <w:rFonts w:ascii="Arial" w:hAnsi="Arial"/>
          <w:u w:val="single"/>
        </w:rPr>
        <w:t>Supplemental Reference</w:t>
      </w:r>
      <w:r w:rsidR="00BB1897" w:rsidRPr="0023082F">
        <w:rPr>
          <w:rFonts w:ascii="Arial" w:hAnsi="Arial"/>
          <w:u w:val="single"/>
        </w:rPr>
        <w:t>s</w:t>
      </w:r>
      <w:r w:rsidR="00E20EAB" w:rsidRPr="0023082F">
        <w:rPr>
          <w:rFonts w:ascii="Arial" w:hAnsi="Arial"/>
          <w:u w:val="single"/>
        </w:rPr>
        <w:t xml:space="preserve">: </w:t>
      </w:r>
    </w:p>
    <w:p w:rsidR="00F87511" w:rsidRPr="00F87511" w:rsidRDefault="00F87511" w:rsidP="00F87511">
      <w:pPr>
        <w:spacing w:line="480" w:lineRule="auto"/>
        <w:ind w:left="720" w:hanging="720"/>
        <w:jc w:val="both"/>
        <w:rPr>
          <w:rFonts w:ascii="Arial" w:hAnsi="Arial"/>
          <w:noProof/>
          <w:lang w:val="en-GB"/>
        </w:rPr>
      </w:pPr>
      <w:bookmarkStart w:id="0" w:name="_ENREF_25"/>
      <w:r w:rsidRPr="00F87511">
        <w:rPr>
          <w:rFonts w:ascii="Arial" w:hAnsi="Arial"/>
          <w:noProof/>
          <w:lang w:val="en-GB"/>
        </w:rPr>
        <w:t>25. Mirra SS, Heyman A, McKeel D, Sumi SM, Crain BJ, et al. (1991) The Consortium to Establish a Registry for Alzheimer's Disease (CERAD). Part II. Standardization of the neuropathologic assessment of Alzheimer's disease. Neurology 41: 479-486.</w:t>
      </w:r>
      <w:bookmarkEnd w:id="0"/>
    </w:p>
    <w:p w:rsidR="00F87511" w:rsidRPr="00F87511" w:rsidRDefault="00F87511" w:rsidP="00F87511">
      <w:pPr>
        <w:spacing w:line="480" w:lineRule="auto"/>
        <w:ind w:left="720" w:hanging="720"/>
        <w:jc w:val="both"/>
        <w:rPr>
          <w:rFonts w:ascii="Arial" w:hAnsi="Arial"/>
          <w:noProof/>
          <w:lang w:val="en-GB"/>
        </w:rPr>
      </w:pPr>
      <w:bookmarkStart w:id="1" w:name="_ENREF_26"/>
      <w:r w:rsidRPr="00F87511">
        <w:rPr>
          <w:rFonts w:ascii="Arial" w:hAnsi="Arial"/>
          <w:noProof/>
          <w:lang w:val="en-GB"/>
        </w:rPr>
        <w:t>26. Braak H, Braak E, Bohl J (1993) Staging of Alzheimer-related cortical destruction. Eur Neurol 33: 403-408.</w:t>
      </w:r>
      <w:bookmarkEnd w:id="1"/>
    </w:p>
    <w:p w:rsidR="00E20EAB" w:rsidRPr="0023082F" w:rsidRDefault="00E20EAB" w:rsidP="0023082F">
      <w:pPr>
        <w:spacing w:line="480" w:lineRule="auto"/>
        <w:jc w:val="both"/>
        <w:rPr>
          <w:rFonts w:ascii="Arial" w:hAnsi="Arial"/>
          <w:lang w:val="en-GB"/>
        </w:rPr>
      </w:pPr>
    </w:p>
    <w:p w:rsidR="00EC5DB2" w:rsidRPr="00C31A3D" w:rsidRDefault="00EC5DB2" w:rsidP="00DB3B35">
      <w:pPr>
        <w:spacing w:line="480" w:lineRule="auto"/>
        <w:jc w:val="both"/>
        <w:outlineLvl w:val="0"/>
        <w:rPr>
          <w:rFonts w:ascii="Arial" w:hAnsi="Arial"/>
          <w:lang w:val="en-GB"/>
        </w:rPr>
      </w:pPr>
    </w:p>
    <w:sectPr w:rsidR="00EC5DB2" w:rsidRPr="00C31A3D" w:rsidSect="00BE606A">
      <w:headerReference w:type="default" r:id="rId7"/>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6ED" w:rsidRDefault="00FC06ED">
      <w:r>
        <w:separator/>
      </w:r>
    </w:p>
  </w:endnote>
  <w:endnote w:type="continuationSeparator" w:id="0">
    <w:p w:rsidR="00FC06ED" w:rsidRDefault="00FC06E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ED" w:rsidRDefault="004D40E2" w:rsidP="00DC3762">
    <w:pPr>
      <w:pStyle w:val="Footer"/>
      <w:framePr w:wrap="around" w:vAnchor="text" w:hAnchor="margin" w:xAlign="right" w:y="1"/>
      <w:rPr>
        <w:rStyle w:val="PageNumber"/>
      </w:rPr>
    </w:pPr>
    <w:r>
      <w:rPr>
        <w:rStyle w:val="PageNumber"/>
      </w:rPr>
      <w:fldChar w:fldCharType="begin"/>
    </w:r>
    <w:r w:rsidR="00FC06ED">
      <w:rPr>
        <w:rStyle w:val="PageNumber"/>
      </w:rPr>
      <w:instrText xml:space="preserve">PAGE  </w:instrText>
    </w:r>
    <w:r>
      <w:rPr>
        <w:rStyle w:val="PageNumber"/>
      </w:rPr>
      <w:fldChar w:fldCharType="end"/>
    </w:r>
  </w:p>
  <w:p w:rsidR="00FC06ED" w:rsidRDefault="00FC06ED" w:rsidP="008F51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ED" w:rsidRDefault="004D40E2" w:rsidP="00DC3762">
    <w:pPr>
      <w:pStyle w:val="Footer"/>
      <w:framePr w:wrap="around" w:vAnchor="text" w:hAnchor="margin" w:xAlign="right" w:y="1"/>
      <w:rPr>
        <w:rStyle w:val="PageNumber"/>
      </w:rPr>
    </w:pPr>
    <w:r>
      <w:rPr>
        <w:rStyle w:val="PageNumber"/>
      </w:rPr>
      <w:fldChar w:fldCharType="begin"/>
    </w:r>
    <w:r w:rsidR="00FC06ED">
      <w:rPr>
        <w:rStyle w:val="PageNumber"/>
      </w:rPr>
      <w:instrText xml:space="preserve">PAGE  </w:instrText>
    </w:r>
    <w:r>
      <w:rPr>
        <w:rStyle w:val="PageNumber"/>
      </w:rPr>
      <w:fldChar w:fldCharType="separate"/>
    </w:r>
    <w:r w:rsidR="00B81732">
      <w:rPr>
        <w:rStyle w:val="PageNumber"/>
        <w:noProof/>
      </w:rPr>
      <w:t>1</w:t>
    </w:r>
    <w:r>
      <w:rPr>
        <w:rStyle w:val="PageNumber"/>
      </w:rPr>
      <w:fldChar w:fldCharType="end"/>
    </w:r>
  </w:p>
  <w:p w:rsidR="00FC06ED" w:rsidRDefault="00FC06ED" w:rsidP="008F51F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6ED" w:rsidRDefault="00FC06ED">
      <w:r>
        <w:separator/>
      </w:r>
    </w:p>
  </w:footnote>
  <w:footnote w:type="continuationSeparator" w:id="0">
    <w:p w:rsidR="00FC06ED" w:rsidRDefault="00FC06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ED" w:rsidRPr="007042E7" w:rsidRDefault="00FC06ED" w:rsidP="007042E7">
    <w:pPr>
      <w:pStyle w:val="Header"/>
      <w:jc w:val="right"/>
      <w:rPr>
        <w:rFonts w:ascii="Arial" w:hAnsi="Arial"/>
        <w:color w:val="BFBFBF" w:themeColor="background1" w:themeShade="BF"/>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DFA"/>
    <w:multiLevelType w:val="multilevel"/>
    <w:tmpl w:val="0534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E5C6F"/>
    <w:multiLevelType w:val="multilevel"/>
    <w:tmpl w:val="BFE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F4C1C"/>
    <w:multiLevelType w:val="hybridMultilevel"/>
    <w:tmpl w:val="2DAA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249D0"/>
    <w:multiLevelType w:val="multilevel"/>
    <w:tmpl w:val="0886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462A5"/>
    <w:multiLevelType w:val="multilevel"/>
    <w:tmpl w:val="37F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592fp0qd502tetweq5wrrvz50zae9edz5e&quot;&gt;Sirt3&lt;record-ids&gt;&lt;item&gt;4&lt;/item&gt;&lt;item&gt;6&lt;/item&gt;&lt;item&gt;12&lt;/item&gt;&lt;item&gt;15&lt;/item&gt;&lt;item&gt;17&lt;/item&gt;&lt;item&gt;33&lt;/item&gt;&lt;item&gt;93&lt;/item&gt;&lt;item&gt;94&lt;/item&gt;&lt;item&gt;162&lt;/item&gt;&lt;item&gt;168&lt;/item&gt;&lt;item&gt;169&lt;/item&gt;&lt;item&gt;172&lt;/item&gt;&lt;item&gt;173&lt;/item&gt;&lt;item&gt;174&lt;/item&gt;&lt;item&gt;183&lt;/item&gt;&lt;item&gt;184&lt;/item&gt;&lt;item&gt;188&lt;/item&gt;&lt;item&gt;251&lt;/item&gt;&lt;/record-ids&gt;&lt;/item&gt;&lt;/Libraries&gt;"/>
  </w:docVars>
  <w:rsids>
    <w:rsidRoot w:val="009F033D"/>
    <w:rsid w:val="00004A42"/>
    <w:rsid w:val="000070A5"/>
    <w:rsid w:val="000114B7"/>
    <w:rsid w:val="00013BA8"/>
    <w:rsid w:val="00015937"/>
    <w:rsid w:val="00031F69"/>
    <w:rsid w:val="000420F1"/>
    <w:rsid w:val="00042D37"/>
    <w:rsid w:val="000458B9"/>
    <w:rsid w:val="0006156F"/>
    <w:rsid w:val="00071990"/>
    <w:rsid w:val="000762DD"/>
    <w:rsid w:val="000848CF"/>
    <w:rsid w:val="00085C07"/>
    <w:rsid w:val="000964D0"/>
    <w:rsid w:val="000A1C23"/>
    <w:rsid w:val="000A518D"/>
    <w:rsid w:val="000B5EE2"/>
    <w:rsid w:val="000D086A"/>
    <w:rsid w:val="000D13B9"/>
    <w:rsid w:val="000E2091"/>
    <w:rsid w:val="000E6867"/>
    <w:rsid w:val="000F0C16"/>
    <w:rsid w:val="000F47C0"/>
    <w:rsid w:val="00100D39"/>
    <w:rsid w:val="00117B5C"/>
    <w:rsid w:val="001213FB"/>
    <w:rsid w:val="001240D0"/>
    <w:rsid w:val="00127EFB"/>
    <w:rsid w:val="00132F44"/>
    <w:rsid w:val="00135908"/>
    <w:rsid w:val="001509F2"/>
    <w:rsid w:val="00151796"/>
    <w:rsid w:val="00155BD3"/>
    <w:rsid w:val="00157336"/>
    <w:rsid w:val="001721F1"/>
    <w:rsid w:val="00176830"/>
    <w:rsid w:val="00182F43"/>
    <w:rsid w:val="0018325F"/>
    <w:rsid w:val="00186C98"/>
    <w:rsid w:val="00196191"/>
    <w:rsid w:val="001C1490"/>
    <w:rsid w:val="001C157C"/>
    <w:rsid w:val="001C48BE"/>
    <w:rsid w:val="001C510F"/>
    <w:rsid w:val="001D24CC"/>
    <w:rsid w:val="001E0834"/>
    <w:rsid w:val="001E6B16"/>
    <w:rsid w:val="001F1AE0"/>
    <w:rsid w:val="00200113"/>
    <w:rsid w:val="00201702"/>
    <w:rsid w:val="00213AA3"/>
    <w:rsid w:val="00222947"/>
    <w:rsid w:val="00222C6A"/>
    <w:rsid w:val="0022581B"/>
    <w:rsid w:val="0023082F"/>
    <w:rsid w:val="00230BD2"/>
    <w:rsid w:val="0023625D"/>
    <w:rsid w:val="00236402"/>
    <w:rsid w:val="00245F44"/>
    <w:rsid w:val="0025198E"/>
    <w:rsid w:val="002563EB"/>
    <w:rsid w:val="0026088B"/>
    <w:rsid w:val="00265E76"/>
    <w:rsid w:val="002662EF"/>
    <w:rsid w:val="00272335"/>
    <w:rsid w:val="00280434"/>
    <w:rsid w:val="002848BD"/>
    <w:rsid w:val="0029154D"/>
    <w:rsid w:val="0029208A"/>
    <w:rsid w:val="00292CDD"/>
    <w:rsid w:val="002938B4"/>
    <w:rsid w:val="002942E2"/>
    <w:rsid w:val="002A1349"/>
    <w:rsid w:val="002A13D2"/>
    <w:rsid w:val="002A3D70"/>
    <w:rsid w:val="002A3DA2"/>
    <w:rsid w:val="002B1EFB"/>
    <w:rsid w:val="002C03A6"/>
    <w:rsid w:val="002C7562"/>
    <w:rsid w:val="002D289C"/>
    <w:rsid w:val="002D3272"/>
    <w:rsid w:val="002D6AF2"/>
    <w:rsid w:val="002E13BB"/>
    <w:rsid w:val="002E3E3F"/>
    <w:rsid w:val="002F06E6"/>
    <w:rsid w:val="0030145A"/>
    <w:rsid w:val="0030455E"/>
    <w:rsid w:val="00306EA3"/>
    <w:rsid w:val="00321D8B"/>
    <w:rsid w:val="00332BBB"/>
    <w:rsid w:val="00340B18"/>
    <w:rsid w:val="00351795"/>
    <w:rsid w:val="00352137"/>
    <w:rsid w:val="003565DD"/>
    <w:rsid w:val="003632D0"/>
    <w:rsid w:val="003778CA"/>
    <w:rsid w:val="00383F73"/>
    <w:rsid w:val="0038649B"/>
    <w:rsid w:val="0039469B"/>
    <w:rsid w:val="00395ACD"/>
    <w:rsid w:val="00396C56"/>
    <w:rsid w:val="003A2BF9"/>
    <w:rsid w:val="003A48F2"/>
    <w:rsid w:val="003A7F96"/>
    <w:rsid w:val="003B1A8B"/>
    <w:rsid w:val="003B4DC8"/>
    <w:rsid w:val="003B6BF1"/>
    <w:rsid w:val="003C1224"/>
    <w:rsid w:val="003C68BC"/>
    <w:rsid w:val="003D0CFE"/>
    <w:rsid w:val="003D1F50"/>
    <w:rsid w:val="003E4588"/>
    <w:rsid w:val="003F0CA1"/>
    <w:rsid w:val="003F2C6B"/>
    <w:rsid w:val="00405A38"/>
    <w:rsid w:val="004068B4"/>
    <w:rsid w:val="00410DAF"/>
    <w:rsid w:val="00411A81"/>
    <w:rsid w:val="004234E1"/>
    <w:rsid w:val="00424744"/>
    <w:rsid w:val="00426B19"/>
    <w:rsid w:val="00437D48"/>
    <w:rsid w:val="00443551"/>
    <w:rsid w:val="00443F74"/>
    <w:rsid w:val="00444C20"/>
    <w:rsid w:val="00447721"/>
    <w:rsid w:val="00450364"/>
    <w:rsid w:val="004538AA"/>
    <w:rsid w:val="004627D3"/>
    <w:rsid w:val="004666F7"/>
    <w:rsid w:val="004728FA"/>
    <w:rsid w:val="00481421"/>
    <w:rsid w:val="00486C33"/>
    <w:rsid w:val="00490EED"/>
    <w:rsid w:val="00491948"/>
    <w:rsid w:val="004A192F"/>
    <w:rsid w:val="004A5A57"/>
    <w:rsid w:val="004B0F0D"/>
    <w:rsid w:val="004B77DB"/>
    <w:rsid w:val="004C4420"/>
    <w:rsid w:val="004C5ACE"/>
    <w:rsid w:val="004D40E2"/>
    <w:rsid w:val="004D4EEF"/>
    <w:rsid w:val="004E00B7"/>
    <w:rsid w:val="00517FCD"/>
    <w:rsid w:val="0052581E"/>
    <w:rsid w:val="005258EF"/>
    <w:rsid w:val="00526BA2"/>
    <w:rsid w:val="0053315F"/>
    <w:rsid w:val="00534287"/>
    <w:rsid w:val="00542267"/>
    <w:rsid w:val="00545948"/>
    <w:rsid w:val="005501C9"/>
    <w:rsid w:val="00551EF8"/>
    <w:rsid w:val="005530E7"/>
    <w:rsid w:val="00556872"/>
    <w:rsid w:val="00557BC7"/>
    <w:rsid w:val="005607F4"/>
    <w:rsid w:val="00563BA0"/>
    <w:rsid w:val="00572833"/>
    <w:rsid w:val="005735D9"/>
    <w:rsid w:val="00573946"/>
    <w:rsid w:val="005804A6"/>
    <w:rsid w:val="00590204"/>
    <w:rsid w:val="00594FD5"/>
    <w:rsid w:val="00597ADA"/>
    <w:rsid w:val="005B0EDF"/>
    <w:rsid w:val="005B19F1"/>
    <w:rsid w:val="005B1BDA"/>
    <w:rsid w:val="005B2BFD"/>
    <w:rsid w:val="005C0BAB"/>
    <w:rsid w:val="005C66DF"/>
    <w:rsid w:val="005D43FE"/>
    <w:rsid w:val="005D5AE6"/>
    <w:rsid w:val="00603A76"/>
    <w:rsid w:val="006054F4"/>
    <w:rsid w:val="00605781"/>
    <w:rsid w:val="00605AD8"/>
    <w:rsid w:val="00613539"/>
    <w:rsid w:val="00626E97"/>
    <w:rsid w:val="006304D0"/>
    <w:rsid w:val="00631A39"/>
    <w:rsid w:val="006424FC"/>
    <w:rsid w:val="00644681"/>
    <w:rsid w:val="0065364B"/>
    <w:rsid w:val="006551BA"/>
    <w:rsid w:val="00661925"/>
    <w:rsid w:val="006629E3"/>
    <w:rsid w:val="0068611D"/>
    <w:rsid w:val="006A6768"/>
    <w:rsid w:val="006B1DA3"/>
    <w:rsid w:val="006B32B2"/>
    <w:rsid w:val="006C2E3C"/>
    <w:rsid w:val="006C53BB"/>
    <w:rsid w:val="006D0A80"/>
    <w:rsid w:val="006D0EFD"/>
    <w:rsid w:val="006D7D4C"/>
    <w:rsid w:val="006E4F10"/>
    <w:rsid w:val="006F1001"/>
    <w:rsid w:val="007042E7"/>
    <w:rsid w:val="00706F8C"/>
    <w:rsid w:val="00711A6F"/>
    <w:rsid w:val="00714E00"/>
    <w:rsid w:val="00732CD9"/>
    <w:rsid w:val="007555FE"/>
    <w:rsid w:val="00774FB8"/>
    <w:rsid w:val="00784E9E"/>
    <w:rsid w:val="007852B0"/>
    <w:rsid w:val="007877B5"/>
    <w:rsid w:val="007952A5"/>
    <w:rsid w:val="00797F03"/>
    <w:rsid w:val="007A0904"/>
    <w:rsid w:val="007A672E"/>
    <w:rsid w:val="007C0D6D"/>
    <w:rsid w:val="007D044C"/>
    <w:rsid w:val="007D33F3"/>
    <w:rsid w:val="007D3CE5"/>
    <w:rsid w:val="007D57D3"/>
    <w:rsid w:val="007E4207"/>
    <w:rsid w:val="007F4B66"/>
    <w:rsid w:val="008003B6"/>
    <w:rsid w:val="008062BE"/>
    <w:rsid w:val="00806950"/>
    <w:rsid w:val="00815110"/>
    <w:rsid w:val="00816A65"/>
    <w:rsid w:val="00823C12"/>
    <w:rsid w:val="008263A9"/>
    <w:rsid w:val="008359AB"/>
    <w:rsid w:val="00842E32"/>
    <w:rsid w:val="0084325B"/>
    <w:rsid w:val="00844EE4"/>
    <w:rsid w:val="00857347"/>
    <w:rsid w:val="00870996"/>
    <w:rsid w:val="00871A80"/>
    <w:rsid w:val="00871FEC"/>
    <w:rsid w:val="0088205F"/>
    <w:rsid w:val="008833FD"/>
    <w:rsid w:val="00884A5D"/>
    <w:rsid w:val="00885207"/>
    <w:rsid w:val="00887905"/>
    <w:rsid w:val="00892F77"/>
    <w:rsid w:val="008A3536"/>
    <w:rsid w:val="008B3EC4"/>
    <w:rsid w:val="008B5D67"/>
    <w:rsid w:val="008C219A"/>
    <w:rsid w:val="008E4813"/>
    <w:rsid w:val="008E4AD2"/>
    <w:rsid w:val="008F51FB"/>
    <w:rsid w:val="00901DAE"/>
    <w:rsid w:val="00901E26"/>
    <w:rsid w:val="00903DFB"/>
    <w:rsid w:val="00920A67"/>
    <w:rsid w:val="0092166B"/>
    <w:rsid w:val="00922648"/>
    <w:rsid w:val="009228FF"/>
    <w:rsid w:val="00930906"/>
    <w:rsid w:val="00935AC4"/>
    <w:rsid w:val="00935DFC"/>
    <w:rsid w:val="009374CB"/>
    <w:rsid w:val="00937D96"/>
    <w:rsid w:val="00937ED8"/>
    <w:rsid w:val="00951294"/>
    <w:rsid w:val="009523A7"/>
    <w:rsid w:val="00952855"/>
    <w:rsid w:val="009577A7"/>
    <w:rsid w:val="00964EE0"/>
    <w:rsid w:val="00975B7B"/>
    <w:rsid w:val="00977A37"/>
    <w:rsid w:val="009802F9"/>
    <w:rsid w:val="0098345B"/>
    <w:rsid w:val="00993E07"/>
    <w:rsid w:val="009A05ED"/>
    <w:rsid w:val="009A54A1"/>
    <w:rsid w:val="009A62A9"/>
    <w:rsid w:val="009B0B3E"/>
    <w:rsid w:val="009B2319"/>
    <w:rsid w:val="009B2EC7"/>
    <w:rsid w:val="009B7249"/>
    <w:rsid w:val="009D01F7"/>
    <w:rsid w:val="009E117B"/>
    <w:rsid w:val="009E2DD8"/>
    <w:rsid w:val="009E7430"/>
    <w:rsid w:val="009F033D"/>
    <w:rsid w:val="009F50B7"/>
    <w:rsid w:val="009F5C3B"/>
    <w:rsid w:val="00A006FF"/>
    <w:rsid w:val="00A02C5D"/>
    <w:rsid w:val="00A260C1"/>
    <w:rsid w:val="00A314C8"/>
    <w:rsid w:val="00A33D83"/>
    <w:rsid w:val="00A35752"/>
    <w:rsid w:val="00A563B4"/>
    <w:rsid w:val="00A64DB3"/>
    <w:rsid w:val="00A74913"/>
    <w:rsid w:val="00A77C24"/>
    <w:rsid w:val="00A81A1C"/>
    <w:rsid w:val="00AA02AB"/>
    <w:rsid w:val="00AA7253"/>
    <w:rsid w:val="00AC70B2"/>
    <w:rsid w:val="00AC715B"/>
    <w:rsid w:val="00AD0CB7"/>
    <w:rsid w:val="00AD6C12"/>
    <w:rsid w:val="00AD709E"/>
    <w:rsid w:val="00AD72A1"/>
    <w:rsid w:val="00AE1C65"/>
    <w:rsid w:val="00AE49C8"/>
    <w:rsid w:val="00AE5027"/>
    <w:rsid w:val="00AE6028"/>
    <w:rsid w:val="00AF19C0"/>
    <w:rsid w:val="00AF327E"/>
    <w:rsid w:val="00B04F4A"/>
    <w:rsid w:val="00B119B0"/>
    <w:rsid w:val="00B119D7"/>
    <w:rsid w:val="00B224AA"/>
    <w:rsid w:val="00B343A7"/>
    <w:rsid w:val="00B4796E"/>
    <w:rsid w:val="00B5331C"/>
    <w:rsid w:val="00B61092"/>
    <w:rsid w:val="00B61F87"/>
    <w:rsid w:val="00B81732"/>
    <w:rsid w:val="00B87484"/>
    <w:rsid w:val="00B87D06"/>
    <w:rsid w:val="00B960F0"/>
    <w:rsid w:val="00BA1790"/>
    <w:rsid w:val="00BA6C2F"/>
    <w:rsid w:val="00BB1897"/>
    <w:rsid w:val="00BB2ACC"/>
    <w:rsid w:val="00BB7735"/>
    <w:rsid w:val="00BB780A"/>
    <w:rsid w:val="00BC52EF"/>
    <w:rsid w:val="00BD6282"/>
    <w:rsid w:val="00BE3F12"/>
    <w:rsid w:val="00BE4ADC"/>
    <w:rsid w:val="00BE606A"/>
    <w:rsid w:val="00BF586B"/>
    <w:rsid w:val="00C056B6"/>
    <w:rsid w:val="00C07155"/>
    <w:rsid w:val="00C079B2"/>
    <w:rsid w:val="00C1129C"/>
    <w:rsid w:val="00C14CF0"/>
    <w:rsid w:val="00C15C31"/>
    <w:rsid w:val="00C27521"/>
    <w:rsid w:val="00C31A3D"/>
    <w:rsid w:val="00C323FE"/>
    <w:rsid w:val="00C371FC"/>
    <w:rsid w:val="00C402FD"/>
    <w:rsid w:val="00C40630"/>
    <w:rsid w:val="00C43871"/>
    <w:rsid w:val="00C47CFA"/>
    <w:rsid w:val="00C526D6"/>
    <w:rsid w:val="00C53926"/>
    <w:rsid w:val="00C821C3"/>
    <w:rsid w:val="00C91382"/>
    <w:rsid w:val="00C92415"/>
    <w:rsid w:val="00C94C92"/>
    <w:rsid w:val="00C9501C"/>
    <w:rsid w:val="00CA4299"/>
    <w:rsid w:val="00CA5CDE"/>
    <w:rsid w:val="00CB0B69"/>
    <w:rsid w:val="00CB0D4B"/>
    <w:rsid w:val="00CB4032"/>
    <w:rsid w:val="00CB6A3E"/>
    <w:rsid w:val="00CC0D53"/>
    <w:rsid w:val="00CC1662"/>
    <w:rsid w:val="00CC74CB"/>
    <w:rsid w:val="00CD05A3"/>
    <w:rsid w:val="00CD571B"/>
    <w:rsid w:val="00CF190F"/>
    <w:rsid w:val="00CF70BC"/>
    <w:rsid w:val="00D00572"/>
    <w:rsid w:val="00D02499"/>
    <w:rsid w:val="00D03E5A"/>
    <w:rsid w:val="00D154AE"/>
    <w:rsid w:val="00D165A2"/>
    <w:rsid w:val="00D168E7"/>
    <w:rsid w:val="00D31D6F"/>
    <w:rsid w:val="00D31DAC"/>
    <w:rsid w:val="00D35A63"/>
    <w:rsid w:val="00D3718C"/>
    <w:rsid w:val="00D44CB0"/>
    <w:rsid w:val="00D462D9"/>
    <w:rsid w:val="00D53E07"/>
    <w:rsid w:val="00D8548E"/>
    <w:rsid w:val="00D97AD8"/>
    <w:rsid w:val="00DA7B5D"/>
    <w:rsid w:val="00DB3B35"/>
    <w:rsid w:val="00DC3762"/>
    <w:rsid w:val="00DD3806"/>
    <w:rsid w:val="00DD606C"/>
    <w:rsid w:val="00DE1767"/>
    <w:rsid w:val="00DE6240"/>
    <w:rsid w:val="00DF4700"/>
    <w:rsid w:val="00DF647E"/>
    <w:rsid w:val="00E06CF3"/>
    <w:rsid w:val="00E072ED"/>
    <w:rsid w:val="00E11CAB"/>
    <w:rsid w:val="00E205A2"/>
    <w:rsid w:val="00E20EAB"/>
    <w:rsid w:val="00E222A0"/>
    <w:rsid w:val="00E23AC0"/>
    <w:rsid w:val="00E24F27"/>
    <w:rsid w:val="00E266C8"/>
    <w:rsid w:val="00E327E5"/>
    <w:rsid w:val="00E32EBD"/>
    <w:rsid w:val="00E33E02"/>
    <w:rsid w:val="00E40485"/>
    <w:rsid w:val="00E43858"/>
    <w:rsid w:val="00E472F0"/>
    <w:rsid w:val="00E5410A"/>
    <w:rsid w:val="00E548A4"/>
    <w:rsid w:val="00E6361B"/>
    <w:rsid w:val="00E647D4"/>
    <w:rsid w:val="00E756B8"/>
    <w:rsid w:val="00E83670"/>
    <w:rsid w:val="00E836D0"/>
    <w:rsid w:val="00E9273E"/>
    <w:rsid w:val="00EB4FA5"/>
    <w:rsid w:val="00EC5DB2"/>
    <w:rsid w:val="00ED20AE"/>
    <w:rsid w:val="00ED3297"/>
    <w:rsid w:val="00EE75A3"/>
    <w:rsid w:val="00EF21BC"/>
    <w:rsid w:val="00EF36E0"/>
    <w:rsid w:val="00EF3DDB"/>
    <w:rsid w:val="00EF3F4D"/>
    <w:rsid w:val="00F16587"/>
    <w:rsid w:val="00F41C2C"/>
    <w:rsid w:val="00F510AC"/>
    <w:rsid w:val="00F517F5"/>
    <w:rsid w:val="00F51DF7"/>
    <w:rsid w:val="00F54868"/>
    <w:rsid w:val="00F61B50"/>
    <w:rsid w:val="00F6746D"/>
    <w:rsid w:val="00F70AC8"/>
    <w:rsid w:val="00F72A44"/>
    <w:rsid w:val="00F8193C"/>
    <w:rsid w:val="00F8213F"/>
    <w:rsid w:val="00F854C8"/>
    <w:rsid w:val="00F87511"/>
    <w:rsid w:val="00F90BBF"/>
    <w:rsid w:val="00F96495"/>
    <w:rsid w:val="00F96B7A"/>
    <w:rsid w:val="00FA3157"/>
    <w:rsid w:val="00FA5899"/>
    <w:rsid w:val="00FC06ED"/>
    <w:rsid w:val="00FC3068"/>
    <w:rsid w:val="00FC7BF3"/>
    <w:rsid w:val="00FC7EC1"/>
    <w:rsid w:val="00FF6C5B"/>
    <w:rsid w:val="00FF6F51"/>
  </w:rsids>
  <m:mathPr>
    <m:mathFont m:val="Franklin Gothic Book"/>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sdException w:name="Table Grid" w:uiPriority="59"/>
    <w:lsdException w:name="List Paragraph" w:uiPriority="34" w:qFormat="1"/>
  </w:latentStyles>
  <w:style w:type="paragraph" w:default="1" w:styleId="Normal">
    <w:name w:val="Normal"/>
    <w:qFormat/>
    <w:rsid w:val="00760AD7"/>
  </w:style>
  <w:style w:type="paragraph" w:styleId="Heading1">
    <w:name w:val="heading 1"/>
    <w:basedOn w:val="Normal"/>
    <w:next w:val="Normal"/>
    <w:link w:val="Heading1Char"/>
    <w:rsid w:val="007D3C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6D7D4C"/>
    <w:pPr>
      <w:spacing w:beforeLines="1" w:afterLines="1"/>
      <w:outlineLvl w:val="1"/>
    </w:pPr>
    <w:rPr>
      <w:rFonts w:ascii="Times" w:hAnsi="Times"/>
      <w:b/>
      <w:sz w:val="36"/>
      <w:szCs w:val="20"/>
      <w:lang w:val="en-GB"/>
    </w:rPr>
  </w:style>
  <w:style w:type="paragraph" w:styleId="Heading3">
    <w:name w:val="heading 3"/>
    <w:basedOn w:val="Normal"/>
    <w:next w:val="Normal"/>
    <w:link w:val="Heading3Char"/>
    <w:rsid w:val="006D7D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D7D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0B03EB"/>
    <w:rPr>
      <w:rFonts w:ascii="Lucida Grande" w:hAnsi="Lucida Grande"/>
      <w:sz w:val="18"/>
      <w:szCs w:val="18"/>
    </w:rPr>
  </w:style>
  <w:style w:type="character" w:styleId="Hyperlink">
    <w:name w:val="Hyperlink"/>
    <w:basedOn w:val="DefaultParagraphFont"/>
    <w:uiPriority w:val="99"/>
    <w:rsid w:val="008F51FB"/>
    <w:rPr>
      <w:color w:val="0000FF"/>
      <w:u w:val="single"/>
    </w:rPr>
  </w:style>
  <w:style w:type="paragraph" w:styleId="Footer">
    <w:name w:val="footer"/>
    <w:basedOn w:val="Normal"/>
    <w:link w:val="FooterChar"/>
    <w:uiPriority w:val="99"/>
    <w:semiHidden/>
    <w:unhideWhenUsed/>
    <w:rsid w:val="008F51FB"/>
    <w:pPr>
      <w:tabs>
        <w:tab w:val="center" w:pos="4320"/>
        <w:tab w:val="right" w:pos="8640"/>
      </w:tabs>
    </w:pPr>
  </w:style>
  <w:style w:type="character" w:customStyle="1" w:styleId="FooterChar">
    <w:name w:val="Footer Char"/>
    <w:basedOn w:val="DefaultParagraphFont"/>
    <w:link w:val="Footer"/>
    <w:uiPriority w:val="99"/>
    <w:semiHidden/>
    <w:rsid w:val="008F51FB"/>
    <w:rPr>
      <w:sz w:val="24"/>
      <w:szCs w:val="24"/>
    </w:rPr>
  </w:style>
  <w:style w:type="character" w:styleId="PageNumber">
    <w:name w:val="page number"/>
    <w:basedOn w:val="DefaultParagraphFont"/>
    <w:uiPriority w:val="99"/>
    <w:semiHidden/>
    <w:unhideWhenUsed/>
    <w:rsid w:val="008F51FB"/>
  </w:style>
  <w:style w:type="character" w:customStyle="1" w:styleId="Heading2Char">
    <w:name w:val="Heading 2 Char"/>
    <w:basedOn w:val="DefaultParagraphFont"/>
    <w:link w:val="Heading2"/>
    <w:uiPriority w:val="9"/>
    <w:rsid w:val="006D7D4C"/>
    <w:rPr>
      <w:rFonts w:ascii="Times" w:hAnsi="Times"/>
      <w:b/>
      <w:sz w:val="36"/>
      <w:szCs w:val="20"/>
      <w:lang w:val="en-GB"/>
    </w:rPr>
  </w:style>
  <w:style w:type="character" w:customStyle="1" w:styleId="Heading3Char">
    <w:name w:val="Heading 3 Char"/>
    <w:basedOn w:val="DefaultParagraphFont"/>
    <w:link w:val="Heading3"/>
    <w:rsid w:val="006D7D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D7D4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D7D4C"/>
    <w:pPr>
      <w:ind w:left="720"/>
      <w:contextualSpacing/>
    </w:pPr>
  </w:style>
  <w:style w:type="character" w:customStyle="1" w:styleId="text">
    <w:name w:val="text"/>
    <w:basedOn w:val="DefaultParagraphFont"/>
    <w:rsid w:val="006D7D4C"/>
  </w:style>
  <w:style w:type="character" w:customStyle="1" w:styleId="cit-auth">
    <w:name w:val="cit-auth"/>
    <w:basedOn w:val="DefaultParagraphFont"/>
    <w:rsid w:val="006D7D4C"/>
  </w:style>
  <w:style w:type="character" w:customStyle="1" w:styleId="cit-name-surname">
    <w:name w:val="cit-name-surname"/>
    <w:basedOn w:val="DefaultParagraphFont"/>
    <w:rsid w:val="006D7D4C"/>
  </w:style>
  <w:style w:type="character" w:customStyle="1" w:styleId="cit-name-given-names">
    <w:name w:val="cit-name-given-names"/>
    <w:basedOn w:val="DefaultParagraphFont"/>
    <w:rsid w:val="006D7D4C"/>
  </w:style>
  <w:style w:type="character" w:styleId="HTMLCite">
    <w:name w:val="HTML Cite"/>
    <w:basedOn w:val="DefaultParagraphFont"/>
    <w:uiPriority w:val="99"/>
    <w:rsid w:val="006D7D4C"/>
    <w:rPr>
      <w:i/>
    </w:rPr>
  </w:style>
  <w:style w:type="character" w:customStyle="1" w:styleId="cit-pub-date">
    <w:name w:val="cit-pub-date"/>
    <w:basedOn w:val="DefaultParagraphFont"/>
    <w:rsid w:val="006D7D4C"/>
  </w:style>
  <w:style w:type="character" w:customStyle="1" w:styleId="cit-article-title">
    <w:name w:val="cit-article-title"/>
    <w:basedOn w:val="DefaultParagraphFont"/>
    <w:rsid w:val="006D7D4C"/>
  </w:style>
  <w:style w:type="character" w:customStyle="1" w:styleId="cit-publ-name">
    <w:name w:val="cit-publ-name"/>
    <w:basedOn w:val="DefaultParagraphFont"/>
    <w:rsid w:val="006D7D4C"/>
  </w:style>
  <w:style w:type="character" w:customStyle="1" w:styleId="cit-publ-loc">
    <w:name w:val="cit-publ-loc"/>
    <w:basedOn w:val="DefaultParagraphFont"/>
    <w:rsid w:val="006D7D4C"/>
  </w:style>
  <w:style w:type="character" w:styleId="Emphasis">
    <w:name w:val="Emphasis"/>
    <w:basedOn w:val="DefaultParagraphFont"/>
    <w:uiPriority w:val="20"/>
    <w:rsid w:val="006D7D4C"/>
    <w:rPr>
      <w:i/>
    </w:rPr>
  </w:style>
  <w:style w:type="character" w:styleId="FollowedHyperlink">
    <w:name w:val="FollowedHyperlink"/>
    <w:basedOn w:val="DefaultParagraphFont"/>
    <w:uiPriority w:val="99"/>
    <w:unhideWhenUsed/>
    <w:rsid w:val="006D7D4C"/>
    <w:rPr>
      <w:color w:val="800080" w:themeColor="followedHyperlink"/>
      <w:u w:val="single"/>
    </w:rPr>
  </w:style>
  <w:style w:type="character" w:customStyle="1" w:styleId="pubsauthors">
    <w:name w:val="pubsauthors"/>
    <w:basedOn w:val="DefaultParagraphFont"/>
    <w:rsid w:val="006D7D4C"/>
  </w:style>
  <w:style w:type="character" w:customStyle="1" w:styleId="pubstitle">
    <w:name w:val="pubstitle"/>
    <w:basedOn w:val="DefaultParagraphFont"/>
    <w:rsid w:val="006D7D4C"/>
  </w:style>
  <w:style w:type="character" w:customStyle="1" w:styleId="pubsjournal">
    <w:name w:val="pubsjournal"/>
    <w:basedOn w:val="DefaultParagraphFont"/>
    <w:rsid w:val="006D7D4C"/>
  </w:style>
  <w:style w:type="paragraph" w:styleId="NormalWeb">
    <w:name w:val="Normal (Web)"/>
    <w:basedOn w:val="Normal"/>
    <w:uiPriority w:val="99"/>
    <w:rsid w:val="006D7D4C"/>
    <w:pPr>
      <w:spacing w:beforeLines="1" w:afterLines="1"/>
    </w:pPr>
    <w:rPr>
      <w:rFonts w:ascii="Times" w:hAnsi="Times" w:cs="Times New Roman"/>
      <w:sz w:val="20"/>
      <w:szCs w:val="20"/>
      <w:lang w:val="en-GB"/>
    </w:rPr>
  </w:style>
  <w:style w:type="character" w:styleId="CommentReference">
    <w:name w:val="annotation reference"/>
    <w:basedOn w:val="DefaultParagraphFont"/>
    <w:rsid w:val="00157336"/>
    <w:rPr>
      <w:sz w:val="18"/>
      <w:szCs w:val="18"/>
    </w:rPr>
  </w:style>
  <w:style w:type="paragraph" w:styleId="CommentText">
    <w:name w:val="annotation text"/>
    <w:basedOn w:val="Normal"/>
    <w:link w:val="CommentTextChar"/>
    <w:rsid w:val="00157336"/>
  </w:style>
  <w:style w:type="character" w:customStyle="1" w:styleId="CommentTextChar">
    <w:name w:val="Comment Text Char"/>
    <w:basedOn w:val="DefaultParagraphFont"/>
    <w:link w:val="CommentText"/>
    <w:rsid w:val="00157336"/>
  </w:style>
  <w:style w:type="paragraph" w:styleId="CommentSubject">
    <w:name w:val="annotation subject"/>
    <w:basedOn w:val="CommentText"/>
    <w:next w:val="CommentText"/>
    <w:link w:val="CommentSubjectChar"/>
    <w:rsid w:val="00157336"/>
    <w:rPr>
      <w:b/>
      <w:bCs/>
      <w:sz w:val="20"/>
      <w:szCs w:val="20"/>
    </w:rPr>
  </w:style>
  <w:style w:type="character" w:customStyle="1" w:styleId="CommentSubjectChar">
    <w:name w:val="Comment Subject Char"/>
    <w:basedOn w:val="CommentTextChar"/>
    <w:link w:val="CommentSubject"/>
    <w:rsid w:val="00157336"/>
    <w:rPr>
      <w:b/>
      <w:bCs/>
      <w:sz w:val="20"/>
      <w:szCs w:val="20"/>
    </w:rPr>
  </w:style>
  <w:style w:type="paragraph" w:styleId="Revision">
    <w:name w:val="Revision"/>
    <w:hidden/>
    <w:rsid w:val="00816A65"/>
  </w:style>
  <w:style w:type="character" w:customStyle="1" w:styleId="Heading1Char">
    <w:name w:val="Heading 1 Char"/>
    <w:basedOn w:val="DefaultParagraphFont"/>
    <w:link w:val="Heading1"/>
    <w:rsid w:val="007D3CE5"/>
    <w:rPr>
      <w:rFonts w:asciiTheme="majorHAnsi" w:eastAsiaTheme="majorEastAsia" w:hAnsiTheme="majorHAnsi" w:cstheme="majorBidi"/>
      <w:b/>
      <w:bCs/>
      <w:color w:val="345A8A" w:themeColor="accent1" w:themeShade="B5"/>
      <w:sz w:val="32"/>
      <w:szCs w:val="32"/>
    </w:rPr>
  </w:style>
  <w:style w:type="table" w:customStyle="1" w:styleId="MediumGrid31">
    <w:name w:val="Medium Grid 31"/>
    <w:basedOn w:val="TableNormal"/>
    <w:uiPriority w:val="69"/>
    <w:rsid w:val="00CD571B"/>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rsid w:val="00CD571B"/>
    <w:pPr>
      <w:tabs>
        <w:tab w:val="center" w:pos="4320"/>
        <w:tab w:val="right" w:pos="8640"/>
      </w:tabs>
    </w:pPr>
  </w:style>
  <w:style w:type="character" w:customStyle="1" w:styleId="HeaderChar">
    <w:name w:val="Header Char"/>
    <w:basedOn w:val="DefaultParagraphFont"/>
    <w:link w:val="Header"/>
    <w:rsid w:val="00CD571B"/>
  </w:style>
  <w:style w:type="table" w:styleId="TableGrid">
    <w:name w:val="Table Grid"/>
    <w:basedOn w:val="TableNormal"/>
    <w:uiPriority w:val="59"/>
    <w:rsid w:val="003A2B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E472F0"/>
    <w:rPr>
      <w:b/>
    </w:rPr>
  </w:style>
  <w:style w:type="paragraph" w:styleId="DocumentMap">
    <w:name w:val="Document Map"/>
    <w:basedOn w:val="Normal"/>
    <w:link w:val="DocumentMapChar"/>
    <w:rsid w:val="00F87511"/>
    <w:rPr>
      <w:rFonts w:ascii="Lucida Grande" w:hAnsi="Lucida Grande"/>
    </w:rPr>
  </w:style>
  <w:style w:type="character" w:customStyle="1" w:styleId="DocumentMapChar">
    <w:name w:val="Document Map Char"/>
    <w:basedOn w:val="DefaultParagraphFont"/>
    <w:link w:val="DocumentMap"/>
    <w:rsid w:val="00F87511"/>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928076">
      <w:bodyDiv w:val="1"/>
      <w:marLeft w:val="0"/>
      <w:marRight w:val="0"/>
      <w:marTop w:val="0"/>
      <w:marBottom w:val="0"/>
      <w:divBdr>
        <w:top w:val="none" w:sz="0" w:space="0" w:color="auto"/>
        <w:left w:val="none" w:sz="0" w:space="0" w:color="auto"/>
        <w:bottom w:val="none" w:sz="0" w:space="0" w:color="auto"/>
        <w:right w:val="none" w:sz="0" w:space="0" w:color="auto"/>
      </w:divBdr>
    </w:div>
    <w:div w:id="656763822">
      <w:bodyDiv w:val="1"/>
      <w:marLeft w:val="0"/>
      <w:marRight w:val="0"/>
      <w:marTop w:val="0"/>
      <w:marBottom w:val="0"/>
      <w:divBdr>
        <w:top w:val="none" w:sz="0" w:space="0" w:color="auto"/>
        <w:left w:val="none" w:sz="0" w:space="0" w:color="auto"/>
        <w:bottom w:val="none" w:sz="0" w:space="0" w:color="auto"/>
        <w:right w:val="none" w:sz="0" w:space="0" w:color="auto"/>
      </w:divBdr>
    </w:div>
    <w:div w:id="948583195">
      <w:bodyDiv w:val="1"/>
      <w:marLeft w:val="0"/>
      <w:marRight w:val="0"/>
      <w:marTop w:val="0"/>
      <w:marBottom w:val="0"/>
      <w:divBdr>
        <w:top w:val="none" w:sz="0" w:space="0" w:color="auto"/>
        <w:left w:val="none" w:sz="0" w:space="0" w:color="auto"/>
        <w:bottom w:val="none" w:sz="0" w:space="0" w:color="auto"/>
        <w:right w:val="none" w:sz="0" w:space="0" w:color="auto"/>
      </w:divBdr>
      <w:divsChild>
        <w:div w:id="1649358357">
          <w:marLeft w:val="0"/>
          <w:marRight w:val="0"/>
          <w:marTop w:val="0"/>
          <w:marBottom w:val="0"/>
          <w:divBdr>
            <w:top w:val="none" w:sz="0" w:space="0" w:color="auto"/>
            <w:left w:val="none" w:sz="0" w:space="0" w:color="auto"/>
            <w:bottom w:val="none" w:sz="0" w:space="0" w:color="auto"/>
            <w:right w:val="none" w:sz="0" w:space="0" w:color="auto"/>
          </w:divBdr>
        </w:div>
        <w:div w:id="1682928383">
          <w:marLeft w:val="0"/>
          <w:marRight w:val="0"/>
          <w:marTop w:val="0"/>
          <w:marBottom w:val="0"/>
          <w:divBdr>
            <w:top w:val="none" w:sz="0" w:space="0" w:color="auto"/>
            <w:left w:val="none" w:sz="0" w:space="0" w:color="auto"/>
            <w:bottom w:val="none" w:sz="0" w:space="0" w:color="auto"/>
            <w:right w:val="none" w:sz="0" w:space="0" w:color="auto"/>
          </w:divBdr>
        </w:div>
      </w:divsChild>
    </w:div>
    <w:div w:id="1935817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1543</Words>
  <Characters>8799</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Balthasar</dc:creator>
  <cp:keywords/>
  <cp:lastModifiedBy>Heather</cp:lastModifiedBy>
  <cp:revision>4</cp:revision>
  <cp:lastPrinted>2012-05-28T08:27:00Z</cp:lastPrinted>
  <dcterms:created xsi:type="dcterms:W3CDTF">2012-10-10T12:43:00Z</dcterms:created>
  <dcterms:modified xsi:type="dcterms:W3CDTF">2012-10-10T13:03:00Z</dcterms:modified>
</cp:coreProperties>
</file>