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5" w:rsidRPr="007C2B0B" w:rsidRDefault="00E55B13" w:rsidP="00E55B13">
      <w:pPr>
        <w:pStyle w:val="NormalWeb"/>
        <w:spacing w:line="480" w:lineRule="auto"/>
        <w:jc w:val="both"/>
        <w:rPr>
          <w:sz w:val="22"/>
          <w:szCs w:val="22"/>
          <w:lang w:val="en-US"/>
        </w:rPr>
      </w:pPr>
      <w:r w:rsidRPr="007C2B0B">
        <w:rPr>
          <w:rFonts w:ascii="Times New Roman" w:hAnsi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6000241" wp14:editId="096349A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672955" cy="2584450"/>
            <wp:effectExtent l="0" t="0" r="4445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955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304" w:rsidRPr="007C2B0B">
        <w:rPr>
          <w:rFonts w:ascii="Arial" w:hAnsi="Arial" w:cs="Arial"/>
          <w:b/>
          <w:sz w:val="22"/>
          <w:szCs w:val="22"/>
          <w:lang w:val="en-US"/>
        </w:rPr>
        <w:t xml:space="preserve">Figure </w:t>
      </w:r>
      <w:r w:rsidR="00623AA3" w:rsidRPr="007C2B0B">
        <w:rPr>
          <w:rFonts w:ascii="Arial" w:hAnsi="Arial" w:cs="Arial"/>
          <w:b/>
          <w:sz w:val="22"/>
          <w:szCs w:val="22"/>
          <w:lang w:val="en-US"/>
        </w:rPr>
        <w:t>S4</w:t>
      </w:r>
      <w:r w:rsidR="00E02304" w:rsidRPr="007C2B0B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47216F" w:rsidRPr="007C2B0B">
        <w:rPr>
          <w:rFonts w:ascii="Arial" w:hAnsi="Arial" w:cs="Arial"/>
          <w:b/>
          <w:sz w:val="22"/>
          <w:szCs w:val="22"/>
          <w:lang w:val="en-US"/>
        </w:rPr>
        <w:t>Correlations between CF clinical features and CCH-induced short circuit currents following IBMX/</w:t>
      </w:r>
      <w:proofErr w:type="spellStart"/>
      <w:r w:rsidR="0047216F" w:rsidRPr="007C2B0B">
        <w:rPr>
          <w:rFonts w:ascii="Arial" w:hAnsi="Arial" w:cs="Arial"/>
          <w:b/>
          <w:sz w:val="22"/>
          <w:szCs w:val="22"/>
          <w:lang w:val="en-US"/>
        </w:rPr>
        <w:t>Fsk</w:t>
      </w:r>
      <w:proofErr w:type="spellEnd"/>
      <w:r w:rsidR="0047216F" w:rsidRPr="007C2B0B">
        <w:rPr>
          <w:rFonts w:ascii="Arial" w:hAnsi="Arial" w:cs="Arial"/>
          <w:b/>
          <w:sz w:val="22"/>
          <w:szCs w:val="22"/>
          <w:lang w:val="en-US"/>
        </w:rPr>
        <w:t xml:space="preserve"> application (</w:t>
      </w:r>
      <w:proofErr w:type="spellStart"/>
      <w:r w:rsidR="0047216F" w:rsidRPr="007C2B0B">
        <w:rPr>
          <w:rFonts w:ascii="Arial" w:hAnsi="Arial" w:cs="Arial"/>
          <w:b/>
          <w:sz w:val="22"/>
          <w:szCs w:val="22"/>
          <w:lang w:val="en-US"/>
        </w:rPr>
        <w:t>I</w:t>
      </w:r>
      <w:r w:rsidR="0047216F" w:rsidRPr="007C2B0B">
        <w:rPr>
          <w:rFonts w:ascii="Arial" w:hAnsi="Arial" w:cs="Arial"/>
          <w:b/>
          <w:sz w:val="22"/>
          <w:szCs w:val="22"/>
          <w:vertAlign w:val="subscript"/>
          <w:lang w:val="en-US"/>
        </w:rPr>
        <w:t>sc</w:t>
      </w:r>
      <w:proofErr w:type="spellEnd"/>
      <w:r w:rsidR="0047216F" w:rsidRPr="007C2B0B">
        <w:rPr>
          <w:rFonts w:ascii="Arial" w:hAnsi="Arial" w:cs="Arial"/>
          <w:b/>
          <w:sz w:val="22"/>
          <w:szCs w:val="22"/>
          <w:vertAlign w:val="subscript"/>
          <w:lang w:val="en-US"/>
        </w:rPr>
        <w:t>-CCH (IBMX/</w:t>
      </w:r>
      <w:proofErr w:type="spellStart"/>
      <w:r w:rsidR="0047216F" w:rsidRPr="007C2B0B">
        <w:rPr>
          <w:rFonts w:ascii="Arial" w:hAnsi="Arial" w:cs="Arial"/>
          <w:b/>
          <w:sz w:val="22"/>
          <w:szCs w:val="22"/>
          <w:vertAlign w:val="subscript"/>
          <w:lang w:val="en-US"/>
        </w:rPr>
        <w:t>Fsk</w:t>
      </w:r>
      <w:proofErr w:type="spellEnd"/>
      <w:r w:rsidR="0047216F" w:rsidRPr="007C2B0B">
        <w:rPr>
          <w:rFonts w:ascii="Arial" w:hAnsi="Arial" w:cs="Arial"/>
          <w:b/>
          <w:sz w:val="22"/>
          <w:szCs w:val="22"/>
          <w:vertAlign w:val="subscript"/>
          <w:lang w:val="en-US"/>
        </w:rPr>
        <w:t>)</w:t>
      </w:r>
      <w:r w:rsidR="0047216F" w:rsidRPr="007C2B0B">
        <w:rPr>
          <w:rFonts w:ascii="Arial" w:hAnsi="Arial" w:cs="Arial"/>
          <w:b/>
          <w:sz w:val="22"/>
          <w:szCs w:val="22"/>
          <w:lang w:val="en-US"/>
        </w:rPr>
        <w:t xml:space="preserve">). </w:t>
      </w:r>
      <w:r w:rsidR="00EC0934" w:rsidRPr="007C2B0B">
        <w:rPr>
          <w:rFonts w:ascii="Arial" w:hAnsi="Arial" w:cs="Arial"/>
          <w:bCs/>
          <w:sz w:val="22"/>
          <w:szCs w:val="22"/>
          <w:lang w:val="en-GB"/>
        </w:rPr>
        <w:t>Scatter-plot summarizing the distribution</w:t>
      </w:r>
      <w:r w:rsidR="0047216F" w:rsidRPr="007C2B0B">
        <w:rPr>
          <w:rFonts w:ascii="Arial" w:hAnsi="Arial" w:cs="Arial"/>
          <w:bCs/>
          <w:sz w:val="22"/>
          <w:szCs w:val="22"/>
          <w:lang w:val="en-GB"/>
        </w:rPr>
        <w:t xml:space="preserve"> of</w:t>
      </w:r>
      <w:r w:rsidR="00EC0934" w:rsidRPr="007C2B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47216F" w:rsidRPr="007C2B0B">
        <w:rPr>
          <w:rFonts w:ascii="Arial" w:hAnsi="Arial" w:cs="Arial"/>
          <w:sz w:val="22"/>
          <w:szCs w:val="22"/>
          <w:lang w:val="en-US"/>
        </w:rPr>
        <w:t>I</w:t>
      </w:r>
      <w:r w:rsidR="0047216F" w:rsidRPr="007C2B0B">
        <w:rPr>
          <w:rFonts w:ascii="Arial" w:hAnsi="Arial" w:cs="Arial"/>
          <w:sz w:val="22"/>
          <w:szCs w:val="22"/>
          <w:vertAlign w:val="subscript"/>
          <w:lang w:val="en-US"/>
        </w:rPr>
        <w:t>sc</w:t>
      </w:r>
      <w:proofErr w:type="spellEnd"/>
      <w:r w:rsidR="0047216F" w:rsidRPr="007C2B0B">
        <w:rPr>
          <w:rFonts w:ascii="Arial" w:hAnsi="Arial" w:cs="Arial"/>
          <w:sz w:val="22"/>
          <w:szCs w:val="22"/>
          <w:vertAlign w:val="subscript"/>
          <w:lang w:val="en-US"/>
        </w:rPr>
        <w:t>-CCH (IBMX/</w:t>
      </w:r>
      <w:proofErr w:type="spellStart"/>
      <w:r w:rsidR="0047216F" w:rsidRPr="007C2B0B">
        <w:rPr>
          <w:rFonts w:ascii="Arial" w:hAnsi="Arial" w:cs="Arial"/>
          <w:sz w:val="22"/>
          <w:szCs w:val="22"/>
          <w:vertAlign w:val="subscript"/>
          <w:lang w:val="en-US"/>
        </w:rPr>
        <w:t>Fsk</w:t>
      </w:r>
      <w:proofErr w:type="spellEnd"/>
      <w:r w:rsidR="0047216F" w:rsidRPr="007C2B0B">
        <w:rPr>
          <w:rFonts w:ascii="Arial" w:hAnsi="Arial" w:cs="Arial"/>
          <w:sz w:val="22"/>
          <w:szCs w:val="22"/>
          <w:vertAlign w:val="subscript"/>
          <w:lang w:val="en-US"/>
        </w:rPr>
        <w:t xml:space="preserve">) </w:t>
      </w:r>
      <w:r w:rsidR="00EC0934" w:rsidRPr="007C2B0B">
        <w:rPr>
          <w:rFonts w:ascii="Arial" w:hAnsi="Arial" w:cs="Arial"/>
          <w:bCs/>
          <w:sz w:val="22"/>
          <w:szCs w:val="22"/>
          <w:lang w:val="en-GB"/>
        </w:rPr>
        <w:t xml:space="preserve">against </w:t>
      </w:r>
      <w:r w:rsidR="00EC0934" w:rsidRPr="007C2B0B">
        <w:rPr>
          <w:rFonts w:ascii="Arial" w:hAnsi="Arial" w:cs="Arial"/>
          <w:b/>
          <w:bCs/>
          <w:sz w:val="22"/>
          <w:szCs w:val="22"/>
          <w:lang w:val="en-GB"/>
        </w:rPr>
        <w:t>(A)</w:t>
      </w:r>
      <w:r w:rsidR="00EC0934" w:rsidRPr="007C2B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Body Mass Index</w:t>
      </w:r>
      <w:r w:rsidR="00EC0934" w:rsidRPr="007C2B0B">
        <w:rPr>
          <w:rFonts w:ascii="Arial" w:hAnsi="Arial" w:cs="Arial"/>
          <w:bCs/>
          <w:sz w:val="22"/>
          <w:szCs w:val="22"/>
          <w:lang w:val="en-GB"/>
        </w:rPr>
        <w:t xml:space="preserve">; </w:t>
      </w:r>
      <w:r w:rsidR="008138E3" w:rsidRPr="007C2B0B">
        <w:rPr>
          <w:rFonts w:ascii="Arial" w:hAnsi="Arial" w:cs="Arial"/>
          <w:b/>
          <w:bCs/>
          <w:sz w:val="22"/>
          <w:szCs w:val="22"/>
          <w:lang w:val="en-GB"/>
        </w:rPr>
        <w:t>(A)</w:t>
      </w:r>
      <w:r w:rsidR="008138E3" w:rsidRPr="007C2B0B">
        <w:rPr>
          <w:rFonts w:ascii="Arial" w:hAnsi="Arial" w:cs="Arial"/>
          <w:bCs/>
          <w:sz w:val="22"/>
          <w:szCs w:val="22"/>
          <w:lang w:val="en-GB"/>
        </w:rPr>
        <w:t xml:space="preserve"> Body Mass Index distributed by groups of ages; </w:t>
      </w:r>
      <w:r w:rsidR="00EC0934" w:rsidRPr="007C2B0B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8138E3" w:rsidRPr="007C2B0B">
        <w:rPr>
          <w:rFonts w:ascii="Arial" w:hAnsi="Arial" w:cs="Arial"/>
          <w:b/>
          <w:bCs/>
          <w:sz w:val="22"/>
          <w:szCs w:val="22"/>
          <w:lang w:val="en-GB"/>
        </w:rPr>
        <w:t>C</w:t>
      </w:r>
      <w:r w:rsidR="00EC0934" w:rsidRPr="007C2B0B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EC0934" w:rsidRPr="007C2B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Shwachman</w:t>
      </w:r>
      <w:proofErr w:type="spellEnd"/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–</w:t>
      </w:r>
      <w:proofErr w:type="spellStart"/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Kulczycki</w:t>
      </w:r>
      <w:proofErr w:type="spellEnd"/>
      <w:r w:rsidR="00FD5CDE" w:rsidRPr="007C2B0B">
        <w:rPr>
          <w:rFonts w:ascii="Arial" w:hAnsi="Arial" w:cs="Arial"/>
          <w:bCs/>
          <w:sz w:val="22"/>
          <w:szCs w:val="22"/>
          <w:lang w:val="en-GB"/>
        </w:rPr>
        <w:t xml:space="preserve"> clinical scores;</w:t>
      </w:r>
      <w:r w:rsidR="008138E3" w:rsidRPr="007C2B0B">
        <w:rPr>
          <w:rFonts w:ascii="Arial" w:hAnsi="Arial" w:cs="Arial"/>
          <w:bCs/>
          <w:sz w:val="22"/>
          <w:szCs w:val="22"/>
          <w:lang w:val="en-GB"/>
        </w:rPr>
        <w:t xml:space="preserve"> and</w:t>
      </w:r>
      <w:r w:rsidR="00EC0934" w:rsidRPr="007C2B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C0934" w:rsidRPr="007C2B0B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8138E3" w:rsidRPr="007C2B0B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EC0934" w:rsidRPr="007C2B0B">
        <w:rPr>
          <w:rFonts w:ascii="Arial" w:hAnsi="Arial" w:cs="Arial"/>
          <w:b/>
          <w:bCs/>
          <w:sz w:val="22"/>
          <w:szCs w:val="22"/>
          <w:lang w:val="en-GB"/>
        </w:rPr>
        <w:t xml:space="preserve">) 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forced expiratory volume in 1 second (FEV</w:t>
      </w:r>
      <w:r w:rsidR="00FD5CDE" w:rsidRPr="007C2B0B">
        <w:rPr>
          <w:rFonts w:ascii="Arial" w:hAnsi="Arial" w:cs="Arial"/>
          <w:bCs/>
          <w:sz w:val="22"/>
          <w:szCs w:val="22"/>
          <w:vertAlign w:val="subscript"/>
          <w:lang w:val="en-GB"/>
        </w:rPr>
        <w:t>1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) expressed as a percentage of predicted normal values for sex, age, and height (% predicted)</w:t>
      </w:r>
      <w:r w:rsidR="008138E3" w:rsidRPr="007C2B0B">
        <w:rPr>
          <w:rFonts w:ascii="Arial" w:hAnsi="Arial" w:cs="Arial"/>
          <w:bCs/>
          <w:sz w:val="22"/>
          <w:szCs w:val="22"/>
          <w:lang w:val="en-GB"/>
        </w:rPr>
        <w:t>.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 xml:space="preserve">Vertical dashed black line represents subtraction of one standard deviation (STD) of the mean value calculated for 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CCH induced-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Δ</w:t>
      </w:r>
      <w:proofErr w:type="spellStart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I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vertAlign w:val="subscript"/>
          <w:lang w:val="en-US"/>
        </w:rPr>
        <w:t>sc</w:t>
      </w:r>
      <w:proofErr w:type="spellEnd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following IBMX/CCH application (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Δ</w:t>
      </w:r>
      <w:proofErr w:type="spellStart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I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vertAlign w:val="subscript"/>
          <w:lang w:val="en-US"/>
        </w:rPr>
        <w:t>sc</w:t>
      </w:r>
      <w:proofErr w:type="spellEnd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= -78.77 </w:t>
      </w:r>
      <w:r w:rsidR="003B35D2" w:rsidRPr="007C2B0B">
        <w:rPr>
          <w:rFonts w:ascii="Arial" w:hAnsi="Arial" w:cs="Arial"/>
          <w:bCs/>
          <w:sz w:val="22"/>
          <w:szCs w:val="22"/>
          <w:lang w:val="en-GB"/>
        </w:rPr>
        <w:t>µ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A/cm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2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) in </w:t>
      </w:r>
      <w:r w:rsidR="00BA0480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non-CF 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controls.  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 xml:space="preserve">Vertical dashed grey line represents addition of one STD of the mean value calculated for 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CCH stimulated-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Δ</w:t>
      </w:r>
      <w:proofErr w:type="spellStart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I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vertAlign w:val="subscript"/>
          <w:lang w:val="en-US"/>
        </w:rPr>
        <w:t>sc</w:t>
      </w:r>
      <w:proofErr w:type="spellEnd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following IBMX/CCH application (</w:t>
      </w:r>
      <w:r w:rsidR="00FD5CDE" w:rsidRPr="007C2B0B">
        <w:rPr>
          <w:rFonts w:ascii="Arial" w:hAnsi="Arial" w:cs="Arial"/>
          <w:bCs/>
          <w:sz w:val="22"/>
          <w:szCs w:val="22"/>
          <w:lang w:val="en-GB"/>
        </w:rPr>
        <w:t>Δ</w:t>
      </w:r>
      <w:proofErr w:type="spellStart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I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vertAlign w:val="subscript"/>
          <w:lang w:val="en-US"/>
        </w:rPr>
        <w:t>sc</w:t>
      </w:r>
      <w:proofErr w:type="spellEnd"/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= -39.55 </w:t>
      </w:r>
      <w:r w:rsidR="003B35D2" w:rsidRPr="007C2B0B">
        <w:rPr>
          <w:rFonts w:ascii="Arial" w:hAnsi="Arial" w:cs="Arial"/>
          <w:bCs/>
          <w:sz w:val="22"/>
          <w:szCs w:val="22"/>
          <w:lang w:val="en-GB"/>
        </w:rPr>
        <w:t>µ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A/cm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vertAlign w:val="superscript"/>
          <w:lang w:val="en-US"/>
        </w:rPr>
        <w:t>2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) in </w:t>
      </w:r>
      <w:r w:rsidR="00BA0480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>reference sub-group of Non-Classic CF patients</w:t>
      </w:r>
      <w:r w:rsidR="00FD5CDE" w:rsidRPr="007C2B0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.  </w:t>
      </w:r>
      <w:r w:rsidR="0047216F" w:rsidRPr="007C2B0B">
        <w:rPr>
          <w:rFonts w:ascii="Arial" w:hAnsi="Arial" w:cs="Arial"/>
          <w:bCs/>
          <w:sz w:val="22"/>
          <w:szCs w:val="22"/>
          <w:lang w:val="en-GB"/>
        </w:rPr>
        <w:t>Classic CF (filled triangles, n = 5</w:t>
      </w:r>
      <w:r w:rsidR="00F2504F" w:rsidRPr="007C2B0B">
        <w:rPr>
          <w:rFonts w:ascii="Arial" w:hAnsi="Arial" w:cs="Arial"/>
          <w:bCs/>
          <w:sz w:val="22"/>
          <w:szCs w:val="22"/>
          <w:lang w:val="en-GB"/>
        </w:rPr>
        <w:t>5</w:t>
      </w:r>
      <w:r w:rsidR="0047216F" w:rsidRPr="007C2B0B">
        <w:rPr>
          <w:rFonts w:ascii="Arial" w:hAnsi="Arial" w:cs="Arial"/>
          <w:bCs/>
          <w:sz w:val="22"/>
          <w:szCs w:val="22"/>
          <w:lang w:val="en-GB"/>
        </w:rPr>
        <w:t>); Non-Classic CF (filled diamonds, n = 12); CFTR-RD (star, n= 2) and Non-CF (open circles, n = 2</w:t>
      </w:r>
      <w:r w:rsidR="00F2504F" w:rsidRPr="007C2B0B">
        <w:rPr>
          <w:rFonts w:ascii="Arial" w:hAnsi="Arial" w:cs="Arial"/>
          <w:bCs/>
          <w:sz w:val="22"/>
          <w:szCs w:val="22"/>
          <w:lang w:val="en-GB"/>
        </w:rPr>
        <w:t>6</w:t>
      </w:r>
      <w:r w:rsidR="0047216F" w:rsidRPr="007C2B0B">
        <w:rPr>
          <w:rFonts w:ascii="Arial" w:hAnsi="Arial" w:cs="Arial"/>
          <w:bCs/>
          <w:sz w:val="22"/>
          <w:szCs w:val="22"/>
          <w:lang w:val="en-GB"/>
        </w:rPr>
        <w:t>) individuals.</w:t>
      </w:r>
      <w:r w:rsidR="00164160" w:rsidRPr="007C2B0B"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sectPr w:rsidR="00F72A85" w:rsidRPr="007C2B0B" w:rsidSect="002C15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5F"/>
    <w:rsid w:val="00006415"/>
    <w:rsid w:val="000D44E2"/>
    <w:rsid w:val="00114F61"/>
    <w:rsid w:val="00131B71"/>
    <w:rsid w:val="00164160"/>
    <w:rsid w:val="00185F4F"/>
    <w:rsid w:val="00197111"/>
    <w:rsid w:val="001F5D46"/>
    <w:rsid w:val="00216E97"/>
    <w:rsid w:val="00237F5E"/>
    <w:rsid w:val="002409B2"/>
    <w:rsid w:val="00271503"/>
    <w:rsid w:val="002C155F"/>
    <w:rsid w:val="003B35D2"/>
    <w:rsid w:val="0047216F"/>
    <w:rsid w:val="005B46FF"/>
    <w:rsid w:val="00623AA3"/>
    <w:rsid w:val="00640896"/>
    <w:rsid w:val="006B098A"/>
    <w:rsid w:val="006E00A0"/>
    <w:rsid w:val="006E712E"/>
    <w:rsid w:val="0071692B"/>
    <w:rsid w:val="007C2B0B"/>
    <w:rsid w:val="007D1123"/>
    <w:rsid w:val="008138E3"/>
    <w:rsid w:val="00833F56"/>
    <w:rsid w:val="008C6F10"/>
    <w:rsid w:val="00980D7A"/>
    <w:rsid w:val="00994EB7"/>
    <w:rsid w:val="009D7486"/>
    <w:rsid w:val="00A145B3"/>
    <w:rsid w:val="00A45B2E"/>
    <w:rsid w:val="00AA58B3"/>
    <w:rsid w:val="00B14C9B"/>
    <w:rsid w:val="00BA0480"/>
    <w:rsid w:val="00C27214"/>
    <w:rsid w:val="00C725F9"/>
    <w:rsid w:val="00C750F0"/>
    <w:rsid w:val="00D850D5"/>
    <w:rsid w:val="00E02304"/>
    <w:rsid w:val="00E36D9E"/>
    <w:rsid w:val="00E46E9F"/>
    <w:rsid w:val="00E55B13"/>
    <w:rsid w:val="00EC0934"/>
    <w:rsid w:val="00F2504F"/>
    <w:rsid w:val="00F72A85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55F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155F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7480-2207-4EA7-94D9-8373B97C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Administrator</cp:lastModifiedBy>
  <cp:revision>4</cp:revision>
  <cp:lastPrinted>2012-04-20T17:06:00Z</cp:lastPrinted>
  <dcterms:created xsi:type="dcterms:W3CDTF">2012-09-24T12:06:00Z</dcterms:created>
  <dcterms:modified xsi:type="dcterms:W3CDTF">2012-09-24T12:08:00Z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