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99" w:rsidRPr="00184399" w:rsidRDefault="00CC3062" w:rsidP="00184399">
      <w:pPr>
        <w:autoSpaceDE w:val="0"/>
        <w:autoSpaceDN w:val="0"/>
        <w:adjustRightInd w:val="0"/>
        <w:spacing w:after="0" w:line="480" w:lineRule="auto"/>
        <w:jc w:val="both"/>
        <w:rPr>
          <w:rFonts w:ascii="Arial" w:eastAsia="Times New Roman" w:hAnsi="Arial" w:cs="Arial"/>
          <w:b/>
          <w:sz w:val="24"/>
          <w:szCs w:val="16"/>
          <w:lang w:val="en-US"/>
        </w:rPr>
      </w:pPr>
      <w:r>
        <w:rPr>
          <w:rFonts w:ascii="Arial" w:eastAsia="Times New Roman" w:hAnsi="Arial" w:cs="Times New Roman"/>
          <w:b/>
          <w:sz w:val="24"/>
          <w:szCs w:val="24"/>
          <w:lang w:val="en-US"/>
        </w:rPr>
        <w:t>Supporting Statistical Methods</w:t>
      </w:r>
      <w:bookmarkStart w:id="0" w:name="_GoBack"/>
      <w:bookmarkEnd w:id="0"/>
      <w:r>
        <w:rPr>
          <w:rFonts w:ascii="Arial" w:eastAsia="Times New Roman" w:hAnsi="Arial" w:cs="Times New Roman"/>
          <w:b/>
          <w:sz w:val="24"/>
          <w:szCs w:val="24"/>
          <w:lang w:val="en-US"/>
        </w:rPr>
        <w:t xml:space="preserve"> Information</w:t>
      </w:r>
    </w:p>
    <w:p w:rsidR="00184399" w:rsidRPr="00184399" w:rsidRDefault="00184399" w:rsidP="00184399">
      <w:pPr>
        <w:spacing w:line="480" w:lineRule="auto"/>
        <w:jc w:val="both"/>
        <w:rPr>
          <w:rFonts w:ascii="Arial" w:eastAsia="Times New Roman" w:hAnsi="Arial" w:cs="Times New Roman"/>
          <w:sz w:val="24"/>
          <w:szCs w:val="24"/>
          <w:lang w:val="en-US"/>
        </w:rPr>
      </w:pPr>
      <w:r w:rsidRPr="00184399">
        <w:rPr>
          <w:rFonts w:ascii="Arial" w:eastAsia="Times New Roman" w:hAnsi="Arial" w:cs="Times New Roman"/>
          <w:sz w:val="24"/>
          <w:szCs w:val="24"/>
          <w:lang w:val="en-US"/>
        </w:rPr>
        <w:t xml:space="preserve">Our study design required that the model quantified relationships at three levels; between-child (within a school), within-child and between-school levels. Whilst the latter relationship is not directly relevant to the current investigation, it is important to account for it in determining relationships at the other two levels. Furthermore, the Lifestyle of our Kids (LOOK) study involved a variation of physical education as an intervention over successive years, and while the relationships of interest in the current study are not likely to be affected by a variation in school physical education, it was appropriate to include a term to adjust for any such effects. This was accomplished with the addition of the variable Group as set out below. </w:t>
      </w:r>
    </w:p>
    <w:p w:rsidR="00184399" w:rsidRPr="00184399" w:rsidRDefault="00184399" w:rsidP="00184399">
      <w:pPr>
        <w:spacing w:line="480" w:lineRule="auto"/>
        <w:jc w:val="both"/>
        <w:rPr>
          <w:rFonts w:ascii="Arial" w:eastAsia="Times New Roman" w:hAnsi="Arial" w:cs="Times New Roman"/>
          <w:sz w:val="24"/>
          <w:szCs w:val="24"/>
          <w:lang w:val="en-US"/>
        </w:rPr>
      </w:pPr>
      <w:r w:rsidRPr="00184399">
        <w:rPr>
          <w:rFonts w:ascii="Arial" w:eastAsia="Times New Roman" w:hAnsi="Arial" w:cs="Times New Roman"/>
          <w:sz w:val="24"/>
          <w:szCs w:val="24"/>
          <w:lang w:val="en-US"/>
        </w:rPr>
        <w:t>The response variables representing IR varied at the three levels as did the candidate explanatory variables PA, CRF weight and %BF. Other candidate explanatory variables such as our measure of socioeconomic status varied only at the school level. Our statistical model takes the form</w:t>
      </w:r>
    </w:p>
    <w:p w:rsidR="00184399" w:rsidRPr="00184399" w:rsidRDefault="00184399" w:rsidP="00184399">
      <w:pPr>
        <w:spacing w:line="480" w:lineRule="auto"/>
        <w:jc w:val="both"/>
        <w:rPr>
          <w:rFonts w:ascii="Arial" w:eastAsia="Times New Roman" w:hAnsi="Arial" w:cs="Times New Roman"/>
          <w:sz w:val="24"/>
          <w:szCs w:val="24"/>
          <w:lang w:val="en-US"/>
        </w:rPr>
      </w:pPr>
      <w:r w:rsidRPr="00184399">
        <w:rPr>
          <w:rFonts w:ascii="Arial" w:eastAsia="Times New Roman" w:hAnsi="Arial" w:cs="Times New Roman"/>
          <w:sz w:val="24"/>
          <w:szCs w:val="24"/>
          <w:lang w:val="en-US"/>
        </w:rPr>
        <w:t>HOMA-IR = constant + Group effect+ SES effect + PA</w:t>
      </w:r>
      <w:r w:rsidRPr="00184399">
        <w:rPr>
          <w:rFonts w:ascii="Arial" w:eastAsia="Times New Roman" w:hAnsi="Arial" w:cs="Times New Roman"/>
          <w:sz w:val="24"/>
          <w:szCs w:val="24"/>
          <w:vertAlign w:val="subscript"/>
          <w:lang w:val="en-US"/>
        </w:rPr>
        <w:t>s</w:t>
      </w:r>
      <w:r w:rsidRPr="00184399">
        <w:rPr>
          <w:rFonts w:ascii="Arial" w:eastAsia="Times New Roman" w:hAnsi="Arial" w:cs="Times New Roman"/>
          <w:position w:val="-12"/>
          <w:sz w:val="24"/>
          <w:szCs w:val="24"/>
          <w:lang w:val="en-US"/>
        </w:rPr>
        <w:t xml:space="preserve"> </w:t>
      </w:r>
      <w:r w:rsidRPr="00184399">
        <w:rPr>
          <w:rFonts w:ascii="Arial" w:eastAsia="Times New Roman" w:hAnsi="Arial" w:cs="Times New Roman"/>
          <w:sz w:val="24"/>
          <w:szCs w:val="24"/>
          <w:lang w:val="en-US"/>
        </w:rPr>
        <w:t>+ school random effect + Sex effect + Sex.Group interaction + PA</w:t>
      </w:r>
      <w:r w:rsidRPr="00184399">
        <w:rPr>
          <w:rFonts w:ascii="Arial" w:eastAsia="Times New Roman" w:hAnsi="Arial" w:cs="Times New Roman"/>
          <w:sz w:val="24"/>
          <w:szCs w:val="24"/>
          <w:vertAlign w:val="subscript"/>
          <w:lang w:val="en-US"/>
        </w:rPr>
        <w:t xml:space="preserve">c </w:t>
      </w:r>
      <w:r w:rsidRPr="00184399">
        <w:rPr>
          <w:rFonts w:ascii="Arial" w:eastAsia="Times New Roman" w:hAnsi="Arial" w:cs="Times New Roman"/>
          <w:sz w:val="24"/>
          <w:szCs w:val="24"/>
          <w:lang w:val="en-US"/>
        </w:rPr>
        <w:t xml:space="preserve">+ child random effect + Year effect + </w:t>
      </w:r>
      <w:proofErr w:type="spellStart"/>
      <w:r w:rsidRPr="00184399">
        <w:rPr>
          <w:rFonts w:ascii="Arial" w:eastAsia="Times New Roman" w:hAnsi="Arial" w:cs="Times New Roman"/>
          <w:sz w:val="24"/>
          <w:szCs w:val="24"/>
          <w:lang w:val="en-US"/>
        </w:rPr>
        <w:t>Sex.Year</w:t>
      </w:r>
      <w:proofErr w:type="spellEnd"/>
      <w:r w:rsidRPr="00184399">
        <w:rPr>
          <w:rFonts w:ascii="Arial" w:eastAsia="Times New Roman" w:hAnsi="Arial" w:cs="Times New Roman"/>
          <w:sz w:val="24"/>
          <w:szCs w:val="24"/>
          <w:lang w:val="en-US"/>
        </w:rPr>
        <w:t xml:space="preserve"> effect + </w:t>
      </w:r>
      <w:proofErr w:type="spellStart"/>
      <w:r w:rsidRPr="00184399">
        <w:rPr>
          <w:rFonts w:ascii="Arial" w:eastAsia="Times New Roman" w:hAnsi="Arial" w:cs="Times New Roman"/>
          <w:sz w:val="24"/>
          <w:szCs w:val="24"/>
          <w:lang w:val="en-US"/>
        </w:rPr>
        <w:t>Group.Year</w:t>
      </w:r>
      <w:proofErr w:type="spellEnd"/>
      <w:r w:rsidRPr="00184399">
        <w:rPr>
          <w:rFonts w:ascii="Arial" w:eastAsia="Times New Roman" w:hAnsi="Arial" w:cs="Times New Roman"/>
          <w:sz w:val="24"/>
          <w:szCs w:val="24"/>
          <w:lang w:val="en-US"/>
        </w:rPr>
        <w:t xml:space="preserve"> effect + PA</w:t>
      </w:r>
      <w:r w:rsidRPr="00184399">
        <w:rPr>
          <w:rFonts w:ascii="Arial" w:eastAsia="Times New Roman" w:hAnsi="Arial" w:cs="Times New Roman"/>
          <w:sz w:val="24"/>
          <w:szCs w:val="24"/>
          <w:vertAlign w:val="subscript"/>
          <w:lang w:val="en-US"/>
        </w:rPr>
        <w:t>w</w:t>
      </w:r>
      <w:r w:rsidRPr="00184399">
        <w:rPr>
          <w:rFonts w:ascii="Arial" w:eastAsia="Times New Roman" w:hAnsi="Arial" w:cs="Times New Roman"/>
          <w:sz w:val="24"/>
          <w:szCs w:val="24"/>
          <w:lang w:val="en-US"/>
        </w:rPr>
        <w:t xml:space="preserve"> + possible interactions between fixed effects + within-child random error; </w:t>
      </w:r>
    </w:p>
    <w:p w:rsidR="00184399" w:rsidRPr="00184399" w:rsidRDefault="00184399" w:rsidP="00184399">
      <w:pPr>
        <w:spacing w:line="480" w:lineRule="auto"/>
        <w:jc w:val="both"/>
        <w:rPr>
          <w:rFonts w:ascii="Arial" w:eastAsia="Times New Roman" w:hAnsi="Arial" w:cs="Times New Roman"/>
          <w:sz w:val="24"/>
          <w:szCs w:val="24"/>
          <w:lang w:val="en-US"/>
        </w:rPr>
      </w:pPr>
      <w:proofErr w:type="gramStart"/>
      <w:r w:rsidRPr="00184399">
        <w:rPr>
          <w:rFonts w:ascii="Arial" w:eastAsia="Times New Roman" w:hAnsi="Arial" w:cs="Times New Roman"/>
          <w:sz w:val="24"/>
          <w:szCs w:val="24"/>
          <w:lang w:val="en-US"/>
        </w:rPr>
        <w:t>where</w:t>
      </w:r>
      <w:proofErr w:type="gramEnd"/>
      <w:r w:rsidRPr="00184399">
        <w:rPr>
          <w:rFonts w:ascii="Arial" w:eastAsia="Times New Roman" w:hAnsi="Arial" w:cs="Times New Roman"/>
          <w:sz w:val="24"/>
          <w:szCs w:val="24"/>
          <w:lang w:val="en-US"/>
        </w:rPr>
        <w:t xml:space="preserve"> PA</w:t>
      </w:r>
      <w:r w:rsidRPr="00184399">
        <w:rPr>
          <w:rFonts w:ascii="Arial" w:eastAsia="Times New Roman" w:hAnsi="Arial" w:cs="Times New Roman"/>
          <w:sz w:val="24"/>
          <w:szCs w:val="24"/>
          <w:vertAlign w:val="subscript"/>
          <w:lang w:val="en-US"/>
        </w:rPr>
        <w:t>s</w:t>
      </w:r>
      <w:r w:rsidRPr="00184399">
        <w:rPr>
          <w:rFonts w:ascii="Arial" w:eastAsia="Times New Roman" w:hAnsi="Arial" w:cs="Times New Roman"/>
          <w:sz w:val="24"/>
          <w:szCs w:val="24"/>
          <w:lang w:val="en-US"/>
        </w:rPr>
        <w:t xml:space="preserve"> denotes the vector of PA means for each school; PA</w:t>
      </w:r>
      <w:r w:rsidRPr="00184399">
        <w:rPr>
          <w:rFonts w:ascii="Arial" w:eastAsia="Times New Roman" w:hAnsi="Arial" w:cs="Times New Roman"/>
          <w:sz w:val="24"/>
          <w:szCs w:val="24"/>
          <w:vertAlign w:val="subscript"/>
          <w:lang w:val="en-US"/>
        </w:rPr>
        <w:t>c</w:t>
      </w:r>
      <w:r w:rsidRPr="00184399">
        <w:rPr>
          <w:rFonts w:ascii="Arial" w:eastAsia="Times New Roman" w:hAnsi="Arial" w:cs="Times New Roman"/>
          <w:sz w:val="24"/>
          <w:szCs w:val="24"/>
          <w:lang w:val="en-US"/>
        </w:rPr>
        <w:t xml:space="preserve"> is the vector of differences between each child PA mean and the school  mean; and PA</w:t>
      </w:r>
      <w:r w:rsidRPr="00184399">
        <w:rPr>
          <w:rFonts w:ascii="Arial" w:eastAsia="Times New Roman" w:hAnsi="Arial" w:cs="Times New Roman"/>
          <w:sz w:val="24"/>
          <w:szCs w:val="24"/>
          <w:vertAlign w:val="subscript"/>
          <w:lang w:val="en-US"/>
        </w:rPr>
        <w:t>w</w:t>
      </w:r>
      <w:r w:rsidRPr="00184399">
        <w:rPr>
          <w:rFonts w:ascii="Arial" w:eastAsia="Times New Roman" w:hAnsi="Arial" w:cs="Times New Roman"/>
          <w:sz w:val="24"/>
          <w:szCs w:val="24"/>
          <w:lang w:val="en-US"/>
        </w:rPr>
        <w:t xml:space="preserve"> is the vector of differences within each child, i.e. between repeat observations and the relevant child PA mean. </w:t>
      </w:r>
    </w:p>
    <w:p w:rsidR="00184399" w:rsidRPr="00184399" w:rsidRDefault="00184399" w:rsidP="00184399">
      <w:pPr>
        <w:spacing w:before="120" w:after="80" w:line="480" w:lineRule="auto"/>
        <w:outlineLvl w:val="5"/>
        <w:rPr>
          <w:rFonts w:ascii="Arial" w:eastAsia="Times New Roman" w:hAnsi="Arial" w:cs="Times New Roman"/>
          <w:bCs/>
          <w:iCs/>
          <w:sz w:val="24"/>
          <w:szCs w:val="24"/>
          <w:lang w:val="en-US"/>
        </w:rPr>
      </w:pPr>
      <w:r w:rsidRPr="00184399">
        <w:rPr>
          <w:rFonts w:ascii="Arial" w:eastAsia="Times New Roman" w:hAnsi="Arial" w:cs="Times New Roman"/>
          <w:bCs/>
          <w:iCs/>
          <w:sz w:val="24"/>
          <w:szCs w:val="24"/>
          <w:lang w:val="en-US"/>
        </w:rPr>
        <w:t xml:space="preserve">Similar models to the one above apply when PA is replaced by the other explanatory variables such as CRF or %BF. With PA as the example variable, as in the equation </w:t>
      </w:r>
      <w:r w:rsidRPr="00184399">
        <w:rPr>
          <w:rFonts w:ascii="Arial" w:eastAsia="Times New Roman" w:hAnsi="Arial" w:cs="Times New Roman"/>
          <w:bCs/>
          <w:iCs/>
          <w:sz w:val="24"/>
          <w:szCs w:val="24"/>
          <w:lang w:val="en-US"/>
        </w:rPr>
        <w:lastRenderedPageBreak/>
        <w:t>above, the current paper is concerned directly with PA</w:t>
      </w:r>
      <w:r w:rsidRPr="00184399">
        <w:rPr>
          <w:rFonts w:ascii="Arial" w:eastAsia="Times New Roman" w:hAnsi="Arial" w:cs="Times New Roman"/>
          <w:bCs/>
          <w:iCs/>
          <w:sz w:val="24"/>
          <w:szCs w:val="24"/>
          <w:vertAlign w:val="subscript"/>
          <w:lang w:val="en-US"/>
        </w:rPr>
        <w:t>C</w:t>
      </w:r>
      <w:r w:rsidRPr="00184399">
        <w:rPr>
          <w:rFonts w:ascii="Arial" w:eastAsia="Times New Roman" w:hAnsi="Arial" w:cs="Times New Roman"/>
          <w:bCs/>
          <w:iCs/>
          <w:sz w:val="24"/>
          <w:szCs w:val="24"/>
          <w:lang w:val="en-US"/>
        </w:rPr>
        <w:t xml:space="preserve"> and PA</w:t>
      </w:r>
      <w:r w:rsidRPr="00184399">
        <w:rPr>
          <w:rFonts w:ascii="Arial" w:eastAsia="Times New Roman" w:hAnsi="Arial" w:cs="Times New Roman"/>
          <w:bCs/>
          <w:iCs/>
          <w:sz w:val="24"/>
          <w:szCs w:val="24"/>
          <w:vertAlign w:val="subscript"/>
          <w:lang w:val="en-US"/>
        </w:rPr>
        <w:t>w</w:t>
      </w:r>
      <w:r w:rsidRPr="00184399">
        <w:rPr>
          <w:rFonts w:ascii="Arial" w:eastAsia="Times New Roman" w:hAnsi="Arial" w:cs="Times New Roman"/>
          <w:bCs/>
          <w:iCs/>
          <w:sz w:val="24"/>
          <w:szCs w:val="24"/>
          <w:lang w:val="en-US"/>
        </w:rPr>
        <w:t xml:space="preserve">, the relationships at the cross-sectional (between-child) and longitudinal (within-child) levels respectively. The above model fits within the general framework of general linear mixed models </w:t>
      </w:r>
      <w:r w:rsidRPr="00184399">
        <w:rPr>
          <w:rFonts w:ascii="Arial" w:eastAsia="Times New Roman" w:hAnsi="Arial" w:cs="Times New Roman"/>
          <w:bCs/>
          <w:iCs/>
          <w:sz w:val="24"/>
          <w:szCs w:val="24"/>
          <w:lang w:val="en-US"/>
        </w:rPr>
        <w:fldChar w:fldCharType="begin"/>
      </w:r>
      <w:r w:rsidRPr="00184399">
        <w:rPr>
          <w:rFonts w:ascii="Arial" w:eastAsia="Times New Roman" w:hAnsi="Arial" w:cs="Times New Roman"/>
          <w:bCs/>
          <w:iCs/>
          <w:sz w:val="24"/>
          <w:szCs w:val="24"/>
          <w:lang w:val="en-US"/>
        </w:rPr>
        <w:instrText xml:space="preserve"> ADDIN EN.CITE &lt;EndNote&gt;&lt;Cite&gt;&lt;Author&gt;Galway&lt;/Author&gt;&lt;Year&gt;2006&lt;/Year&gt;&lt;RecNum&gt;80&lt;/RecNum&gt;&lt;DisplayText&gt;[20]&lt;/DisplayText&gt;&lt;record&gt;&lt;rec-number&gt;80&lt;/rec-number&gt;&lt;foreign-keys&gt;&lt;key app="EN" db-id="vtd20wfs9dad5ye2psdxxp96zfvaxdzfeffz"&gt;80&lt;/key&gt;&lt;/foreign-keys&gt;&lt;ref-type name="Book"&gt;6&lt;/ref-type&gt;&lt;contributors&gt;&lt;authors&gt;&lt;author&gt;N.W. Galway &lt;/author&gt;&lt;/authors&gt;&lt;/contributors&gt;&lt;titles&gt;&lt;title&gt;Introduction to Mixed Modelling: Beyond Regression and Analysis of Variance&lt;/title&gt;&lt;secondary-title&gt;John Wiley and Sons, Ltd.&lt;/secondary-title&gt;&lt;/titles&gt;&lt;dates&gt;&lt;year&gt;2006&lt;/year&gt;&lt;/dates&gt;&lt;urls&gt;&lt;/urls&gt;&lt;/record&gt;&lt;/Cite&gt;&lt;/EndNote&gt;</w:instrText>
      </w:r>
      <w:r w:rsidRPr="00184399">
        <w:rPr>
          <w:rFonts w:ascii="Arial" w:eastAsia="Times New Roman" w:hAnsi="Arial" w:cs="Times New Roman"/>
          <w:bCs/>
          <w:iCs/>
          <w:sz w:val="24"/>
          <w:szCs w:val="24"/>
          <w:lang w:val="en-US"/>
        </w:rPr>
        <w:fldChar w:fldCharType="separate"/>
      </w:r>
      <w:r w:rsidRPr="00184399">
        <w:rPr>
          <w:rFonts w:ascii="Arial" w:eastAsia="Times New Roman" w:hAnsi="Arial" w:cs="Times New Roman"/>
          <w:bCs/>
          <w:iCs/>
          <w:noProof/>
          <w:sz w:val="24"/>
          <w:szCs w:val="24"/>
          <w:lang w:val="en-US"/>
        </w:rPr>
        <w:t>[</w:t>
      </w:r>
      <w:hyperlink w:anchor="_ENREF_20" w:tooltip="Galway, 2006 #80" w:history="1">
        <w:r w:rsidRPr="00184399">
          <w:rPr>
            <w:rFonts w:ascii="Arial" w:eastAsia="Times New Roman" w:hAnsi="Arial" w:cs="Times New Roman"/>
            <w:bCs/>
            <w:iCs/>
            <w:noProof/>
            <w:sz w:val="24"/>
            <w:szCs w:val="24"/>
            <w:lang w:val="en-US"/>
          </w:rPr>
          <w:t>20</w:t>
        </w:r>
      </w:hyperlink>
      <w:r w:rsidRPr="00184399">
        <w:rPr>
          <w:rFonts w:ascii="Arial" w:eastAsia="Times New Roman" w:hAnsi="Arial" w:cs="Times New Roman"/>
          <w:bCs/>
          <w:iCs/>
          <w:noProof/>
          <w:sz w:val="24"/>
          <w:szCs w:val="24"/>
          <w:lang w:val="en-US"/>
        </w:rPr>
        <w:t>]</w:t>
      </w:r>
      <w:r w:rsidRPr="00184399">
        <w:rPr>
          <w:rFonts w:ascii="Arial" w:eastAsia="Times New Roman" w:hAnsi="Arial" w:cs="Times New Roman"/>
          <w:bCs/>
          <w:iCs/>
          <w:sz w:val="24"/>
          <w:szCs w:val="24"/>
          <w:lang w:val="en-US"/>
        </w:rPr>
        <w:fldChar w:fldCharType="end"/>
      </w:r>
      <w:r w:rsidRPr="00184399">
        <w:rPr>
          <w:rFonts w:ascii="Arial" w:eastAsia="Times New Roman" w:hAnsi="Arial" w:cs="Times New Roman"/>
          <w:bCs/>
          <w:iCs/>
          <w:sz w:val="24"/>
          <w:szCs w:val="24"/>
          <w:lang w:val="en-US"/>
        </w:rPr>
        <w:t xml:space="preserve">.  Restricted maximum likelihood is used to estimate variance components and weighted least squares for estimating fixed effects. Statistical significance of effects was assessed by calculating adjusted Wald statistics </w:t>
      </w:r>
      <w:r w:rsidRPr="00184399">
        <w:rPr>
          <w:rFonts w:ascii="Arial" w:eastAsia="Times New Roman" w:hAnsi="Arial" w:cs="Times New Roman"/>
          <w:bCs/>
          <w:iCs/>
          <w:sz w:val="24"/>
          <w:szCs w:val="24"/>
          <w:lang w:val="en-US"/>
        </w:rPr>
        <w:fldChar w:fldCharType="begin"/>
      </w:r>
      <w:r w:rsidRPr="00184399">
        <w:rPr>
          <w:rFonts w:ascii="Arial" w:eastAsia="Times New Roman" w:hAnsi="Arial" w:cs="Times New Roman"/>
          <w:bCs/>
          <w:iCs/>
          <w:sz w:val="24"/>
          <w:szCs w:val="24"/>
          <w:lang w:val="en-US"/>
        </w:rPr>
        <w:instrText xml:space="preserve"> ADDIN EN.CITE &lt;EndNote&gt;&lt;Cite&gt;&lt;Author&gt;Kenward&lt;/Author&gt;&lt;Year&gt;1997&lt;/Year&gt;&lt;RecNum&gt;81&lt;/RecNum&gt;&lt;DisplayText&gt;[24]&lt;/DisplayText&gt;&lt;record&gt;&lt;rec-number&gt;81&lt;/rec-number&gt;&lt;foreign-keys&gt;&lt;key app="EN" db-id="vtd20wfs9dad5ye2psdxxp96zfvaxdzfeffz"&gt;81&lt;/key&gt;&lt;/foreign-keys&gt;&lt;ref-type name="Journal Article"&gt;17&lt;/ref-type&gt;&lt;contributors&gt;&lt;authors&gt;&lt;author&gt;Kenward, M. G.&lt;/author&gt;&lt;author&gt;Roger, J. H.&lt;/author&gt;&lt;/authors&gt;&lt;/contributors&gt;&lt;auth-address&gt;Institute of Mathematics and Statistics, University of Kent, Canterbury, U.K.&lt;/auth-address&gt;&lt;titles&gt;&lt;title&gt;Small sample inference for fixed effects from restricted maximum likelihood&lt;/title&gt;&lt;secondary-title&gt;Biometrics&lt;/secondary-title&gt;&lt;/titles&gt;&lt;pages&gt;983-97&lt;/pages&gt;&lt;volume&gt;53&lt;/volume&gt;&lt;number&gt;3&lt;/number&gt;&lt;edition&gt;1997/10/23&lt;/edition&gt;&lt;keywords&gt;&lt;keyword&gt;Analysis of Variance&lt;/keyword&gt;&lt;keyword&gt;Bias (Epidemiology)&lt;/keyword&gt;&lt;keyword&gt;Biometry/methods&lt;/keyword&gt;&lt;keyword&gt;Clinical Trials as Topic/ methods&lt;/keyword&gt;&lt;keyword&gt;Cross-Over Studies&lt;/keyword&gt;&lt;keyword&gt;Humans&lt;/keyword&gt;&lt;keyword&gt;Intermittent Claudication/drug therapy/physiopathology&lt;/keyword&gt;&lt;keyword&gt;Models, Statistical&lt;/keyword&gt;&lt;keyword&gt;Nitrogen Fixation&lt;/keyword&gt;&lt;keyword&gt;Plants/microbiology&lt;/keyword&gt;&lt;keyword&gt;Probability&lt;/keyword&gt;&lt;keyword&gt;Randomized Controlled Trials as Topic/methods&lt;/keyword&gt;&lt;keyword&gt;Regression Analysis&lt;/keyword&gt;&lt;keyword&gt;Reproducibility of Results&lt;/keyword&gt;&lt;keyword&gt;Research/methods&lt;/keyword&gt;&lt;keyword&gt;Rhizobium/physiology&lt;/keyword&gt;&lt;keyword&gt;Soil Microbiology&lt;/keyword&gt;&lt;/keywords&gt;&lt;dates&gt;&lt;year&gt;1997&lt;/year&gt;&lt;pub-dates&gt;&lt;date&gt;Sep&lt;/date&gt;&lt;/pub-dates&gt;&lt;/dates&gt;&lt;isbn&gt;0006-341X (Print)&amp;#xD;0006-341X (Linking)&lt;/isbn&gt;&lt;urls&gt;&lt;related-urls&gt;&lt;url&gt;9333350 &lt;/url&gt;&lt;/related-urls&gt;&lt;/urls&gt;&lt;language&gt;eng&lt;/language&gt;&lt;/record&gt;&lt;/Cite&gt;&lt;/EndNote&gt;</w:instrText>
      </w:r>
      <w:r w:rsidRPr="00184399">
        <w:rPr>
          <w:rFonts w:ascii="Arial" w:eastAsia="Times New Roman" w:hAnsi="Arial" w:cs="Times New Roman"/>
          <w:bCs/>
          <w:iCs/>
          <w:sz w:val="24"/>
          <w:szCs w:val="24"/>
          <w:lang w:val="en-US"/>
        </w:rPr>
        <w:fldChar w:fldCharType="separate"/>
      </w:r>
      <w:r w:rsidRPr="00184399">
        <w:rPr>
          <w:rFonts w:ascii="Arial" w:eastAsia="Times New Roman" w:hAnsi="Arial" w:cs="Times New Roman"/>
          <w:bCs/>
          <w:iCs/>
          <w:noProof/>
          <w:sz w:val="24"/>
          <w:szCs w:val="24"/>
          <w:lang w:val="en-US"/>
        </w:rPr>
        <w:t>[</w:t>
      </w:r>
      <w:hyperlink w:anchor="_ENREF_24" w:tooltip="Kenward, 1997 #81" w:history="1">
        <w:r w:rsidRPr="00184399">
          <w:rPr>
            <w:rFonts w:ascii="Arial" w:eastAsia="Times New Roman" w:hAnsi="Arial" w:cs="Times New Roman"/>
            <w:bCs/>
            <w:iCs/>
            <w:noProof/>
            <w:sz w:val="24"/>
            <w:szCs w:val="24"/>
            <w:lang w:val="en-US"/>
          </w:rPr>
          <w:t>24</w:t>
        </w:r>
      </w:hyperlink>
      <w:r w:rsidRPr="00184399">
        <w:rPr>
          <w:rFonts w:ascii="Arial" w:eastAsia="Times New Roman" w:hAnsi="Arial" w:cs="Times New Roman"/>
          <w:bCs/>
          <w:iCs/>
          <w:noProof/>
          <w:sz w:val="24"/>
          <w:szCs w:val="24"/>
          <w:lang w:val="en-US"/>
        </w:rPr>
        <w:t>]</w:t>
      </w:r>
      <w:r w:rsidRPr="00184399">
        <w:rPr>
          <w:rFonts w:ascii="Arial" w:eastAsia="Times New Roman" w:hAnsi="Arial" w:cs="Times New Roman"/>
          <w:bCs/>
          <w:iCs/>
          <w:sz w:val="24"/>
          <w:szCs w:val="24"/>
          <w:lang w:val="en-US"/>
        </w:rPr>
        <w:fldChar w:fldCharType="end"/>
      </w:r>
      <w:r w:rsidRPr="00184399">
        <w:rPr>
          <w:rFonts w:ascii="Arial" w:eastAsia="Times New Roman" w:hAnsi="Arial" w:cs="Times New Roman"/>
          <w:bCs/>
          <w:iCs/>
          <w:sz w:val="24"/>
          <w:szCs w:val="24"/>
          <w:lang w:val="en-US"/>
        </w:rPr>
        <w:t>. Explanatory variables were scaled by square root or logarithm to better meet linearity assumptions. General model checking procedures were routinely used to identify aberrant data and to check the model assumptions.</w:t>
      </w:r>
    </w:p>
    <w:p w:rsidR="00184399" w:rsidRPr="00184399" w:rsidRDefault="00184399" w:rsidP="00184399">
      <w:pPr>
        <w:spacing w:after="0" w:line="480" w:lineRule="auto"/>
        <w:jc w:val="center"/>
        <w:rPr>
          <w:rFonts w:ascii="Arial" w:eastAsia="Times New Roman" w:hAnsi="Arial" w:cs="Times New Roman"/>
          <w:b/>
          <w:sz w:val="24"/>
          <w:szCs w:val="24"/>
          <w:lang w:val="en-US"/>
        </w:rPr>
      </w:pPr>
    </w:p>
    <w:p w:rsidR="00184399" w:rsidRPr="00184399" w:rsidRDefault="00184399" w:rsidP="00184399">
      <w:pPr>
        <w:spacing w:after="0" w:line="480" w:lineRule="auto"/>
        <w:jc w:val="both"/>
        <w:rPr>
          <w:rFonts w:ascii="Arial" w:eastAsia="Times New Roman" w:hAnsi="Arial" w:cs="Times New Roman"/>
          <w:b/>
          <w:szCs w:val="24"/>
          <w:lang w:val="en-US"/>
        </w:rPr>
      </w:pPr>
    </w:p>
    <w:p w:rsidR="00184399" w:rsidRPr="00184399" w:rsidRDefault="00184399" w:rsidP="00184399">
      <w:pPr>
        <w:spacing w:after="0" w:line="480" w:lineRule="auto"/>
        <w:jc w:val="both"/>
        <w:rPr>
          <w:rFonts w:ascii="Arial" w:eastAsia="Times New Roman" w:hAnsi="Arial" w:cs="Times New Roman"/>
          <w:b/>
          <w:szCs w:val="24"/>
          <w:lang w:val="en-US"/>
        </w:rPr>
      </w:pPr>
    </w:p>
    <w:p w:rsidR="00805A34" w:rsidRDefault="00805A34"/>
    <w:sectPr w:rsidR="00805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99"/>
    <w:rsid w:val="00184399"/>
    <w:rsid w:val="002543BA"/>
    <w:rsid w:val="003C2DDF"/>
    <w:rsid w:val="00805A34"/>
    <w:rsid w:val="00CC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RTelford</dc:creator>
  <cp:lastModifiedBy>RTelford</cp:lastModifiedBy>
  <cp:revision>2</cp:revision>
  <dcterms:created xsi:type="dcterms:W3CDTF">2012-09-18T12:30:00Z</dcterms:created>
  <dcterms:modified xsi:type="dcterms:W3CDTF">2012-09-18T12:30:00Z</dcterms:modified>
</cp:coreProperties>
</file>