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D" w:rsidRPr="006C3618" w:rsidRDefault="003539CD" w:rsidP="00E17B2F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6C3618">
        <w:rPr>
          <w:rFonts w:cs="Arial"/>
          <w:b/>
          <w:sz w:val="28"/>
          <w:szCs w:val="28"/>
        </w:rPr>
        <w:t xml:space="preserve">SUPPORTING </w:t>
      </w:r>
      <w:r w:rsidR="00F914D8">
        <w:rPr>
          <w:rFonts w:cs="Arial"/>
          <w:b/>
          <w:sz w:val="28"/>
          <w:szCs w:val="28"/>
        </w:rPr>
        <w:t>INFORMATION</w:t>
      </w:r>
    </w:p>
    <w:p w:rsidR="003539CD" w:rsidRPr="006C3618" w:rsidRDefault="003539CD" w:rsidP="00E17B2F">
      <w:pPr>
        <w:spacing w:line="480" w:lineRule="auto"/>
        <w:jc w:val="center"/>
        <w:rPr>
          <w:rFonts w:cs="Arial"/>
          <w:b/>
          <w:sz w:val="28"/>
          <w:szCs w:val="28"/>
        </w:rPr>
      </w:pPr>
      <w:proofErr w:type="gramStart"/>
      <w:r w:rsidRPr="006C3618">
        <w:rPr>
          <w:rFonts w:cs="Arial"/>
          <w:b/>
          <w:sz w:val="28"/>
          <w:szCs w:val="28"/>
        </w:rPr>
        <w:t>for</w:t>
      </w:r>
      <w:proofErr w:type="gramEnd"/>
    </w:p>
    <w:p w:rsidR="003539CD" w:rsidRPr="009438A1" w:rsidRDefault="003539CD" w:rsidP="006C3618">
      <w:pPr>
        <w:spacing w:line="480" w:lineRule="auto"/>
        <w:rPr>
          <w:rFonts w:cs="Arial"/>
          <w:b/>
          <w:sz w:val="28"/>
          <w:szCs w:val="28"/>
        </w:rPr>
      </w:pPr>
      <w:r w:rsidRPr="009438A1">
        <w:rPr>
          <w:rFonts w:cs="Arial"/>
          <w:b/>
          <w:sz w:val="28"/>
          <w:szCs w:val="28"/>
        </w:rPr>
        <w:t>Probing the Role of Nascen</w:t>
      </w:r>
      <w:r>
        <w:rPr>
          <w:rFonts w:cs="Arial"/>
          <w:b/>
          <w:sz w:val="28"/>
          <w:szCs w:val="28"/>
        </w:rPr>
        <w:t xml:space="preserve">t </w:t>
      </w:r>
      <w:proofErr w:type="spellStart"/>
      <w:r>
        <w:rPr>
          <w:rFonts w:cs="Arial"/>
          <w:b/>
          <w:sz w:val="28"/>
          <w:szCs w:val="28"/>
        </w:rPr>
        <w:t>Helicity</w:t>
      </w:r>
      <w:proofErr w:type="spellEnd"/>
      <w:r>
        <w:rPr>
          <w:rFonts w:cs="Arial"/>
          <w:b/>
          <w:sz w:val="28"/>
          <w:szCs w:val="28"/>
        </w:rPr>
        <w:t xml:space="preserve"> in </w:t>
      </w:r>
      <w:r w:rsidRPr="009438A1">
        <w:rPr>
          <w:rFonts w:cs="Arial"/>
          <w:b/>
          <w:sz w:val="28"/>
          <w:szCs w:val="28"/>
        </w:rPr>
        <w:t xml:space="preserve">p27 </w:t>
      </w:r>
      <w:r>
        <w:rPr>
          <w:rFonts w:cs="Arial"/>
          <w:b/>
          <w:sz w:val="28"/>
          <w:szCs w:val="28"/>
        </w:rPr>
        <w:t xml:space="preserve">Function as a </w:t>
      </w:r>
      <w:r w:rsidRPr="009438A1">
        <w:rPr>
          <w:rFonts w:cs="Arial"/>
          <w:b/>
          <w:sz w:val="28"/>
          <w:szCs w:val="28"/>
        </w:rPr>
        <w:t>Cell Cycle</w:t>
      </w:r>
      <w:r>
        <w:rPr>
          <w:rFonts w:cs="Arial"/>
          <w:b/>
          <w:sz w:val="28"/>
          <w:szCs w:val="28"/>
        </w:rPr>
        <w:t xml:space="preserve"> Regulator</w:t>
      </w:r>
    </w:p>
    <w:p w:rsidR="003539CD" w:rsidRPr="009438A1" w:rsidRDefault="003539CD" w:rsidP="006C3618">
      <w:pPr>
        <w:spacing w:line="480" w:lineRule="auto"/>
        <w:rPr>
          <w:rFonts w:cs="Arial"/>
          <w:b/>
          <w:sz w:val="28"/>
          <w:szCs w:val="28"/>
        </w:rPr>
      </w:pPr>
    </w:p>
    <w:p w:rsidR="003539CD" w:rsidRPr="009438A1" w:rsidRDefault="003539CD" w:rsidP="006C3618">
      <w:pPr>
        <w:spacing w:line="480" w:lineRule="auto"/>
        <w:rPr>
          <w:rFonts w:cs="Arial"/>
        </w:rPr>
      </w:pPr>
      <w:r w:rsidRPr="009438A1">
        <w:rPr>
          <w:rFonts w:cs="Arial"/>
        </w:rPr>
        <w:t>Steve Otieno</w:t>
      </w:r>
      <w:r w:rsidRPr="009438A1">
        <w:rPr>
          <w:rFonts w:cs="Arial"/>
          <w:vertAlign w:val="superscript"/>
        </w:rPr>
        <w:t>1</w:t>
      </w:r>
      <w:r w:rsidRPr="009438A1">
        <w:rPr>
          <w:rFonts w:cs="Arial"/>
        </w:rPr>
        <w:t xml:space="preserve">, and Richard </w:t>
      </w:r>
      <w:proofErr w:type="spellStart"/>
      <w:r w:rsidRPr="009438A1">
        <w:rPr>
          <w:rFonts w:cs="Arial"/>
        </w:rPr>
        <w:t>Kriwacki</w:t>
      </w:r>
      <w:proofErr w:type="spellEnd"/>
      <w:r w:rsidRPr="009438A1">
        <w:rPr>
          <w:rFonts w:cs="Arial"/>
        </w:rPr>
        <w:t xml:space="preserve"> </w:t>
      </w:r>
      <w:r w:rsidRPr="009438A1">
        <w:rPr>
          <w:rFonts w:cs="Arial"/>
          <w:vertAlign w:val="superscript"/>
        </w:rPr>
        <w:t>1</w:t>
      </w:r>
      <w:proofErr w:type="gramStart"/>
      <w:r w:rsidRPr="009438A1">
        <w:rPr>
          <w:rFonts w:cs="Arial"/>
          <w:vertAlign w:val="superscript"/>
        </w:rPr>
        <w:t>,2</w:t>
      </w:r>
      <w:proofErr w:type="gramEnd"/>
      <w:r w:rsidRPr="009438A1">
        <w:rPr>
          <w:rFonts w:cs="Arial"/>
          <w:vertAlign w:val="superscript"/>
        </w:rPr>
        <w:t>*</w:t>
      </w:r>
    </w:p>
    <w:p w:rsidR="003539CD" w:rsidRPr="009438A1" w:rsidRDefault="003539CD" w:rsidP="006C3618">
      <w:pPr>
        <w:spacing w:line="480" w:lineRule="auto"/>
        <w:rPr>
          <w:rFonts w:cs="Arial"/>
        </w:rPr>
      </w:pPr>
    </w:p>
    <w:p w:rsidR="003539CD" w:rsidRPr="009438A1" w:rsidRDefault="003539CD" w:rsidP="006C3618">
      <w:pPr>
        <w:spacing w:line="480" w:lineRule="auto"/>
        <w:rPr>
          <w:rFonts w:cs="Arial"/>
        </w:rPr>
      </w:pPr>
      <w:r w:rsidRPr="009438A1">
        <w:rPr>
          <w:rFonts w:cs="Arial"/>
          <w:vertAlign w:val="superscript"/>
        </w:rPr>
        <w:t>1</w:t>
      </w:r>
      <w:r w:rsidRPr="009438A1">
        <w:rPr>
          <w:rFonts w:cs="Arial"/>
        </w:rPr>
        <w:t xml:space="preserve">Department of Structural Biology, St. Jude Children's </w:t>
      </w:r>
      <w:smartTag w:uri="urn:schemas-microsoft-com:office:smarttags" w:element="PlaceName">
        <w:r w:rsidRPr="009438A1">
          <w:rPr>
            <w:rFonts w:cs="Arial"/>
          </w:rPr>
          <w:t>Research</w:t>
        </w:r>
      </w:smartTag>
      <w:r w:rsidRPr="009438A1">
        <w:rPr>
          <w:rFonts w:cs="Arial"/>
        </w:rPr>
        <w:t xml:space="preserve"> </w:t>
      </w:r>
      <w:smartTag w:uri="urn:schemas-microsoft-com:office:smarttags" w:element="PlaceType">
        <w:r w:rsidRPr="009438A1">
          <w:rPr>
            <w:rFonts w:cs="Arial"/>
          </w:rPr>
          <w:t>Hospital</w:t>
        </w:r>
      </w:smartTag>
      <w:r w:rsidRPr="009438A1">
        <w:rPr>
          <w:rFonts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438A1">
            <w:rPr>
              <w:rFonts w:cs="Arial"/>
            </w:rPr>
            <w:t>Memphis</w:t>
          </w:r>
        </w:smartTag>
        <w:r w:rsidRPr="009438A1">
          <w:rPr>
            <w:rFonts w:cs="Arial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9438A1">
              <w:rPr>
                <w:rFonts w:cs="Arial"/>
              </w:rPr>
              <w:t>TN</w:t>
            </w:r>
          </w:smartTag>
        </w:smartTag>
        <w:r w:rsidRPr="009438A1">
          <w:rPr>
            <w:rFonts w:cs="Arial"/>
          </w:rPr>
          <w:t xml:space="preserve"> </w:t>
        </w:r>
        <w:smartTag w:uri="urn:schemas-microsoft-com:office:smarttags" w:element="PostalCode">
          <w:r w:rsidRPr="009438A1">
            <w:rPr>
              <w:rFonts w:cs="Arial"/>
            </w:rPr>
            <w:t>38105</w:t>
          </w:r>
        </w:smartTag>
      </w:smartTag>
    </w:p>
    <w:p w:rsidR="003539CD" w:rsidRPr="005515F7" w:rsidRDefault="003539CD" w:rsidP="006C3618">
      <w:pPr>
        <w:spacing w:line="480" w:lineRule="auto"/>
        <w:rPr>
          <w:rFonts w:cs="Arial"/>
        </w:rPr>
      </w:pPr>
      <w:r w:rsidRPr="005515F7">
        <w:rPr>
          <w:rFonts w:cs="Arial"/>
          <w:vertAlign w:val="superscript"/>
        </w:rPr>
        <w:t>2</w:t>
      </w:r>
      <w:r w:rsidRPr="005515F7">
        <w:rPr>
          <w:rFonts w:cs="Arial"/>
        </w:rPr>
        <w:t xml:space="preserve">Department of Microbiology, Immunology and Biochemistry, </w:t>
      </w:r>
      <w:proofErr w:type="gramStart"/>
      <w:r w:rsidRPr="005515F7">
        <w:rPr>
          <w:rFonts w:cs="Arial"/>
        </w:rPr>
        <w:t>The</w:t>
      </w:r>
      <w:proofErr w:type="gramEnd"/>
      <w:r w:rsidRPr="005515F7">
        <w:rPr>
          <w:rFonts w:cs="Arial"/>
        </w:rPr>
        <w:t xml:space="preserve"> University of </w:t>
      </w:r>
      <w:smartTag w:uri="urn:schemas-microsoft-com:office:smarttags" w:element="PlaceName">
        <w:r w:rsidRPr="005515F7">
          <w:rPr>
            <w:rFonts w:cs="Arial"/>
          </w:rPr>
          <w:t>Tennessee</w:t>
        </w:r>
      </w:smartTag>
      <w:r w:rsidRPr="005515F7">
        <w:rPr>
          <w:rFonts w:cs="Arial"/>
        </w:rPr>
        <w:t xml:space="preserve"> </w:t>
      </w:r>
      <w:smartTag w:uri="urn:schemas-microsoft-com:office:smarttags" w:element="PlaceName">
        <w:r w:rsidRPr="005515F7">
          <w:rPr>
            <w:rFonts w:cs="Arial"/>
          </w:rPr>
          <w:t>Health</w:t>
        </w:r>
      </w:smartTag>
      <w:r w:rsidRPr="005515F7">
        <w:rPr>
          <w:rFonts w:cs="Arial"/>
        </w:rPr>
        <w:t xml:space="preserve"> </w:t>
      </w:r>
      <w:smartTag w:uri="urn:schemas-microsoft-com:office:smarttags" w:element="PlaceName">
        <w:r w:rsidRPr="005515F7">
          <w:rPr>
            <w:rFonts w:cs="Arial"/>
          </w:rPr>
          <w:t>Science</w:t>
        </w:r>
      </w:smartTag>
      <w:r w:rsidRPr="005515F7">
        <w:rPr>
          <w:rFonts w:cs="Arial"/>
        </w:rPr>
        <w:t xml:space="preserve"> </w:t>
      </w:r>
      <w:smartTag w:uri="urn:schemas-microsoft-com:office:smarttags" w:element="PlaceType">
        <w:r w:rsidRPr="005515F7">
          <w:rPr>
            <w:rFonts w:cs="Arial"/>
          </w:rPr>
          <w:t>Center</w:t>
        </w:r>
      </w:smartTag>
      <w:r w:rsidRPr="005515F7">
        <w:rPr>
          <w:rFonts w:cs="Arial"/>
        </w:rPr>
        <w:t xml:space="preserve">, </w:t>
      </w:r>
      <w:smartTag w:uri="urn:schemas-microsoft-com:office:smarttags" w:element="City">
        <w:smartTag w:uri="urn:schemas-microsoft-com:office:smarttags" w:element="PlaceType">
          <w:smartTag w:uri="urn:schemas-microsoft-com:office:smarttags" w:element="place">
            <w:r w:rsidRPr="005515F7">
              <w:rPr>
                <w:rFonts w:cs="Arial"/>
              </w:rPr>
              <w:t>Memphis</w:t>
            </w:r>
          </w:smartTag>
          <w:r w:rsidRPr="005515F7">
            <w:rPr>
              <w:rFonts w:cs="Arial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 w:rsidRPr="005515F7">
                <w:rPr>
                  <w:rFonts w:cs="Arial"/>
                </w:rPr>
                <w:t>TN</w:t>
              </w:r>
            </w:smartTag>
          </w:smartTag>
          <w:r w:rsidRPr="005515F7">
            <w:rPr>
              <w:rFonts w:cs="Arial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 w:rsidRPr="005515F7">
                <w:rPr>
                  <w:rFonts w:cs="Arial"/>
                </w:rPr>
                <w:t>38163</w:t>
              </w:r>
            </w:smartTag>
          </w:smartTag>
        </w:smartTag>
      </w:smartTag>
    </w:p>
    <w:p w:rsidR="003539CD" w:rsidRPr="007E78A3" w:rsidRDefault="003539CD" w:rsidP="00291168">
      <w:pPr>
        <w:spacing w:line="48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Pr="007E78A3">
        <w:rPr>
          <w:rFonts w:cs="Arial"/>
          <w:b/>
        </w:rPr>
        <w:lastRenderedPageBreak/>
        <w:t>Materials and Methods</w:t>
      </w:r>
    </w:p>
    <w:p w:rsidR="003539CD" w:rsidRDefault="003539CD" w:rsidP="00291168">
      <w:pPr>
        <w:spacing w:line="480" w:lineRule="auto"/>
        <w:rPr>
          <w:rFonts w:cs="Arial"/>
          <w:i/>
        </w:rPr>
      </w:pPr>
      <w:r>
        <w:rPr>
          <w:rFonts w:cs="Arial"/>
          <w:i/>
        </w:rPr>
        <w:t>Design of p27-KID mutants</w:t>
      </w:r>
    </w:p>
    <w:p w:rsidR="003539CD" w:rsidRPr="00F8318B" w:rsidRDefault="003539CD" w:rsidP="000D0CCC">
      <w:pPr>
        <w:spacing w:after="0" w:line="480" w:lineRule="auto"/>
        <w:ind w:firstLine="720"/>
        <w:rPr>
          <w:rFonts w:cs="Arial"/>
        </w:rPr>
      </w:pPr>
      <w:r>
        <w:rPr>
          <w:rFonts w:cs="Arial"/>
        </w:rPr>
        <w:t xml:space="preserve">Two different strategies were used in the design of mutants with stabilized linker domains.  In the first approach,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was used as a possible stabilizer of the helical structure of the linker domain.  Two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mutants were designed.  In the first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mutant, all the residues that were selected for mutagenesis were substituted with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residues. 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was chosen because previous studies have shown that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residues stabilize and have a high propensity to occur in </w:t>
      </w:r>
      <w:r w:rsidR="00643698">
        <w:rPr>
          <w:rFonts w:cs="Arial"/>
        </w:rPr>
        <w:t>α</w:t>
      </w:r>
      <w:r>
        <w:rPr>
          <w:rFonts w:cs="Arial"/>
        </w:rPr>
        <w:t>-helices.</w:t>
      </w:r>
      <w:r w:rsidR="00DB1E8B">
        <w:rPr>
          <w:rFonts w:cs="Arial"/>
        </w:rPr>
        <w:fldChar w:fldCharType="begin">
          <w:fldData xml:space="preserve">PEVuZE5vdGU+PENpdGU+PEF1dGhvcj5QYWNlPC9BdXRob3I+PFllYXI+MTk5ODwvWWVhcj48UmVj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</w:fldData>
        </w:fldChar>
      </w:r>
      <w:r w:rsidR="001F232F">
        <w:rPr>
          <w:rFonts w:cs="Arial"/>
        </w:rPr>
        <w:instrText xml:space="preserve"> ADDIN EN.CITE </w:instrText>
      </w:r>
      <w:r w:rsidR="00DB1E8B">
        <w:rPr>
          <w:rFonts w:cs="Arial"/>
        </w:rPr>
        <w:fldChar w:fldCharType="begin">
          <w:fldData xml:space="preserve">PEVuZE5vdGU+PENpdGU+PEF1dGhvcj5QYWNlPC9BdXRob3I+PFllYXI+MTk5ODwvWWVhcj48UmVj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</w:fldData>
        </w:fldChar>
      </w:r>
      <w:r w:rsidR="001F232F">
        <w:rPr>
          <w:rFonts w:cs="Arial"/>
        </w:rPr>
        <w:instrText xml:space="preserve"> ADDIN EN.CITE.DATA </w:instrText>
      </w:r>
      <w:r w:rsidR="00DB1E8B">
        <w:rPr>
          <w:rFonts w:cs="Arial"/>
        </w:rPr>
      </w:r>
      <w:r w:rsidR="00DB1E8B">
        <w:rPr>
          <w:rFonts w:cs="Arial"/>
        </w:rPr>
        <w:fldChar w:fldCharType="end"/>
      </w:r>
      <w:r w:rsidR="00DB1E8B">
        <w:rPr>
          <w:rFonts w:cs="Arial"/>
        </w:rPr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1" w:tooltip="Pace, 1998 #30913" w:history="1">
        <w:r w:rsidR="001F232F">
          <w:rPr>
            <w:rFonts w:cs="Arial"/>
            <w:noProof/>
          </w:rPr>
          <w:t>1-3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This mutant, in which the 10 candidate residues were substituted with </w:t>
      </w:r>
      <w:proofErr w:type="spellStart"/>
      <w:r>
        <w:rPr>
          <w:rFonts w:cs="Arial"/>
        </w:rPr>
        <w:t>alanines</w:t>
      </w:r>
      <w:proofErr w:type="spellEnd"/>
      <w:r>
        <w:rPr>
          <w:rFonts w:cs="Arial"/>
        </w:rPr>
        <w:t>, was designated p27-KID</w:t>
      </w:r>
      <w:r>
        <w:rPr>
          <w:rFonts w:cs="Arial"/>
          <w:vertAlign w:val="superscript"/>
        </w:rPr>
        <w:t>A10</w:t>
      </w:r>
      <w:r>
        <w:rPr>
          <w:rFonts w:cs="Arial"/>
        </w:rPr>
        <w:t xml:space="preserve">.  In the second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 mutant, all the 22 residues in the linker domain were substituted with </w:t>
      </w:r>
      <w:proofErr w:type="spellStart"/>
      <w:r>
        <w:rPr>
          <w:rFonts w:cs="Arial"/>
        </w:rPr>
        <w:t>alanines</w:t>
      </w:r>
      <w:proofErr w:type="spellEnd"/>
      <w:r>
        <w:rPr>
          <w:rFonts w:cs="Arial"/>
        </w:rPr>
        <w:t>.  This mutant was designated p27-KID</w:t>
      </w:r>
      <w:r>
        <w:rPr>
          <w:rFonts w:cs="Arial"/>
          <w:vertAlign w:val="superscript"/>
        </w:rPr>
        <w:t>A22</w:t>
      </w:r>
      <w:r>
        <w:rPr>
          <w:rFonts w:cs="Arial"/>
        </w:rPr>
        <w:t xml:space="preserve">.  This approach did not yield a suitable mutant for our studies.  In the second approach,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 was used as a potential stabilizer of the linker domain helix.  Like </w:t>
      </w:r>
      <w:proofErr w:type="spellStart"/>
      <w:r>
        <w:rPr>
          <w:rFonts w:cs="Arial"/>
        </w:rPr>
        <w:t>alanine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 has also been shown to stabilize and have a high propensity to occur in </w:t>
      </w:r>
      <w:r w:rsidR="00643698">
        <w:rPr>
          <w:rFonts w:cs="Arial"/>
        </w:rPr>
        <w:t>α</w:t>
      </w:r>
      <w:r>
        <w:rPr>
          <w:rFonts w:cs="Arial"/>
        </w:rPr>
        <w:t>-helices.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&lt;EndNote&gt;&lt;Cite&gt;&lt;Author&gt;Chakrabartty&lt;/Author&gt;&lt;Year&gt;1994&lt;/Year&gt;&lt;RecNum&gt;30912&lt;/RecNum&gt;&lt;DisplayText&gt;[4]&lt;/DisplayText&gt;&lt;record&gt;&lt;rec-number&gt;30912&lt;/rec-number&gt;&lt;foreign-keys&gt;&lt;key app="EN" db-id="rtxvww9wgv2rtfez5vpxedp9w9wdrza0zp2w"&gt;30912&lt;/key&gt;&lt;/foreign-keys&gt;&lt;ref-type name="Journal Article"&gt;17&lt;/ref-type&gt;&lt;contributors&gt;&lt;authors&gt;&lt;author&gt;Chakrabartty, A.&lt;/author&gt;&lt;author&gt;Kortemme, T.&lt;/author&gt;&lt;author&gt;Baldwin, R. L.&lt;/author&gt;&lt;/authors&gt;&lt;/contributors&gt;&lt;auth-address&gt;Department of Biochemistry, Stanford University School of Medicine, California 94305.&lt;/auth-address&gt;&lt;titles&gt;&lt;title&gt;Helix propensities of the amino acids measured in alanine-based peptides without helix-stabilizing side-chain interactions&lt;/title&gt;&lt;secondary-title&gt;Protein Sci&lt;/secondary-title&gt;&lt;/titles&gt;&lt;periodical&gt;&lt;full-title&gt;Protein Sci&lt;/full-title&gt;&lt;/periodical&gt;&lt;pages&gt;843-52&lt;/pages&gt;&lt;volume&gt;3&lt;/volume&gt;&lt;number&gt;5&lt;/number&gt;&lt;keywords&gt;&lt;keyword&gt;Alanine/chemistry&lt;/keyword&gt;&lt;keyword&gt;Amino Acid Sequence&lt;/keyword&gt;&lt;keyword&gt;Amino Acids/chemistry&lt;/keyword&gt;&lt;keyword&gt;Circular Dichroism&lt;/keyword&gt;&lt;keyword&gt;Drug Design&lt;/keyword&gt;&lt;keyword&gt;Drug Stability&lt;/keyword&gt;&lt;keyword&gt;Hydrogen Bonding&lt;/keyword&gt;&lt;keyword&gt;Models, Chemical&lt;/keyword&gt;&lt;keyword&gt;Molecular Sequence Data&lt;/keyword&gt;&lt;keyword&gt;Peptides/chemical synthesis/*chemistry&lt;/keyword&gt;&lt;keyword&gt;Protein Folding&lt;/keyword&gt;&lt;keyword&gt;Protein Structure, Secondary&lt;/keyword&gt;&lt;/keywords&gt;&lt;dates&gt;&lt;year&gt;1994&lt;/year&gt;&lt;pub-dates&gt;&lt;date&gt;May&lt;/date&gt;&lt;/pub-dates&gt;&lt;/dates&gt;&lt;accession-num&gt;8061613&lt;/accession-num&gt;&lt;urls&gt;&lt;related-urls&gt;&lt;url&gt;http://www.ncbi.nlm.nih.gov/entrez/query.fcgi?cmd=Retrieve&amp;amp;db=PubMed&amp;amp;dopt=Citation&amp;amp;list_uids=8061613 &lt;/url&gt;&lt;/related-urls&gt;&lt;/urls&gt;&lt;/record&gt;&lt;/Cite&gt;&lt;/EndNote&gt;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4" w:tooltip="Chakrabartty, 1994 #30912" w:history="1">
        <w:r w:rsidR="001F232F">
          <w:rPr>
            <w:rFonts w:cs="Arial"/>
            <w:noProof/>
          </w:rPr>
          <w:t>4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 w:rsidRPr="00F75DDA">
        <w:rPr>
          <w:rFonts w:cs="Arial"/>
          <w:vertAlign w:val="superscript"/>
        </w:rPr>
        <w:t>,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&lt;EndNote&gt;&lt;Cite&gt;&lt;Author&gt;Chou&lt;/Author&gt;&lt;Year&gt;1974&lt;/Year&gt;&lt;RecNum&gt;525&lt;/RecNum&gt;&lt;DisplayText&gt;[2]&lt;/DisplayText&gt;&lt;record&gt;&lt;rec-number&gt;525&lt;/rec-number&gt;&lt;foreign-keys&gt;&lt;key app="EN" db-id="rtxvww9wgv2rtfez5vpxedp9w9wdrza0zp2w"&gt;525&lt;/key&gt;&lt;/foreign-keys&gt;&lt;ref-type name="Journal Article"&gt;17&lt;/ref-type&gt;&lt;contributors&gt;&lt;authors&gt;&lt;author&gt;Chou, P. Y.&lt;/author&gt;&lt;author&gt;Fasman, G. D.&lt;/author&gt;&lt;/authors&gt;&lt;/contributors&gt;&lt;titles&gt;&lt;title&gt;Conformational parameters for amino acids in helical, (-sheet, and random coil regions calculated from proteins&lt;/title&gt;&lt;secondary-title&gt;Biochemistry&lt;/secondary-title&gt;&lt;/titles&gt;&lt;periodical&gt;&lt;full-title&gt;Biochemistry&lt;/full-title&gt;&lt;/periodical&gt;&lt;pages&gt;211-221&lt;/pages&gt;&lt;volume&gt;13&lt;/volume&gt;&lt;number&gt;2&lt;/number&gt;&lt;dates&gt;&lt;year&gt;1974&lt;/year&gt;&lt;/dates&gt;&lt;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2" w:tooltip="Chou, 1974 #525" w:history="1">
        <w:r w:rsidR="001F232F">
          <w:rPr>
            <w:rFonts w:cs="Arial"/>
            <w:noProof/>
          </w:rPr>
          <w:t>2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Hydrophobic interactions between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 side chains on one face of an </w:t>
      </w:r>
      <w:r w:rsidR="00643698">
        <w:rPr>
          <w:rFonts w:cs="Arial"/>
        </w:rPr>
        <w:t>α</w:t>
      </w:r>
      <w:r>
        <w:rPr>
          <w:rFonts w:cs="Arial"/>
        </w:rPr>
        <w:t>-helix shield the backbone amides and carboxyl groups from hydrogen bonding with water, thus stabilizing the helical conformation.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&lt;EndNote&gt;&lt;Cite&gt;&lt;Author&gt;Luo&lt;/Author&gt;&lt;Year&gt;2002&lt;/Year&gt;&lt;RecNum&gt;30915&lt;/RecNum&gt;&lt;DisplayText&gt;[5]&lt;/DisplayText&gt;&lt;record&gt;&lt;rec-number&gt;30915&lt;/rec-number&gt;&lt;foreign-keys&gt;&lt;key app="EN" db-id="rtxvww9wgv2rtfez5vpxedp9w9wdrza0zp2w"&gt;30915&lt;/key&gt;&lt;/foreign-keys&gt;&lt;ref-type name="Journal Article"&gt;17&lt;/ref-type&gt;&lt;contributors&gt;&lt;authors&gt;&lt;author&gt;Luo, P.&lt;/author&gt;&lt;author&gt;Baldwin, R. L.&lt;/author&gt;&lt;/authors&gt;&lt;/contributors&gt;&lt;auth-address&gt;Department of Biochemistry, Beckman Center, Stanford University Medical Center, Stanford, CA 94305-5307, USA.&lt;/auth-address&gt;&lt;titles&gt;&lt;title&gt;Origin of the different strengths of the (i,i+4) and (i,i+3) leucine pair interactions in helices&lt;/title&gt;&lt;secondary-title&gt;Biophys Chem&lt;/secondary-title&gt;&lt;/titles&gt;&lt;pages&gt;103-8&lt;/pages&gt;&lt;volume&gt;96&lt;/volume&gt;&lt;number&gt;2-3&lt;/number&gt;&lt;keywords&gt;&lt;keyword&gt;Circular Dichroism&lt;/keyword&gt;&lt;keyword&gt;Leucine/*chemistry&lt;/keyword&gt;&lt;keyword&gt;*Models, Molecular&lt;/keyword&gt;&lt;keyword&gt;Monte Carlo Method&lt;/keyword&gt;&lt;keyword&gt;Peptides/*chemistry&lt;/keyword&gt;&lt;keyword&gt;Protein Denaturation&lt;/keyword&gt;&lt;keyword&gt;Protein Structure, Secondary&lt;/keyword&gt;&lt;keyword&gt;Solvents/pharmacology&lt;/keyword&gt;&lt;keyword&gt;Temperature&lt;/keyword&gt;&lt;keyword&gt;Thermodynamics&lt;/keyword&gt;&lt;/keywords&gt;&lt;dates&gt;&lt;year&gt;2002&lt;/year&gt;&lt;pub-dates&gt;&lt;date&gt;May 2&lt;/date&gt;&lt;/pub-dates&gt;&lt;/dates&gt;&lt;accession-num&gt;12034432&lt;/accession-num&gt;&lt;urls&gt;&lt;related-urls&gt;&lt;url&gt;http://www.ncbi.nlm.nih.gov/entrez/query.fcgi?cmd=Retrieve&amp;amp;db=PubMed&amp;amp;dopt=Citation&amp;amp;list_uids=12034432 &lt;/url&gt;&lt;/related-urls&gt;&lt;/urls&gt;&lt;/record&gt;&lt;/Cite&gt;&lt;/EndNote&gt;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5" w:tooltip="Luo, 2002 #30915" w:history="1">
        <w:r w:rsidR="001F232F">
          <w:rPr>
            <w:rFonts w:cs="Arial"/>
            <w:noProof/>
          </w:rPr>
          <w:t>5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One disadvantage of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, however, is its hydrophobic nature.  To counter the </w:t>
      </w:r>
      <w:proofErr w:type="spellStart"/>
      <w:r>
        <w:rPr>
          <w:rFonts w:cs="Arial"/>
        </w:rPr>
        <w:t>hydrophobicity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, we designed a library of mutants in which the number of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replacing the candidate residues was balanced with charged, polar residues.  The substituted residues in these mutants consisted of either 7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and 3 polar residues, 6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and 4 polar residues, 5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and 5 polar residues, etc.  We also ensured that the polar residues had a high helical propensity.  The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were strategically positioned three and four </w:t>
      </w:r>
      <w:r>
        <w:rPr>
          <w:rFonts w:cs="Arial"/>
        </w:rPr>
        <w:lastRenderedPageBreak/>
        <w:t xml:space="preserve">residues apart in the helix.  Past studies have shown that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positioned three and four residues apart stabilize </w:t>
      </w:r>
      <w:r w:rsidR="00643698">
        <w:rPr>
          <w:rFonts w:cs="Arial"/>
        </w:rPr>
        <w:t>α</w:t>
      </w:r>
      <w:r>
        <w:rPr>
          <w:rFonts w:cs="Arial"/>
        </w:rPr>
        <w:t>-helices.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&lt;EndNote&gt;&lt;Cite&gt;&lt;Author&gt;Luo&lt;/Author&gt;&lt;Year&gt;2002&lt;/Year&gt;&lt;RecNum&gt;10753&lt;/RecNum&gt;&lt;DisplayText&gt;[6]&lt;/DisplayText&gt;&lt;record&gt;&lt;rec-number&gt;10753&lt;/rec-number&gt;&lt;foreign-keys&gt;&lt;key app="EN" db-id="rtxvww9wgv2rtfez5vpxedp9w9wdrza0zp2w"&gt;10753&lt;/key&gt;&lt;/foreign-keys&gt;&lt;ref-type name="Journal Article"&gt;17&lt;/ref-type&gt;&lt;contributors&gt;&lt;authors&gt;&lt;author&gt;Luo, P.&lt;/author&gt;&lt;author&gt;Baldwin, R. L.&lt;/author&gt;&lt;/authors&gt;&lt;/contributors&gt;&lt;titles&gt;&lt;title&gt;Origin of the different strengths of the (i,i+4) and (i,i+3) leucine pair interactions in helices&lt;/title&gt;&lt;secondary-title&gt;Biophys Chem&lt;/secondary-title&gt;&lt;/titles&gt;&lt;pages&gt;103-8.&lt;/pages&gt;&lt;volume&gt;96&lt;/volume&gt;&lt;number&gt;2-3&lt;/number&gt;&lt;keywords&gt;&lt;keyword&gt;0 (Peptides)&lt;/keyword&gt;&lt;keyword&gt;0 (Solvents)&lt;/keyword&gt;&lt;keyword&gt;61-90-5 (Leucine)&lt;/keyword&gt;&lt;keyword&gt;Circular Dichroism&lt;/keyword&gt;&lt;keyword&gt;Leucine/*chemistry&lt;/keyword&gt;&lt;keyword&gt;*Models, Molecular&lt;/keyword&gt;&lt;keyword&gt;Monte Carlo Method&lt;/keyword&gt;&lt;keyword&gt;Peptides/*chemistry&lt;/keyword&gt;&lt;keyword&gt;Protein Denaturation&lt;/keyword&gt;&lt;keyword&gt;Protein Structure, Secondary&lt;/keyword&gt;&lt;keyword&gt;Research Support, Non-U.S. Gov&amp;apos;t&lt;/keyword&gt;&lt;keyword&gt;Research Support, U.S. Gov&amp;apos;t, P.H.S.&lt;/keyword&gt;&lt;keyword&gt;Solvents/pharmacology&lt;/keyword&gt;&lt;keyword&gt;Temperature&lt;/keyword&gt;&lt;keyword&gt;Thermodynamics&lt;/keyword&gt;&lt;/keywords&gt;&lt;dates&gt;&lt;year&gt;2002&lt;/year&gt;&lt;pub-dates&gt;&lt;date&gt;May 2&lt;/date&gt;&lt;/pub-dates&gt;&lt;/dates&gt;&lt;isbn&gt;0301-4622&lt;/isbn&gt;&lt;urls&gt;&lt;/urls&gt;&lt;/record&gt;&lt;/Cite&gt;&lt;/EndNote&gt;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6" w:tooltip="Luo, 2002 #10753" w:history="1">
        <w:r w:rsidR="001F232F">
          <w:rPr>
            <w:rFonts w:cs="Arial"/>
            <w:noProof/>
          </w:rPr>
          <w:t>6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In addition,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 positioned four residues apart is one of the most commonly observed pair-wise side chain interactions in protein </w:t>
      </w:r>
      <w:r w:rsidR="00643698">
        <w:rPr>
          <w:rFonts w:cs="Arial"/>
        </w:rPr>
        <w:t>α</w:t>
      </w:r>
      <w:r>
        <w:rPr>
          <w:rFonts w:cs="Arial"/>
        </w:rPr>
        <w:t>-helices.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&lt;EndNote&gt;&lt;Cite&gt;&lt;Author&gt;Klingler&lt;/Author&gt;&lt;Year&gt;1994&lt;/Year&gt;&lt;RecNum&gt;30917&lt;/RecNum&gt;&lt;DisplayText&gt;[7]&lt;/DisplayText&gt;&lt;record&gt;&lt;rec-number&gt;30917&lt;/rec-number&gt;&lt;foreign-keys&gt;&lt;key app="EN" db-id="rtxvww9wgv2rtfez5vpxedp9w9wdrza0zp2w"&gt;30917&lt;/key&gt;&lt;/foreign-keys&gt;&lt;ref-type name="Journal Article"&gt;17&lt;/ref-type&gt;&lt;contributors&gt;&lt;authors&gt;&lt;author&gt;Klingler, T. M.&lt;/author&gt;&lt;author&gt;Brutlag, D. L.&lt;/author&gt;&lt;/authors&gt;&lt;/contributors&gt;&lt;auth-address&gt;Department of Biochemistry, Stanford University School of Medicine, California 94305-5307.&lt;/auth-address&gt;&lt;titles&gt;&lt;title&gt;Discovering structural correlations in alpha-helices&lt;/title&gt;&lt;secondary-title&gt;Protein Sci&lt;/secondary-title&gt;&lt;/titles&gt;&lt;periodical&gt;&lt;full-title&gt;Protein Sci&lt;/full-title&gt;&lt;/periodical&gt;&lt;pages&gt;1847-57&lt;/pages&gt;&lt;volume&gt;3&lt;/volume&gt;&lt;number&gt;10&lt;/number&gt;&lt;keywords&gt;&lt;keyword&gt;Amino Acid Sequence&lt;/keyword&gt;&lt;keyword&gt;Amino Acids/*chemistry/classification&lt;/keyword&gt;&lt;keyword&gt;Chemistry, Physical&lt;/keyword&gt;&lt;keyword&gt;Histidine/chemistry&lt;/keyword&gt;&lt;keyword&gt;Phenylalanine/chemistry&lt;/keyword&gt;&lt;keyword&gt;Probability&lt;/keyword&gt;&lt;keyword&gt;*Protein Structure, Secondary&lt;/keyword&gt;&lt;keyword&gt;Proteins/*chemistry&lt;/keyword&gt;&lt;keyword&gt;Sequence Analysis&lt;/keyword&gt;&lt;keyword&gt;Software&lt;/keyword&gt;&lt;/keywords&gt;&lt;dates&gt;&lt;year&gt;1994&lt;/year&gt;&lt;pub-dates&gt;&lt;date&gt;Oct&lt;/date&gt;&lt;/pub-dates&gt;&lt;/dates&gt;&lt;accession-num&gt;7849600&lt;/accession-num&gt;&lt;urls&gt;&lt;related-urls&gt;&lt;url&gt;http://www.ncbi.nlm.nih.gov/entrez/query.fcgi?cmd=Retrieve&amp;amp;db=PubMed&amp;amp;dopt=Citation&amp;amp;list_uids=7849600 &lt;/url&gt;&lt;/related-urls&gt;&lt;/urls&gt;&lt;/record&gt;&lt;/Cite&gt;&lt;/EndNote&gt;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7" w:tooltip="Klingler, 1994 #30917" w:history="1">
        <w:r w:rsidR="001F232F">
          <w:rPr>
            <w:rFonts w:cs="Arial"/>
            <w:noProof/>
          </w:rPr>
          <w:t>7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A total of 6 mutants were designed.  The mutants were designated p27-KID</w:t>
      </w:r>
      <w:r>
        <w:rPr>
          <w:rFonts w:cs="Arial"/>
          <w:vertAlign w:val="superscript"/>
        </w:rPr>
        <w:t>SL1</w:t>
      </w:r>
      <w:r>
        <w:rPr>
          <w:rFonts w:cs="Arial"/>
        </w:rPr>
        <w:t xml:space="preserve"> (SL1; stabilized by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>, construct 1), p27-KID</w:t>
      </w:r>
      <w:r>
        <w:rPr>
          <w:rFonts w:cs="Arial"/>
          <w:vertAlign w:val="superscript"/>
        </w:rPr>
        <w:t>SL2</w:t>
      </w:r>
      <w:r>
        <w:rPr>
          <w:rFonts w:cs="Arial"/>
        </w:rPr>
        <w:t>, p27-KID</w:t>
      </w:r>
      <w:r>
        <w:rPr>
          <w:rFonts w:cs="Arial"/>
          <w:vertAlign w:val="superscript"/>
        </w:rPr>
        <w:t>SL3</w:t>
      </w:r>
      <w:r>
        <w:rPr>
          <w:rFonts w:cs="Arial"/>
        </w:rPr>
        <w:t>, p27-KID</w:t>
      </w:r>
      <w:r>
        <w:rPr>
          <w:rFonts w:cs="Arial"/>
          <w:vertAlign w:val="superscript"/>
        </w:rPr>
        <w:t>SL4</w:t>
      </w:r>
      <w:r>
        <w:rPr>
          <w:rFonts w:cs="Arial"/>
        </w:rPr>
        <w:t>, p27-KID</w:t>
      </w:r>
      <w:r>
        <w:rPr>
          <w:rFonts w:cs="Arial"/>
          <w:vertAlign w:val="superscript"/>
        </w:rPr>
        <w:t>SL5</w:t>
      </w:r>
      <w:r>
        <w:rPr>
          <w:rFonts w:cs="Arial"/>
        </w:rPr>
        <w:t>, and p27-KID</w:t>
      </w:r>
      <w:r>
        <w:rPr>
          <w:rFonts w:cs="Arial"/>
          <w:vertAlign w:val="superscript"/>
        </w:rPr>
        <w:t>SL6</w:t>
      </w:r>
      <w:r>
        <w:rPr>
          <w:rFonts w:cs="Arial"/>
        </w:rPr>
        <w:t>.  In the p27-KID</w:t>
      </w:r>
      <w:r>
        <w:rPr>
          <w:rFonts w:cs="Arial"/>
          <w:vertAlign w:val="superscript"/>
        </w:rPr>
        <w:t>SL6</w:t>
      </w:r>
      <w:r>
        <w:rPr>
          <w:rFonts w:cs="Arial"/>
        </w:rPr>
        <w:t xml:space="preserve"> mutant, all the candidate residues were substituted with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.  This mutant was designed to test if charged residues that were determined to be unsuitable for mutagenesis could counter the </w:t>
      </w:r>
      <w:proofErr w:type="spellStart"/>
      <w:r>
        <w:rPr>
          <w:rFonts w:cs="Arial"/>
        </w:rPr>
        <w:t>hydrophobicity</w:t>
      </w:r>
      <w:proofErr w:type="spellEnd"/>
      <w:r>
        <w:rPr>
          <w:rFonts w:cs="Arial"/>
        </w:rPr>
        <w:t xml:space="preserve"> of the 10 </w:t>
      </w:r>
      <w:proofErr w:type="spellStart"/>
      <w:r>
        <w:rPr>
          <w:rFonts w:cs="Arial"/>
        </w:rPr>
        <w:t>leucines</w:t>
      </w:r>
      <w:proofErr w:type="spellEnd"/>
      <w:r>
        <w:rPr>
          <w:rFonts w:cs="Arial"/>
        </w:rPr>
        <w:t xml:space="preserve">.  Of the </w:t>
      </w:r>
      <w:proofErr w:type="spellStart"/>
      <w:r>
        <w:rPr>
          <w:rFonts w:cs="Arial"/>
        </w:rPr>
        <w:t>leucine</w:t>
      </w:r>
      <w:proofErr w:type="spellEnd"/>
      <w:r>
        <w:rPr>
          <w:rFonts w:cs="Arial"/>
        </w:rPr>
        <w:t xml:space="preserve"> mutants, only the p27-KID</w:t>
      </w:r>
      <w:r w:rsidR="00935D2D" w:rsidRPr="00935D2D">
        <w:rPr>
          <w:rFonts w:cs="Arial"/>
          <w:vertAlign w:val="superscript"/>
        </w:rPr>
        <w:t>SL3</w:t>
      </w:r>
      <w:r>
        <w:rPr>
          <w:rFonts w:cs="Arial"/>
        </w:rPr>
        <w:t xml:space="preserve"> (designated p27-KID</w:t>
      </w:r>
      <w:r>
        <w:rPr>
          <w:rFonts w:cs="Arial"/>
          <w:vertAlign w:val="superscript"/>
        </w:rPr>
        <w:t>+H</w:t>
      </w:r>
      <w:r>
        <w:rPr>
          <w:rFonts w:cs="Arial"/>
        </w:rPr>
        <w:t xml:space="preserve"> in this study) was both soluble and more helical than p27-KID</w:t>
      </w:r>
      <w:r>
        <w:rPr>
          <w:rFonts w:cs="Arial"/>
          <w:vertAlign w:val="superscript"/>
        </w:rPr>
        <w:t>wt</w:t>
      </w:r>
      <w:r>
        <w:rPr>
          <w:rFonts w:cs="Arial"/>
        </w:rPr>
        <w:t>.</w:t>
      </w:r>
    </w:p>
    <w:p w:rsidR="003539CD" w:rsidRDefault="003539CD" w:rsidP="000D0CCC">
      <w:pPr>
        <w:spacing w:after="0" w:line="480" w:lineRule="auto"/>
        <w:rPr>
          <w:rFonts w:cs="Arial"/>
        </w:rPr>
      </w:pPr>
      <w:r>
        <w:rPr>
          <w:rFonts w:cs="Arial"/>
        </w:rPr>
        <w:tab/>
        <w:t xml:space="preserve">For the less helical mutant, the candidate residues were replaced with </w:t>
      </w:r>
      <w:proofErr w:type="spellStart"/>
      <w:r>
        <w:rPr>
          <w:rFonts w:cs="Arial"/>
        </w:rPr>
        <w:t>glutamic</w:t>
      </w:r>
      <w:proofErr w:type="spellEnd"/>
      <w:r>
        <w:rPr>
          <w:rFonts w:cs="Arial"/>
        </w:rPr>
        <w:t xml:space="preserve"> acid (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) residues.  The premise behind choosing 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 residues is that electrostatic repulsion between the negatively charged 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 side-chains should destabilize the helix backbone.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&lt;EndNote&gt;&lt;Cite&gt;&lt;Author&gt;Moser&lt;/Author&gt;&lt;Year&gt;1992&lt;/Year&gt;&lt;RecNum&gt;33538&lt;/RecNum&gt;&lt;DisplayText&gt;[8]&lt;/DisplayText&gt;&lt;record&gt;&lt;rec-number&gt;33538&lt;/rec-number&gt;&lt;foreign-keys&gt;&lt;key app="EN" db-id="rtxvww9wgv2rtfez5vpxedp9w9wdrza0zp2w"&gt;33538&lt;/key&gt;&lt;/foreign-keys&gt;&lt;ref-type name="Journal Article"&gt;17&lt;/ref-type&gt;&lt;contributors&gt;&lt;authors&gt;&lt;author&gt;Moser, R.&lt;/author&gt;&lt;/authors&gt;&lt;/contributors&gt;&lt;auth-address&gt;Biochemisches Institut, Universitat Zurich, Switzerland.&lt;/auth-address&gt;&lt;titles&gt;&lt;title&gt;Design, synthesis and structure of an amphipathic peptide with pH-inducible haemolytic activity&lt;/title&gt;&lt;secondary-title&gt;Protein Eng&lt;/secondary-title&gt;&lt;/titles&gt;&lt;pages&gt;323-31&lt;/pages&gt;&lt;volume&gt;5&lt;/volume&gt;&lt;number&gt;4&lt;/number&gt;&lt;keywords&gt;&lt;keyword&gt;Amino Acid Sequence&lt;/keyword&gt;&lt;keyword&gt;Circular Dichroism&lt;/keyword&gt;&lt;keyword&gt;*Hemolysin Proteins/chemistry&lt;/keyword&gt;&lt;keyword&gt;Hydrogen-Ion Concentration&lt;/keyword&gt;&lt;keyword&gt;Models, Molecular&lt;/keyword&gt;&lt;keyword&gt;Molecular Sequence Data&lt;/keyword&gt;&lt;keyword&gt;Peptides/*chemical synthesis/chemistry&lt;/keyword&gt;&lt;keyword&gt;Protein Conformation&lt;/keyword&gt;&lt;keyword&gt;Surface-Active Agents/*chemical synthesis/chemistry&lt;/keyword&gt;&lt;/keywords&gt;&lt;dates&gt;&lt;year&gt;1992&lt;/year&gt;&lt;pub-dates&gt;&lt;date&gt;Jun&lt;/date&gt;&lt;/pub-dates&gt;&lt;/dates&gt;&lt;accession-num&gt;1409554&lt;/accession-num&gt;&lt;urls&gt;&lt;related-urls&gt;&lt;url&gt;http://www.ncbi.nlm.nih.gov/entrez/query.fcgi?cmd=Retrieve&amp;amp;db=PubMed&amp;amp;dopt=Citation&amp;amp;list_uids=1409554 &lt;/url&gt;&lt;/related-urls&gt;&lt;/urls&gt;&lt;/record&gt;&lt;/Cite&gt;&lt;/EndNote&gt;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8" w:tooltip="Moser, 1992 #33538" w:history="1">
        <w:r w:rsidR="001F232F">
          <w:rPr>
            <w:rFonts w:cs="Arial"/>
            <w:noProof/>
          </w:rPr>
          <w:t>8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In addition, the substituting residues close to the </w:t>
      </w:r>
      <w:proofErr w:type="spellStart"/>
      <w:r>
        <w:rPr>
          <w:rFonts w:cs="Arial"/>
        </w:rPr>
        <w:t>carboxy</w:t>
      </w:r>
      <w:proofErr w:type="spellEnd"/>
      <w:r>
        <w:rPr>
          <w:rFonts w:cs="Arial"/>
        </w:rPr>
        <w:t xml:space="preserve"> terminus of the helix with 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 residues would result in further destabilization of the helix due to repulsion of the negatively charged 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 side-chain and the negative </w:t>
      </w:r>
      <w:proofErr w:type="spellStart"/>
      <w:r>
        <w:rPr>
          <w:rFonts w:cs="Arial"/>
        </w:rPr>
        <w:t>carboxy</w:t>
      </w:r>
      <w:proofErr w:type="spellEnd"/>
      <w:r>
        <w:rPr>
          <w:rFonts w:cs="Arial"/>
        </w:rPr>
        <w:t>-terminus helix dipole.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&lt;EndNote&gt;&lt;Cite&gt;&lt;Author&gt;Shoemaker&lt;/Author&gt;&lt;Year&gt;1985&lt;/Year&gt;&lt;RecNum&gt;34358&lt;/RecNum&gt;&lt;DisplayText&gt;[9]&lt;/DisplayText&gt;&lt;record&gt;&lt;rec-number&gt;34358&lt;/rec-number&gt;&lt;foreign-keys&gt;&lt;key app="EN" db-id="rtxvww9wgv2rtfez5vpxedp9w9wdrza0zp2w"&gt;34358&lt;/key&gt;&lt;/foreign-keys&gt;&lt;ref-type name="Journal Article"&gt;17&lt;/ref-type&gt;&lt;contributors&gt;&lt;authors&gt;&lt;author&gt;Shoemaker, K. R.&lt;/author&gt;&lt;author&gt;Kim, P. S.&lt;/author&gt;&lt;author&gt;Brems, D. N.&lt;/author&gt;&lt;author&gt;Marqusee, S.&lt;/author&gt;&lt;author&gt;York, E. J.&lt;/author&gt;&lt;author&gt;Chaiken, I. M.&lt;/author&gt;&lt;author&gt;Stewart, J. M.&lt;/author&gt;&lt;author&gt;Baldwin, R. L.&lt;/author&gt;&lt;/authors&gt;&lt;/contributors&gt;&lt;titles&gt;&lt;title&gt;Nature of the charged-group effect on the stability of the C-peptide helix&lt;/title&gt;&lt;secondary-title&gt;Proc Natl Acad Sci U S A&lt;/secondary-title&gt;&lt;/titles&gt;&lt;periodical&gt;&lt;full-title&gt;Proc Natl Acad Sci U S A&lt;/full-title&gt;&lt;/periodical&gt;&lt;pages&gt;2349-53&lt;/pages&gt;&lt;volume&gt;82&lt;/volume&gt;&lt;number&gt;8&lt;/number&gt;&lt;keywords&gt;&lt;keyword&gt;Electrochemistry&lt;/keyword&gt;&lt;keyword&gt;Hydrogen-Ion Concentration&lt;/keyword&gt;&lt;keyword&gt;Models, Chemical&lt;/keyword&gt;&lt;keyword&gt;*Peptide Fragments&lt;/keyword&gt;&lt;keyword&gt;Protein Conformation&lt;/keyword&gt;&lt;keyword&gt;*Ribonuclease, Pancreatic&lt;/keyword&gt;&lt;keyword&gt;*Ribonucleases&lt;/keyword&gt;&lt;/keywords&gt;&lt;dates&gt;&lt;year&gt;1985&lt;/year&gt;&lt;pub-dates&gt;&lt;date&gt;Apr&lt;/date&gt;&lt;/pub-dates&gt;&lt;/dates&gt;&lt;accession-num&gt;3857585&lt;/accession-num&gt;&lt;urls&gt;&lt;related-urls&gt;&lt;url&gt;http://www.ncbi.nlm.nih.gov/entrez/query.fcgi?cmd=Retrieve&amp;amp;db=PubMed&amp;amp;dopt=Citation&amp;amp;list_uids=3857585 &lt;/url&gt;&lt;/related-urls&gt;&lt;/urls&gt;&lt;/record&gt;&lt;/Cite&gt;&lt;/EndNote&gt;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9" w:tooltip="Shoemaker, 1985 #34358" w:history="1">
        <w:r w:rsidR="001F232F">
          <w:rPr>
            <w:rFonts w:cs="Arial"/>
            <w:noProof/>
          </w:rPr>
          <w:t>9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>
        <w:rPr>
          <w:rFonts w:cs="Arial"/>
        </w:rPr>
        <w:t xml:space="preserve">  Another advantage of using glutamate is that the polar </w:t>
      </w:r>
      <w:proofErr w:type="spellStart"/>
      <w:r>
        <w:rPr>
          <w:rFonts w:cs="Arial"/>
        </w:rPr>
        <w:t>Glu</w:t>
      </w:r>
      <w:proofErr w:type="spellEnd"/>
      <w:r>
        <w:rPr>
          <w:rFonts w:cs="Arial"/>
        </w:rPr>
        <w:t xml:space="preserve"> side-chain should enhance the solubility of this mutant.  This mutant was designated p27-KID</w:t>
      </w:r>
      <w:r>
        <w:rPr>
          <w:rFonts w:cs="Arial"/>
          <w:vertAlign w:val="superscript"/>
        </w:rPr>
        <w:t>-H</w:t>
      </w:r>
      <w:r>
        <w:rPr>
          <w:rFonts w:cs="Arial"/>
        </w:rPr>
        <w:t>.</w:t>
      </w:r>
    </w:p>
    <w:p w:rsidR="003539CD" w:rsidRDefault="003539CD" w:rsidP="000D0CCC">
      <w:pPr>
        <w:spacing w:after="0" w:line="480" w:lineRule="auto"/>
        <w:rPr>
          <w:rFonts w:cs="Arial"/>
        </w:rPr>
      </w:pPr>
      <w:r>
        <w:rPr>
          <w:rFonts w:cs="Arial"/>
        </w:rPr>
        <w:tab/>
        <w:t xml:space="preserve">A mutant with a flexible loop comprised of mainly </w:t>
      </w:r>
      <w:proofErr w:type="spellStart"/>
      <w:r>
        <w:rPr>
          <w:rFonts w:cs="Arial"/>
        </w:rPr>
        <w:t>glycine</w:t>
      </w:r>
      <w:proofErr w:type="spellEnd"/>
      <w:r>
        <w:rPr>
          <w:rFonts w:cs="Arial"/>
        </w:rPr>
        <w:t xml:space="preserve"> residues, a known helix breaker, and other residues with a low propensity for being in </w:t>
      </w:r>
      <w:r w:rsidR="00643698">
        <w:rPr>
          <w:rFonts w:cs="Arial"/>
        </w:rPr>
        <w:t>α</w:t>
      </w:r>
      <w:r>
        <w:rPr>
          <w:rFonts w:cs="Arial"/>
        </w:rPr>
        <w:t xml:space="preserve">-helices was also designed.  The residues that comprised this mutant were chosen with an objective of minimizing helical secondary structure in the LH sub-domain.  The number of residues </w:t>
      </w:r>
      <w:r>
        <w:rPr>
          <w:rFonts w:cs="Arial"/>
        </w:rPr>
        <w:lastRenderedPageBreak/>
        <w:t>in the loop equaled 22, as in the p27 linker domain.  This mutant was designated p27-KID</w:t>
      </w:r>
      <w:r>
        <w:rPr>
          <w:rFonts w:cs="Arial"/>
          <w:vertAlign w:val="superscript"/>
        </w:rPr>
        <w:t>loop</w:t>
      </w:r>
      <w:r>
        <w:rPr>
          <w:rFonts w:cs="Arial"/>
        </w:rPr>
        <w:t xml:space="preserve">.  </w:t>
      </w:r>
      <w:r w:rsidRPr="0033666B">
        <w:rPr>
          <w:rFonts w:cs="Arial"/>
        </w:rPr>
        <w:t>Table S2</w:t>
      </w:r>
      <w:r>
        <w:rPr>
          <w:rFonts w:cs="Arial"/>
        </w:rPr>
        <w:t xml:space="preserve"> shows the linker domain sequences of all the mutants designed. </w:t>
      </w:r>
    </w:p>
    <w:p w:rsidR="003539CD" w:rsidRDefault="003539CD" w:rsidP="000D0CCC">
      <w:pPr>
        <w:spacing w:after="0" w:line="480" w:lineRule="auto"/>
        <w:rPr>
          <w:rFonts w:cs="Arial"/>
          <w:i/>
        </w:rPr>
      </w:pPr>
    </w:p>
    <w:p w:rsidR="003539CD" w:rsidRPr="009438A1" w:rsidRDefault="003539CD" w:rsidP="000D0CCC">
      <w:pPr>
        <w:spacing w:after="0" w:line="480" w:lineRule="auto"/>
        <w:rPr>
          <w:rFonts w:cs="Arial"/>
          <w:i/>
        </w:rPr>
      </w:pPr>
      <w:r w:rsidRPr="009438A1">
        <w:rPr>
          <w:rFonts w:cs="Arial"/>
          <w:i/>
        </w:rPr>
        <w:t xml:space="preserve">Determination of </w:t>
      </w:r>
      <w:r>
        <w:rPr>
          <w:rFonts w:cs="Arial"/>
          <w:i/>
        </w:rPr>
        <w:t>P</w:t>
      </w:r>
      <w:r w:rsidRPr="009438A1">
        <w:rPr>
          <w:rFonts w:cs="Arial"/>
          <w:i/>
        </w:rPr>
        <w:t xml:space="preserve">rotein </w:t>
      </w:r>
      <w:r>
        <w:rPr>
          <w:rFonts w:cs="Arial"/>
          <w:i/>
        </w:rPr>
        <w:t>C</w:t>
      </w:r>
      <w:r w:rsidRPr="009438A1">
        <w:rPr>
          <w:rFonts w:cs="Arial"/>
          <w:i/>
        </w:rPr>
        <w:t>oncentrations</w:t>
      </w:r>
    </w:p>
    <w:p w:rsidR="003539CD" w:rsidRPr="009438A1" w:rsidRDefault="003539CD" w:rsidP="00291168">
      <w:pPr>
        <w:spacing w:line="480" w:lineRule="auto"/>
        <w:ind w:firstLine="720"/>
        <w:rPr>
          <w:rFonts w:cs="Arial"/>
        </w:rPr>
      </w:pPr>
      <w:r w:rsidRPr="009438A1">
        <w:rPr>
          <w:rFonts w:cs="Arial"/>
        </w:rPr>
        <w:t>We used UV absorbance at 280 nm to determine the concentrations of the proteins</w:t>
      </w:r>
      <w:r>
        <w:rPr>
          <w:rFonts w:cs="Arial"/>
        </w:rPr>
        <w:t xml:space="preserve"> used in this study</w:t>
      </w:r>
      <w:r w:rsidRPr="009438A1">
        <w:rPr>
          <w:rFonts w:cs="Arial"/>
        </w:rPr>
        <w:t xml:space="preserve">.  The absorbance readings were taken with the proteins in a denaturing buffer containing 20 </w:t>
      </w:r>
      <w:proofErr w:type="spellStart"/>
      <w:r w:rsidRPr="009438A1">
        <w:rPr>
          <w:rFonts w:cs="Arial"/>
        </w:rPr>
        <w:t>mM</w:t>
      </w:r>
      <w:proofErr w:type="spellEnd"/>
      <w:r w:rsidRPr="009438A1">
        <w:rPr>
          <w:rFonts w:cs="Arial"/>
        </w:rPr>
        <w:t xml:space="preserve"> phosphate pH 6.5, and 6.0 M </w:t>
      </w:r>
      <w:proofErr w:type="spellStart"/>
      <w:r w:rsidRPr="009438A1">
        <w:rPr>
          <w:rFonts w:cs="Arial"/>
        </w:rPr>
        <w:t>guanidinium</w:t>
      </w:r>
      <w:proofErr w:type="spellEnd"/>
      <w:r w:rsidRPr="009438A1">
        <w:rPr>
          <w:rFonts w:cs="Arial"/>
        </w:rPr>
        <w:t xml:space="preserve"> hydrochloride</w:t>
      </w:r>
      <w:r>
        <w:rPr>
          <w:rFonts w:cs="Arial"/>
        </w:rPr>
        <w:t xml:space="preserve"> </w:t>
      </w:r>
      <w:r w:rsidR="00DB1E8B">
        <w:rPr>
          <w:rFonts w:cs="Arial"/>
        </w:rPr>
        <w:fldChar w:fldCharType="begin"/>
      </w:r>
      <w:r w:rsidR="001F232F">
        <w:rPr>
          <w:rFonts w:cs="Arial"/>
        </w:rPr>
        <w:instrText xml:space="preserve"> ADDIN EN.CITE &lt;EndNote&gt;&lt;Cite&gt;&lt;Author&gt;Gill&lt;/Author&gt;&lt;Year&gt;1989&lt;/Year&gt;&lt;RecNum&gt;1435&lt;/RecNum&gt;&lt;DisplayText&gt;[10,11]&lt;/DisplayText&gt;&lt;record&gt;&lt;rec-number&gt;1435&lt;/rec-number&gt;&lt;foreign-keys&gt;&lt;key app="EN" db-id="rsxfw5tv8vtsw4erapxv2awqdsa92rzapda9"&gt;1435&lt;/key&gt;&lt;/foreign-keys&gt;&lt;ref-type name="Journal Article"&gt;17&lt;/ref-type&gt;&lt;contributors&gt;&lt;authors&gt;&lt;author&gt;Gill, S. C.&lt;/author&gt;&lt;author&gt;von Hippel, P. H.&lt;/author&gt;&lt;/authors&gt;&lt;/contributors&gt;&lt;titles&gt;&lt;title&gt;Calculation of protein extinction coefficients from amino acid sequence data&lt;/title&gt;&lt;secondary-title&gt;Anal Biochem&lt;/secondary-title&gt;&lt;/titles&gt;&lt;periodical&gt;&lt;full-title&gt;Anal Biochem&lt;/full-title&gt;&lt;/periodical&gt;&lt;pages&gt;319-26.&lt;/pages&gt;&lt;volume&gt;182&lt;/volume&gt;&lt;number&gt;2&lt;/number&gt;&lt;keywords&gt;&lt;keyword&gt;0 (Proteins)&lt;/keyword&gt;&lt;keyword&gt;*Amino Acid Sequence&lt;/keyword&gt;&lt;keyword&gt;Animals&lt;/keyword&gt;&lt;keyword&gt;Human&lt;/keyword&gt;&lt;keyword&gt;Molecular Weight&lt;/keyword&gt;&lt;keyword&gt;Proteins/*analysis&lt;/keyword&gt;&lt;keyword&gt;Spectrophotometry, Ultraviolet/*methods&lt;/keyword&gt;&lt;keyword&gt;Support, Non-U.S. Gov&amp;apos;t&lt;/keyword&gt;&lt;keyword&gt;Support, U.S. Gov&amp;apos;t, P.H.S.&lt;/keyword&gt;&lt;/keywords&gt;&lt;dates&gt;&lt;year&gt;1989&lt;/year&gt;&lt;pub-dates&gt;&lt;date&gt;Nov 1&lt;/date&gt;&lt;/pub-dates&gt;&lt;/dates&gt;&lt;urls&gt;&lt;/urls&gt;&lt;/record&gt;&lt;/Cite&gt;&lt;Cite&gt;&lt;Author&gt;Gasteiger&lt;/Author&gt;&lt;Year&gt;2005&lt;/Year&gt;&lt;RecNum&gt;1407&lt;/RecNum&gt;&lt;record&gt;&lt;rec-number&gt;1407&lt;/rec-number&gt;&lt;foreign-keys&gt;&lt;key app="EN" db-id="rsxfw5tv8vtsw4erapxv2awqdsa92rzapda9"&gt;1407&lt;/key&gt;&lt;/foreign-keys&gt;&lt;ref-type name="Book Section"&gt;5&lt;/ref-type&gt;&lt;contributors&gt;&lt;authors&gt;&lt;author&gt;Gasteiger, E.&lt;/author&gt;&lt;author&gt;Hoogland, C.&lt;/author&gt;&lt;author&gt;Gattiker, A.&lt;/author&gt;&lt;author&gt;Duvaud, S.&lt;/author&gt;&lt;author&gt;Wilkins, M. R.&lt;/author&gt;&lt;author&gt;Appel, R. D.&lt;/author&gt;&lt;author&gt;Bairoch, A.&lt;/author&gt;&lt;/authors&gt;&lt;secondary-authors&gt;&lt;author&gt;Walker, J. M.&lt;/author&gt;&lt;/secondary-authors&gt;&lt;/contributors&gt;&lt;titles&gt;&lt;title&gt;Protein Identification and Analysis Tools on the ExPASy Server&lt;/title&gt;&lt;secondary-title&gt;Proteomics Protocols Handbook&lt;/secondary-title&gt;&lt;/titles&gt;&lt;dates&gt;&lt;year&gt;2005&lt;/year&gt;&lt;/dates&gt;&lt;pub-location&gt;Totowa, NJ &lt;/pub-location&gt;&lt;publisher&gt;Humana Press&lt;/publisher&gt;&lt;urls&gt;&lt;/urls&gt;&lt;/record&gt;&lt;/Cite&gt;&lt;/EndNote&gt;</w:instrText>
      </w:r>
      <w:r w:rsidR="00DB1E8B">
        <w:rPr>
          <w:rFonts w:cs="Arial"/>
        </w:rPr>
        <w:fldChar w:fldCharType="separate"/>
      </w:r>
      <w:r w:rsidR="001F232F">
        <w:rPr>
          <w:rFonts w:cs="Arial"/>
          <w:noProof/>
        </w:rPr>
        <w:t>[</w:t>
      </w:r>
      <w:hyperlink w:anchor="_ENREF_10" w:tooltip="Gill, 1989 #1435" w:history="1">
        <w:r w:rsidR="001F232F">
          <w:rPr>
            <w:rFonts w:cs="Arial"/>
            <w:noProof/>
          </w:rPr>
          <w:t>10</w:t>
        </w:r>
      </w:hyperlink>
      <w:r w:rsidR="001F232F">
        <w:rPr>
          <w:rFonts w:cs="Arial"/>
          <w:noProof/>
        </w:rPr>
        <w:t>,</w:t>
      </w:r>
      <w:hyperlink w:anchor="_ENREF_11" w:tooltip="Gasteiger, 2005 #1407" w:history="1">
        <w:r w:rsidR="001F232F">
          <w:rPr>
            <w:rFonts w:cs="Arial"/>
            <w:noProof/>
          </w:rPr>
          <w:t>11</w:t>
        </w:r>
      </w:hyperlink>
      <w:r w:rsidR="001F232F">
        <w:rPr>
          <w:rFonts w:cs="Arial"/>
          <w:noProof/>
        </w:rPr>
        <w:t>]</w:t>
      </w:r>
      <w:r w:rsidR="00DB1E8B">
        <w:rPr>
          <w:rFonts w:cs="Arial"/>
        </w:rPr>
        <w:fldChar w:fldCharType="end"/>
      </w:r>
      <w:r w:rsidRPr="009438A1">
        <w:rPr>
          <w:rFonts w:cs="Arial"/>
        </w:rPr>
        <w:t xml:space="preserve">.  The molar extinction coefficients were determined using the </w:t>
      </w:r>
      <w:proofErr w:type="spellStart"/>
      <w:r w:rsidRPr="009438A1">
        <w:rPr>
          <w:rFonts w:cs="Arial"/>
        </w:rPr>
        <w:t>ProtParam</w:t>
      </w:r>
      <w:proofErr w:type="spellEnd"/>
      <w:r w:rsidRPr="009438A1">
        <w:rPr>
          <w:rFonts w:cs="Arial"/>
        </w:rPr>
        <w:t xml:space="preserve"> tool on the </w:t>
      </w:r>
      <w:proofErr w:type="spellStart"/>
      <w:r w:rsidRPr="009438A1">
        <w:rPr>
          <w:rFonts w:cs="Arial"/>
        </w:rPr>
        <w:t>ExPASY</w:t>
      </w:r>
      <w:proofErr w:type="spellEnd"/>
      <w:r w:rsidRPr="009438A1">
        <w:rPr>
          <w:rFonts w:cs="Arial"/>
        </w:rPr>
        <w:t xml:space="preserve"> server (</w:t>
      </w:r>
      <w:hyperlink r:id="rId4" w:history="1">
        <w:r w:rsidRPr="00366E4F">
          <w:rPr>
            <w:rStyle w:val="Hyperlink"/>
            <w:rFonts w:cs="Arial"/>
          </w:rPr>
          <w:t>http://us.expasy.org/tools/protparam.html</w:t>
        </w:r>
      </w:hyperlink>
      <w:r w:rsidRPr="009438A1">
        <w:rPr>
          <w:rFonts w:cs="Arial"/>
        </w:rPr>
        <w:t>).  The extinction coefficient for p27-KID</w:t>
      </w:r>
      <w:r w:rsidRPr="009438A1">
        <w:rPr>
          <w:rFonts w:cs="Arial"/>
          <w:vertAlign w:val="superscript"/>
        </w:rPr>
        <w:t>wt</w:t>
      </w:r>
      <w:r w:rsidRPr="009438A1">
        <w:rPr>
          <w:rFonts w:cs="Arial"/>
        </w:rPr>
        <w:t>, p27-KID</w:t>
      </w:r>
      <w:r w:rsidRPr="009438A1">
        <w:rPr>
          <w:rFonts w:cs="Arial"/>
          <w:vertAlign w:val="superscript"/>
        </w:rPr>
        <w:t>+H</w:t>
      </w:r>
      <w:r w:rsidRPr="009438A1">
        <w:rPr>
          <w:rFonts w:cs="Arial"/>
        </w:rPr>
        <w:t>, p27-KID</w:t>
      </w:r>
      <w:r w:rsidRPr="009438A1">
        <w:rPr>
          <w:rFonts w:cs="Arial"/>
          <w:vertAlign w:val="superscript"/>
        </w:rPr>
        <w:t>-H</w:t>
      </w:r>
      <w:r w:rsidRPr="009438A1">
        <w:rPr>
          <w:rFonts w:cs="Arial"/>
        </w:rPr>
        <w:t xml:space="preserve"> and p27-KID</w:t>
      </w:r>
      <w:r w:rsidRPr="009438A1">
        <w:rPr>
          <w:rFonts w:cs="Arial"/>
          <w:vertAlign w:val="superscript"/>
        </w:rPr>
        <w:t>loop</w:t>
      </w:r>
      <w:r w:rsidRPr="009438A1">
        <w:rPr>
          <w:rFonts w:cs="Arial"/>
        </w:rPr>
        <w:t xml:space="preserve"> was determined to be 15</w:t>
      </w:r>
      <w:r>
        <w:rPr>
          <w:rFonts w:cs="Arial"/>
        </w:rPr>
        <w:t>,</w:t>
      </w:r>
      <w:r w:rsidRPr="009438A1">
        <w:rPr>
          <w:rFonts w:cs="Arial"/>
        </w:rPr>
        <w:t>220 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 cm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.  </w:t>
      </w:r>
      <w:r w:rsidRPr="00C70C17">
        <w:rPr>
          <w:rFonts w:cs="Arial"/>
        </w:rPr>
        <w:t>Cdk2</w:t>
      </w:r>
      <w:r w:rsidRPr="009438A1">
        <w:rPr>
          <w:rFonts w:cs="Arial"/>
        </w:rPr>
        <w:t xml:space="preserve">, </w:t>
      </w:r>
      <w:proofErr w:type="spellStart"/>
      <w:r w:rsidRPr="009438A1">
        <w:rPr>
          <w:rFonts w:cs="Arial"/>
        </w:rPr>
        <w:t>cyclin</w:t>
      </w:r>
      <w:proofErr w:type="spellEnd"/>
      <w:r w:rsidRPr="009438A1">
        <w:rPr>
          <w:rFonts w:cs="Arial"/>
        </w:rPr>
        <w:t xml:space="preserve"> A, and the </w:t>
      </w:r>
      <w:r w:rsidRPr="00C70C17">
        <w:rPr>
          <w:rFonts w:cs="Arial"/>
        </w:rPr>
        <w:t>Cdk2</w:t>
      </w:r>
      <w:r w:rsidRPr="009438A1">
        <w:rPr>
          <w:rFonts w:cs="Arial"/>
        </w:rPr>
        <w:t>/</w:t>
      </w:r>
      <w:proofErr w:type="spellStart"/>
      <w:r w:rsidRPr="009438A1">
        <w:rPr>
          <w:rFonts w:cs="Arial"/>
        </w:rPr>
        <w:t>cyclin</w:t>
      </w:r>
      <w:proofErr w:type="spellEnd"/>
      <w:r w:rsidRPr="009438A1">
        <w:rPr>
          <w:rFonts w:cs="Arial"/>
        </w:rPr>
        <w:t xml:space="preserve"> A complex had extinction coefficients of 35</w:t>
      </w:r>
      <w:r>
        <w:rPr>
          <w:rFonts w:cs="Arial"/>
        </w:rPr>
        <w:t>,</w:t>
      </w:r>
      <w:r w:rsidRPr="009438A1">
        <w:rPr>
          <w:rFonts w:cs="Arial"/>
        </w:rPr>
        <w:t>560 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 cm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>, 31</w:t>
      </w:r>
      <w:r>
        <w:rPr>
          <w:rFonts w:cs="Arial"/>
        </w:rPr>
        <w:t>,</w:t>
      </w:r>
      <w:r w:rsidRPr="009438A1">
        <w:rPr>
          <w:rFonts w:cs="Arial"/>
        </w:rPr>
        <w:t>860 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 cm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>, and 33</w:t>
      </w:r>
      <w:r>
        <w:rPr>
          <w:rFonts w:cs="Arial"/>
        </w:rPr>
        <w:t>,</w:t>
      </w:r>
      <w:r w:rsidRPr="009438A1">
        <w:rPr>
          <w:rFonts w:cs="Arial"/>
        </w:rPr>
        <w:t>710 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 cm</w:t>
      </w:r>
      <w:r w:rsidRPr="009438A1">
        <w:rPr>
          <w:rFonts w:cs="Arial"/>
          <w:vertAlign w:val="superscript"/>
        </w:rPr>
        <w:t>-1</w:t>
      </w:r>
      <w:r>
        <w:rPr>
          <w:rFonts w:cs="Arial"/>
        </w:rPr>
        <w:t xml:space="preserve">, </w:t>
      </w:r>
      <w:r w:rsidRPr="009438A1">
        <w:rPr>
          <w:rFonts w:cs="Arial"/>
        </w:rPr>
        <w:t>respectively.  The concentrations of the ternary complexes of the p27-KID</w:t>
      </w:r>
      <w:r w:rsidRPr="009438A1">
        <w:rPr>
          <w:rFonts w:cs="Arial"/>
          <w:vertAlign w:val="superscript"/>
        </w:rPr>
        <w:t>wt</w:t>
      </w:r>
      <w:r w:rsidRPr="009438A1">
        <w:rPr>
          <w:rFonts w:cs="Arial"/>
        </w:rPr>
        <w:t xml:space="preserve"> and its variants w</w:t>
      </w:r>
      <w:r>
        <w:rPr>
          <w:rFonts w:cs="Arial"/>
        </w:rPr>
        <w:t>ere</w:t>
      </w:r>
      <w:r w:rsidRPr="009438A1">
        <w:rPr>
          <w:rFonts w:cs="Arial"/>
        </w:rPr>
        <w:t xml:space="preserve"> determined using an extinction coefficient of 24</w:t>
      </w:r>
      <w:r>
        <w:rPr>
          <w:rFonts w:cs="Arial"/>
        </w:rPr>
        <w:t>,</w:t>
      </w:r>
      <w:r w:rsidRPr="009438A1">
        <w:rPr>
          <w:rFonts w:cs="Arial"/>
        </w:rPr>
        <w:t>465 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 xml:space="preserve"> cm</w:t>
      </w:r>
      <w:r w:rsidRPr="009438A1">
        <w:rPr>
          <w:rFonts w:cs="Arial"/>
          <w:vertAlign w:val="superscript"/>
        </w:rPr>
        <w:t>-1</w:t>
      </w:r>
      <w:r w:rsidRPr="009438A1">
        <w:rPr>
          <w:rFonts w:cs="Arial"/>
        </w:rPr>
        <w:t>.</w:t>
      </w:r>
    </w:p>
    <w:p w:rsidR="003539CD" w:rsidRDefault="003539CD">
      <w:pPr>
        <w:rPr>
          <w:i/>
        </w:rPr>
      </w:pPr>
    </w:p>
    <w:p w:rsidR="003539CD" w:rsidRPr="00E17B2F" w:rsidRDefault="003539CD" w:rsidP="00F25288">
      <w:pPr>
        <w:pStyle w:val="LOT"/>
        <w:rPr>
          <w:b w:val="0"/>
        </w:rPr>
      </w:pPr>
      <w:bookmarkStart w:id="0" w:name="Tab2_1"/>
      <w:bookmarkStart w:id="1" w:name="_Toc164258723"/>
      <w:r>
        <w:br w:type="page"/>
      </w:r>
      <w:r w:rsidR="00F25288" w:rsidDel="00F25288">
        <w:lastRenderedPageBreak/>
        <w:t xml:space="preserve"> </w:t>
      </w:r>
      <w:bookmarkEnd w:id="0"/>
      <w:bookmarkEnd w:id="1"/>
      <w:r w:rsidRPr="00E17B2F">
        <w:t>References</w:t>
      </w:r>
    </w:p>
    <w:p w:rsidR="001F232F" w:rsidRPr="00DD08A0" w:rsidRDefault="00DB1E8B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r>
        <w:rPr>
          <w:rFonts w:cs="Arial"/>
        </w:rPr>
        <w:fldChar w:fldCharType="begin"/>
      </w:r>
      <w:r w:rsidR="003539CD">
        <w:rPr>
          <w:rFonts w:cs="Arial"/>
        </w:rPr>
        <w:instrText xml:space="preserve"> ADDIN EN.REFLIST </w:instrText>
      </w:r>
      <w:r>
        <w:rPr>
          <w:rFonts w:cs="Arial"/>
        </w:rPr>
        <w:fldChar w:fldCharType="separate"/>
      </w:r>
      <w:bookmarkStart w:id="2" w:name="_ENREF_1"/>
      <w:r w:rsidR="001F232F" w:rsidRPr="00DD08A0">
        <w:rPr>
          <w:rFonts w:ascii="Times New Roman" w:hAnsi="Times New Roman"/>
          <w:noProof/>
        </w:rPr>
        <w:t>1. Pace CN, Scholtz JM (1998) A helix propensity scale based on experimental studies of peptides and proteins. Biophys J 75: 422-427.</w:t>
      </w:r>
      <w:bookmarkEnd w:id="2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3" w:name="_ENREF_2"/>
      <w:r w:rsidRPr="00DD08A0">
        <w:rPr>
          <w:rFonts w:ascii="Times New Roman" w:hAnsi="Times New Roman"/>
          <w:noProof/>
        </w:rPr>
        <w:t>2. Chou PY, Fasman GD (1974) Conformational parameters for amino acids in helical, (-sheet, and random coil regions calculated from proteins. Biochemistry 13: 211-221.</w:t>
      </w:r>
      <w:bookmarkEnd w:id="3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4" w:name="_ENREF_3"/>
      <w:r w:rsidRPr="00DD08A0">
        <w:rPr>
          <w:rFonts w:ascii="Times New Roman" w:hAnsi="Times New Roman"/>
          <w:noProof/>
        </w:rPr>
        <w:t>3. Lopez-Llano J, Campos LA, Sancho J (2006) Alpha-helix stabilization by alanine relative to glycine: roles of polar and apolar solvent exposures and of backbone entropy. Proteins 64: 769-778.</w:t>
      </w:r>
      <w:bookmarkEnd w:id="4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5" w:name="_ENREF_4"/>
      <w:r w:rsidRPr="00DD08A0">
        <w:rPr>
          <w:rFonts w:ascii="Times New Roman" w:hAnsi="Times New Roman"/>
          <w:noProof/>
        </w:rPr>
        <w:t>4. Chakrabartty A, Kortemme T, Baldwin RL (1994) Helix propensities of the amino acids measured in alanine-based peptides without helix-stabilizing side-chain interactions. Protein Sci 3: 843-852.</w:t>
      </w:r>
      <w:bookmarkEnd w:id="5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6" w:name="_ENREF_5"/>
      <w:r w:rsidRPr="00DD08A0">
        <w:rPr>
          <w:rFonts w:ascii="Times New Roman" w:hAnsi="Times New Roman"/>
          <w:noProof/>
        </w:rPr>
        <w:t>5. Luo P, Baldwin RL (2002) Origin of the different strengths of the (i,i+4) and (i,i+3) leucine pair interactions in helices. Biophys Chem 96: 103-108.</w:t>
      </w:r>
      <w:bookmarkEnd w:id="6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7" w:name="_ENREF_6"/>
      <w:r w:rsidRPr="00DD08A0">
        <w:rPr>
          <w:rFonts w:ascii="Times New Roman" w:hAnsi="Times New Roman"/>
          <w:noProof/>
        </w:rPr>
        <w:t>6. Luo P, Baldwin RL (2002) Origin of the different strengths of the (i,i+4) and (i,i+3) leucine pair interactions in helices. Biophys Chem 96: 103-108.</w:t>
      </w:r>
      <w:bookmarkEnd w:id="7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8" w:name="_ENREF_7"/>
      <w:r w:rsidRPr="00DD08A0">
        <w:rPr>
          <w:rFonts w:ascii="Times New Roman" w:hAnsi="Times New Roman"/>
          <w:noProof/>
        </w:rPr>
        <w:t>7. Klingler TM, Brutlag DL (1994) Discovering structural correlations in alpha-helices. Protein Sci 3: 1847-1857.</w:t>
      </w:r>
      <w:bookmarkEnd w:id="8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9" w:name="_ENREF_8"/>
      <w:r w:rsidRPr="00DD08A0">
        <w:rPr>
          <w:rFonts w:ascii="Times New Roman" w:hAnsi="Times New Roman"/>
          <w:noProof/>
        </w:rPr>
        <w:t>8. Moser R (1992) Design, synthesis and structure of an amphipathic peptide with pH-inducible haemolytic activity. Protein Eng 5: 323-331.</w:t>
      </w:r>
      <w:bookmarkEnd w:id="9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10" w:name="_ENREF_9"/>
      <w:r w:rsidRPr="00DD08A0">
        <w:rPr>
          <w:rFonts w:ascii="Times New Roman" w:hAnsi="Times New Roman"/>
          <w:noProof/>
        </w:rPr>
        <w:t>9. Shoemaker KR, Kim PS, Brems DN, Marqusee S, York EJ, et al. (1985) Nature of the charged-group effect on the stability of the C-peptide helix. Proc Natl Acad Sci U S A 82: 2349-2353.</w:t>
      </w:r>
      <w:bookmarkEnd w:id="10"/>
    </w:p>
    <w:p w:rsidR="001F232F" w:rsidRPr="00DD08A0" w:rsidRDefault="001F232F" w:rsidP="001F232F">
      <w:pPr>
        <w:spacing w:after="0" w:line="240" w:lineRule="auto"/>
        <w:ind w:left="720" w:hanging="720"/>
        <w:rPr>
          <w:rFonts w:ascii="Times New Roman" w:hAnsi="Times New Roman"/>
          <w:noProof/>
        </w:rPr>
      </w:pPr>
      <w:bookmarkStart w:id="11" w:name="_ENREF_10"/>
      <w:r w:rsidRPr="00DD08A0">
        <w:rPr>
          <w:rFonts w:ascii="Times New Roman" w:hAnsi="Times New Roman"/>
          <w:noProof/>
        </w:rPr>
        <w:t>10. Gill SC, von Hippel PH (1989) Calculation of protein extinction coefficients from amino acid sequence data. Anal Biochem 182: 319-326.</w:t>
      </w:r>
      <w:bookmarkEnd w:id="11"/>
    </w:p>
    <w:p w:rsidR="001F232F" w:rsidRDefault="001F232F" w:rsidP="001F232F">
      <w:pPr>
        <w:spacing w:line="240" w:lineRule="auto"/>
        <w:ind w:left="720" w:hanging="720"/>
        <w:rPr>
          <w:rFonts w:cs="Arial"/>
          <w:noProof/>
        </w:rPr>
      </w:pPr>
      <w:bookmarkStart w:id="12" w:name="_ENREF_11"/>
      <w:r w:rsidRPr="00DD08A0">
        <w:rPr>
          <w:rFonts w:ascii="Times New Roman" w:hAnsi="Times New Roman"/>
          <w:noProof/>
        </w:rPr>
        <w:t>11. Gasteiger E, Hoogland C, Gattiker A, Duvaud S, Wilkins MR, et al. (2005) Protein Identification and Analysis Tools on the ExPASy Server. In: Walker JM, editor. Proteomics Protocols Handbook. Totowa, NJ Humana Press.</w:t>
      </w:r>
      <w:bookmarkEnd w:id="12"/>
    </w:p>
    <w:p w:rsidR="001F232F" w:rsidRDefault="001F232F" w:rsidP="001F232F">
      <w:pPr>
        <w:spacing w:line="240" w:lineRule="auto"/>
        <w:rPr>
          <w:rFonts w:cs="Arial"/>
          <w:noProof/>
        </w:rPr>
      </w:pPr>
    </w:p>
    <w:p w:rsidR="003539CD" w:rsidRDefault="00DB1E8B" w:rsidP="00CF3357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fldChar w:fldCharType="end"/>
      </w:r>
    </w:p>
    <w:p w:rsidR="006E58F2" w:rsidRPr="00E17B2F" w:rsidRDefault="006E58F2" w:rsidP="00194C20">
      <w:pPr>
        <w:spacing w:after="0" w:line="480" w:lineRule="auto"/>
        <w:rPr>
          <w:rFonts w:cs="Arial"/>
        </w:rPr>
      </w:pPr>
      <w:bookmarkStart w:id="13" w:name="_GoBack"/>
      <w:bookmarkEnd w:id="13"/>
    </w:p>
    <w:sectPr w:rsidR="006E58F2" w:rsidRPr="00E17B2F" w:rsidSect="0052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xvww9wgv2rtfez5vpxedp9w9wdrza0zp2w&quot;&gt;_Kriwacki_Lab_Ref_Library_100406&lt;record-ids&gt;&lt;item&gt;525&lt;/item&gt;&lt;item&gt;10753&lt;/item&gt;&lt;item&gt;30912&lt;/item&gt;&lt;item&gt;30913&lt;/item&gt;&lt;item&gt;30914&lt;/item&gt;&lt;item&gt;30915&lt;/item&gt;&lt;item&gt;30917&lt;/item&gt;&lt;item&gt;33538&lt;/item&gt;&lt;item&gt;34358&lt;/item&gt;&lt;/record-ids&gt;&lt;/item&gt;&lt;/Libraries&gt;"/>
  </w:docVars>
  <w:rsids>
    <w:rsidRoot w:val="00291168"/>
    <w:rsid w:val="00003F96"/>
    <w:rsid w:val="00010883"/>
    <w:rsid w:val="00011B9F"/>
    <w:rsid w:val="00012896"/>
    <w:rsid w:val="0001501C"/>
    <w:rsid w:val="00023BC6"/>
    <w:rsid w:val="00030009"/>
    <w:rsid w:val="000349FB"/>
    <w:rsid w:val="00044414"/>
    <w:rsid w:val="00054342"/>
    <w:rsid w:val="0005704A"/>
    <w:rsid w:val="00064B0F"/>
    <w:rsid w:val="0006560D"/>
    <w:rsid w:val="000672E8"/>
    <w:rsid w:val="0007472D"/>
    <w:rsid w:val="0007600A"/>
    <w:rsid w:val="00076E8D"/>
    <w:rsid w:val="0008371F"/>
    <w:rsid w:val="00091869"/>
    <w:rsid w:val="00096590"/>
    <w:rsid w:val="000B311C"/>
    <w:rsid w:val="000B4C77"/>
    <w:rsid w:val="000C3936"/>
    <w:rsid w:val="000C3AD0"/>
    <w:rsid w:val="000C5300"/>
    <w:rsid w:val="000C6755"/>
    <w:rsid w:val="000D0CCC"/>
    <w:rsid w:val="000D2317"/>
    <w:rsid w:val="000D55E3"/>
    <w:rsid w:val="000D6E3D"/>
    <w:rsid w:val="000F1732"/>
    <w:rsid w:val="000F432E"/>
    <w:rsid w:val="000F64B1"/>
    <w:rsid w:val="00101869"/>
    <w:rsid w:val="001115DB"/>
    <w:rsid w:val="00112C05"/>
    <w:rsid w:val="00114432"/>
    <w:rsid w:val="00121C32"/>
    <w:rsid w:val="00125716"/>
    <w:rsid w:val="00146A35"/>
    <w:rsid w:val="00146E3F"/>
    <w:rsid w:val="00150454"/>
    <w:rsid w:val="001533AE"/>
    <w:rsid w:val="001650B2"/>
    <w:rsid w:val="00165C3A"/>
    <w:rsid w:val="00172E34"/>
    <w:rsid w:val="00173ED1"/>
    <w:rsid w:val="00174F26"/>
    <w:rsid w:val="00175973"/>
    <w:rsid w:val="0017752D"/>
    <w:rsid w:val="001778AB"/>
    <w:rsid w:val="0018659B"/>
    <w:rsid w:val="00190B41"/>
    <w:rsid w:val="00193F45"/>
    <w:rsid w:val="00194C20"/>
    <w:rsid w:val="00194F35"/>
    <w:rsid w:val="00197675"/>
    <w:rsid w:val="001A1BFC"/>
    <w:rsid w:val="001A41AB"/>
    <w:rsid w:val="001A4759"/>
    <w:rsid w:val="001A71D9"/>
    <w:rsid w:val="001B3698"/>
    <w:rsid w:val="001B5A83"/>
    <w:rsid w:val="001B6668"/>
    <w:rsid w:val="001C1343"/>
    <w:rsid w:val="001C1B70"/>
    <w:rsid w:val="001C3ADE"/>
    <w:rsid w:val="001C70A9"/>
    <w:rsid w:val="001C72C3"/>
    <w:rsid w:val="001D3751"/>
    <w:rsid w:val="001E4F12"/>
    <w:rsid w:val="001E7252"/>
    <w:rsid w:val="001F067C"/>
    <w:rsid w:val="001F232F"/>
    <w:rsid w:val="001F3B1D"/>
    <w:rsid w:val="00206597"/>
    <w:rsid w:val="00207642"/>
    <w:rsid w:val="00210342"/>
    <w:rsid w:val="00213552"/>
    <w:rsid w:val="0022323A"/>
    <w:rsid w:val="00223E67"/>
    <w:rsid w:val="00225740"/>
    <w:rsid w:val="00234C4B"/>
    <w:rsid w:val="00237203"/>
    <w:rsid w:val="00240B08"/>
    <w:rsid w:val="00243D11"/>
    <w:rsid w:val="00245BEE"/>
    <w:rsid w:val="00250A21"/>
    <w:rsid w:val="00250FA2"/>
    <w:rsid w:val="002552BE"/>
    <w:rsid w:val="00257C9C"/>
    <w:rsid w:val="002645A1"/>
    <w:rsid w:val="00271364"/>
    <w:rsid w:val="0027345F"/>
    <w:rsid w:val="002804F2"/>
    <w:rsid w:val="002820C8"/>
    <w:rsid w:val="0028393E"/>
    <w:rsid w:val="00290263"/>
    <w:rsid w:val="00291168"/>
    <w:rsid w:val="00297D72"/>
    <w:rsid w:val="002A2A07"/>
    <w:rsid w:val="002A4130"/>
    <w:rsid w:val="002A5AA5"/>
    <w:rsid w:val="002B4CD3"/>
    <w:rsid w:val="002C078A"/>
    <w:rsid w:val="002C5AD7"/>
    <w:rsid w:val="002D2552"/>
    <w:rsid w:val="002D3514"/>
    <w:rsid w:val="002D5FAE"/>
    <w:rsid w:val="002E291A"/>
    <w:rsid w:val="002E3B0C"/>
    <w:rsid w:val="002E6BCA"/>
    <w:rsid w:val="002E7B6F"/>
    <w:rsid w:val="002F0FCC"/>
    <w:rsid w:val="002F7A56"/>
    <w:rsid w:val="00301904"/>
    <w:rsid w:val="00302DFB"/>
    <w:rsid w:val="003038C3"/>
    <w:rsid w:val="003150D9"/>
    <w:rsid w:val="00322318"/>
    <w:rsid w:val="00322938"/>
    <w:rsid w:val="00322D09"/>
    <w:rsid w:val="00326C4C"/>
    <w:rsid w:val="00330742"/>
    <w:rsid w:val="00334006"/>
    <w:rsid w:val="00334590"/>
    <w:rsid w:val="0033666B"/>
    <w:rsid w:val="0034706D"/>
    <w:rsid w:val="00350719"/>
    <w:rsid w:val="003539CD"/>
    <w:rsid w:val="00356DE3"/>
    <w:rsid w:val="00362029"/>
    <w:rsid w:val="00366E4F"/>
    <w:rsid w:val="00372173"/>
    <w:rsid w:val="0037400E"/>
    <w:rsid w:val="00375B9B"/>
    <w:rsid w:val="0037613B"/>
    <w:rsid w:val="003767C7"/>
    <w:rsid w:val="0037779C"/>
    <w:rsid w:val="0038789B"/>
    <w:rsid w:val="003912A9"/>
    <w:rsid w:val="00393C21"/>
    <w:rsid w:val="003A20D4"/>
    <w:rsid w:val="003A394D"/>
    <w:rsid w:val="003A3B69"/>
    <w:rsid w:val="003A743A"/>
    <w:rsid w:val="003B2A7F"/>
    <w:rsid w:val="003B37F4"/>
    <w:rsid w:val="003B559B"/>
    <w:rsid w:val="003B75C3"/>
    <w:rsid w:val="003C0862"/>
    <w:rsid w:val="003C371C"/>
    <w:rsid w:val="003C7CB9"/>
    <w:rsid w:val="003D4873"/>
    <w:rsid w:val="003E1C51"/>
    <w:rsid w:val="003E1CDF"/>
    <w:rsid w:val="003E2D8E"/>
    <w:rsid w:val="003E3ECC"/>
    <w:rsid w:val="003F0573"/>
    <w:rsid w:val="003F5FE2"/>
    <w:rsid w:val="003F63D1"/>
    <w:rsid w:val="003F6C67"/>
    <w:rsid w:val="003F7DBE"/>
    <w:rsid w:val="004027DA"/>
    <w:rsid w:val="004043D0"/>
    <w:rsid w:val="00406171"/>
    <w:rsid w:val="00411A07"/>
    <w:rsid w:val="004124B5"/>
    <w:rsid w:val="00413317"/>
    <w:rsid w:val="0043177D"/>
    <w:rsid w:val="00440F42"/>
    <w:rsid w:val="00444250"/>
    <w:rsid w:val="00445655"/>
    <w:rsid w:val="00453130"/>
    <w:rsid w:val="00456DE2"/>
    <w:rsid w:val="00457E09"/>
    <w:rsid w:val="00460310"/>
    <w:rsid w:val="00463449"/>
    <w:rsid w:val="004830B0"/>
    <w:rsid w:val="004868FF"/>
    <w:rsid w:val="00496102"/>
    <w:rsid w:val="004A05CE"/>
    <w:rsid w:val="004A1832"/>
    <w:rsid w:val="004A5AF9"/>
    <w:rsid w:val="004A670F"/>
    <w:rsid w:val="004B4A7A"/>
    <w:rsid w:val="004C0DC6"/>
    <w:rsid w:val="004C15FD"/>
    <w:rsid w:val="004C161C"/>
    <w:rsid w:val="004C5E1B"/>
    <w:rsid w:val="004C6281"/>
    <w:rsid w:val="004D35B8"/>
    <w:rsid w:val="004D4671"/>
    <w:rsid w:val="004E04E3"/>
    <w:rsid w:val="004E0C75"/>
    <w:rsid w:val="004E217C"/>
    <w:rsid w:val="004E2EA5"/>
    <w:rsid w:val="004E7A6D"/>
    <w:rsid w:val="004F488A"/>
    <w:rsid w:val="005004D0"/>
    <w:rsid w:val="00510C15"/>
    <w:rsid w:val="00517C47"/>
    <w:rsid w:val="005215B2"/>
    <w:rsid w:val="00526C7A"/>
    <w:rsid w:val="00531C68"/>
    <w:rsid w:val="005374F4"/>
    <w:rsid w:val="005400B0"/>
    <w:rsid w:val="00541555"/>
    <w:rsid w:val="00542C29"/>
    <w:rsid w:val="0054366E"/>
    <w:rsid w:val="005507C2"/>
    <w:rsid w:val="005515F7"/>
    <w:rsid w:val="00553719"/>
    <w:rsid w:val="00555B9C"/>
    <w:rsid w:val="00560992"/>
    <w:rsid w:val="00561C62"/>
    <w:rsid w:val="00562063"/>
    <w:rsid w:val="00565074"/>
    <w:rsid w:val="00566393"/>
    <w:rsid w:val="0056745E"/>
    <w:rsid w:val="00575E9D"/>
    <w:rsid w:val="005807E9"/>
    <w:rsid w:val="00582E18"/>
    <w:rsid w:val="00585802"/>
    <w:rsid w:val="00592A59"/>
    <w:rsid w:val="00593FED"/>
    <w:rsid w:val="005A3A4D"/>
    <w:rsid w:val="005B0F98"/>
    <w:rsid w:val="005C67A2"/>
    <w:rsid w:val="005C728F"/>
    <w:rsid w:val="005D1689"/>
    <w:rsid w:val="005D2C8B"/>
    <w:rsid w:val="005D34AE"/>
    <w:rsid w:val="005D3E6B"/>
    <w:rsid w:val="005D5207"/>
    <w:rsid w:val="005D77B5"/>
    <w:rsid w:val="005E28D8"/>
    <w:rsid w:val="005E314A"/>
    <w:rsid w:val="005F6A18"/>
    <w:rsid w:val="005F781F"/>
    <w:rsid w:val="006035E4"/>
    <w:rsid w:val="00620EE6"/>
    <w:rsid w:val="006278EC"/>
    <w:rsid w:val="00633DFE"/>
    <w:rsid w:val="006345A2"/>
    <w:rsid w:val="00635529"/>
    <w:rsid w:val="00640DE1"/>
    <w:rsid w:val="006429C1"/>
    <w:rsid w:val="00643698"/>
    <w:rsid w:val="00652A1F"/>
    <w:rsid w:val="0065377F"/>
    <w:rsid w:val="00654E8E"/>
    <w:rsid w:val="00657678"/>
    <w:rsid w:val="00663C23"/>
    <w:rsid w:val="006666D2"/>
    <w:rsid w:val="00675EA0"/>
    <w:rsid w:val="00676B73"/>
    <w:rsid w:val="00686BB4"/>
    <w:rsid w:val="0068723C"/>
    <w:rsid w:val="00690F0F"/>
    <w:rsid w:val="00696BA0"/>
    <w:rsid w:val="006B01B9"/>
    <w:rsid w:val="006B4B66"/>
    <w:rsid w:val="006B6074"/>
    <w:rsid w:val="006B6859"/>
    <w:rsid w:val="006C2092"/>
    <w:rsid w:val="006C3618"/>
    <w:rsid w:val="006C5978"/>
    <w:rsid w:val="006C5F43"/>
    <w:rsid w:val="006D0BE2"/>
    <w:rsid w:val="006D462F"/>
    <w:rsid w:val="006E58F2"/>
    <w:rsid w:val="006F30C7"/>
    <w:rsid w:val="006F3E56"/>
    <w:rsid w:val="00701676"/>
    <w:rsid w:val="00702132"/>
    <w:rsid w:val="00706250"/>
    <w:rsid w:val="00707391"/>
    <w:rsid w:val="00711E32"/>
    <w:rsid w:val="007200DC"/>
    <w:rsid w:val="00720762"/>
    <w:rsid w:val="00720A1F"/>
    <w:rsid w:val="007220F4"/>
    <w:rsid w:val="00725532"/>
    <w:rsid w:val="00725E56"/>
    <w:rsid w:val="0072726C"/>
    <w:rsid w:val="007279C3"/>
    <w:rsid w:val="00730490"/>
    <w:rsid w:val="00732392"/>
    <w:rsid w:val="00736186"/>
    <w:rsid w:val="00744CD1"/>
    <w:rsid w:val="00745135"/>
    <w:rsid w:val="00756C1E"/>
    <w:rsid w:val="007628ED"/>
    <w:rsid w:val="00764B94"/>
    <w:rsid w:val="00764C2F"/>
    <w:rsid w:val="0076734F"/>
    <w:rsid w:val="00776826"/>
    <w:rsid w:val="0079077E"/>
    <w:rsid w:val="00796557"/>
    <w:rsid w:val="007A0FA3"/>
    <w:rsid w:val="007A59C6"/>
    <w:rsid w:val="007A6A4D"/>
    <w:rsid w:val="007A7C15"/>
    <w:rsid w:val="007B1972"/>
    <w:rsid w:val="007B4EC8"/>
    <w:rsid w:val="007D4E88"/>
    <w:rsid w:val="007D5FDB"/>
    <w:rsid w:val="007D6578"/>
    <w:rsid w:val="007E78A3"/>
    <w:rsid w:val="007F549C"/>
    <w:rsid w:val="00804D77"/>
    <w:rsid w:val="008107C4"/>
    <w:rsid w:val="0082144A"/>
    <w:rsid w:val="00821FAA"/>
    <w:rsid w:val="00824F1B"/>
    <w:rsid w:val="00825964"/>
    <w:rsid w:val="008421E4"/>
    <w:rsid w:val="00842D9F"/>
    <w:rsid w:val="00843D54"/>
    <w:rsid w:val="00844C21"/>
    <w:rsid w:val="00845DE9"/>
    <w:rsid w:val="00847734"/>
    <w:rsid w:val="008520A1"/>
    <w:rsid w:val="008537AA"/>
    <w:rsid w:val="0085380A"/>
    <w:rsid w:val="00863B21"/>
    <w:rsid w:val="008736DE"/>
    <w:rsid w:val="0087418D"/>
    <w:rsid w:val="00874DF2"/>
    <w:rsid w:val="00875A7E"/>
    <w:rsid w:val="008776CA"/>
    <w:rsid w:val="00880A42"/>
    <w:rsid w:val="00883FDB"/>
    <w:rsid w:val="008844A6"/>
    <w:rsid w:val="00885434"/>
    <w:rsid w:val="00885470"/>
    <w:rsid w:val="0089332B"/>
    <w:rsid w:val="0089346E"/>
    <w:rsid w:val="00893C37"/>
    <w:rsid w:val="008957D6"/>
    <w:rsid w:val="00897AFD"/>
    <w:rsid w:val="008A6DCA"/>
    <w:rsid w:val="008B2683"/>
    <w:rsid w:val="008B32D3"/>
    <w:rsid w:val="008B45EC"/>
    <w:rsid w:val="008B58D0"/>
    <w:rsid w:val="008B5F2F"/>
    <w:rsid w:val="008B634B"/>
    <w:rsid w:val="008C7519"/>
    <w:rsid w:val="008D167E"/>
    <w:rsid w:val="008D2684"/>
    <w:rsid w:val="008D6A2A"/>
    <w:rsid w:val="008D74FC"/>
    <w:rsid w:val="008E2063"/>
    <w:rsid w:val="008E7839"/>
    <w:rsid w:val="008F186D"/>
    <w:rsid w:val="00900C2F"/>
    <w:rsid w:val="00905932"/>
    <w:rsid w:val="00906C0F"/>
    <w:rsid w:val="00911410"/>
    <w:rsid w:val="00914392"/>
    <w:rsid w:val="00926420"/>
    <w:rsid w:val="00930B63"/>
    <w:rsid w:val="00934482"/>
    <w:rsid w:val="00935D2D"/>
    <w:rsid w:val="00935E6A"/>
    <w:rsid w:val="009438A1"/>
    <w:rsid w:val="009447CD"/>
    <w:rsid w:val="00951F5F"/>
    <w:rsid w:val="00952E06"/>
    <w:rsid w:val="00957DE7"/>
    <w:rsid w:val="00963CC4"/>
    <w:rsid w:val="00972D7F"/>
    <w:rsid w:val="00982DD2"/>
    <w:rsid w:val="00983B31"/>
    <w:rsid w:val="00990D11"/>
    <w:rsid w:val="009968DB"/>
    <w:rsid w:val="00997908"/>
    <w:rsid w:val="009A1238"/>
    <w:rsid w:val="009A61BB"/>
    <w:rsid w:val="009A79A9"/>
    <w:rsid w:val="009A7BD6"/>
    <w:rsid w:val="009B48D3"/>
    <w:rsid w:val="009B541E"/>
    <w:rsid w:val="009B5E0A"/>
    <w:rsid w:val="009B6A2C"/>
    <w:rsid w:val="009B6D81"/>
    <w:rsid w:val="009C27E6"/>
    <w:rsid w:val="009C4D93"/>
    <w:rsid w:val="009C6242"/>
    <w:rsid w:val="009C6731"/>
    <w:rsid w:val="009D0A5C"/>
    <w:rsid w:val="009D0B55"/>
    <w:rsid w:val="009D0FE5"/>
    <w:rsid w:val="009D13B9"/>
    <w:rsid w:val="009E1C38"/>
    <w:rsid w:val="009E2174"/>
    <w:rsid w:val="009E2C3B"/>
    <w:rsid w:val="009E3939"/>
    <w:rsid w:val="009F004E"/>
    <w:rsid w:val="009F22CA"/>
    <w:rsid w:val="009F5DA2"/>
    <w:rsid w:val="00A15C8C"/>
    <w:rsid w:val="00A15F1B"/>
    <w:rsid w:val="00A27909"/>
    <w:rsid w:val="00A31EDA"/>
    <w:rsid w:val="00A361B0"/>
    <w:rsid w:val="00A363A4"/>
    <w:rsid w:val="00A36BA2"/>
    <w:rsid w:val="00A4508C"/>
    <w:rsid w:val="00A474DF"/>
    <w:rsid w:val="00A517A3"/>
    <w:rsid w:val="00A57983"/>
    <w:rsid w:val="00A62203"/>
    <w:rsid w:val="00A75150"/>
    <w:rsid w:val="00A82A31"/>
    <w:rsid w:val="00A82B2F"/>
    <w:rsid w:val="00A92CA2"/>
    <w:rsid w:val="00A969ED"/>
    <w:rsid w:val="00AA1CE3"/>
    <w:rsid w:val="00AA2101"/>
    <w:rsid w:val="00AA368B"/>
    <w:rsid w:val="00AA563A"/>
    <w:rsid w:val="00AA5DEB"/>
    <w:rsid w:val="00AB1519"/>
    <w:rsid w:val="00AB34CE"/>
    <w:rsid w:val="00AB5A1A"/>
    <w:rsid w:val="00AB6EAD"/>
    <w:rsid w:val="00AC5235"/>
    <w:rsid w:val="00AC775C"/>
    <w:rsid w:val="00AD14BF"/>
    <w:rsid w:val="00AD305C"/>
    <w:rsid w:val="00AD45A5"/>
    <w:rsid w:val="00AD45D9"/>
    <w:rsid w:val="00AE1A5F"/>
    <w:rsid w:val="00AE5422"/>
    <w:rsid w:val="00AE7532"/>
    <w:rsid w:val="00AF1233"/>
    <w:rsid w:val="00AF31A5"/>
    <w:rsid w:val="00AF47B4"/>
    <w:rsid w:val="00B026A8"/>
    <w:rsid w:val="00B05DA9"/>
    <w:rsid w:val="00B12858"/>
    <w:rsid w:val="00B13A94"/>
    <w:rsid w:val="00B13B25"/>
    <w:rsid w:val="00B14DBB"/>
    <w:rsid w:val="00B2049C"/>
    <w:rsid w:val="00B24297"/>
    <w:rsid w:val="00B40DCA"/>
    <w:rsid w:val="00B464E8"/>
    <w:rsid w:val="00B477B9"/>
    <w:rsid w:val="00B5092C"/>
    <w:rsid w:val="00B5182A"/>
    <w:rsid w:val="00B64625"/>
    <w:rsid w:val="00B6647D"/>
    <w:rsid w:val="00B664A6"/>
    <w:rsid w:val="00B73A46"/>
    <w:rsid w:val="00B74738"/>
    <w:rsid w:val="00B76865"/>
    <w:rsid w:val="00B810A2"/>
    <w:rsid w:val="00B8140C"/>
    <w:rsid w:val="00B875AE"/>
    <w:rsid w:val="00B936BD"/>
    <w:rsid w:val="00BA400D"/>
    <w:rsid w:val="00BB3216"/>
    <w:rsid w:val="00BB5FA2"/>
    <w:rsid w:val="00BB7177"/>
    <w:rsid w:val="00BC3ED6"/>
    <w:rsid w:val="00BC68B0"/>
    <w:rsid w:val="00BD2932"/>
    <w:rsid w:val="00BD2964"/>
    <w:rsid w:val="00BD4A26"/>
    <w:rsid w:val="00BD6BB2"/>
    <w:rsid w:val="00BE237D"/>
    <w:rsid w:val="00BE253E"/>
    <w:rsid w:val="00BE26BE"/>
    <w:rsid w:val="00BE60CE"/>
    <w:rsid w:val="00BE6541"/>
    <w:rsid w:val="00BF121B"/>
    <w:rsid w:val="00BF4006"/>
    <w:rsid w:val="00C01A33"/>
    <w:rsid w:val="00C02AB5"/>
    <w:rsid w:val="00C03C8C"/>
    <w:rsid w:val="00C132B7"/>
    <w:rsid w:val="00C147ED"/>
    <w:rsid w:val="00C16C40"/>
    <w:rsid w:val="00C20AB3"/>
    <w:rsid w:val="00C23465"/>
    <w:rsid w:val="00C23F6E"/>
    <w:rsid w:val="00C25C20"/>
    <w:rsid w:val="00C27113"/>
    <w:rsid w:val="00C2742B"/>
    <w:rsid w:val="00C30416"/>
    <w:rsid w:val="00C37151"/>
    <w:rsid w:val="00C575BD"/>
    <w:rsid w:val="00C63127"/>
    <w:rsid w:val="00C70C17"/>
    <w:rsid w:val="00C739CB"/>
    <w:rsid w:val="00C75DF2"/>
    <w:rsid w:val="00C85CD6"/>
    <w:rsid w:val="00C86C30"/>
    <w:rsid w:val="00CA2A81"/>
    <w:rsid w:val="00CA2CEA"/>
    <w:rsid w:val="00CA52B2"/>
    <w:rsid w:val="00CA5B77"/>
    <w:rsid w:val="00CA6EEB"/>
    <w:rsid w:val="00CA7D23"/>
    <w:rsid w:val="00CB28BC"/>
    <w:rsid w:val="00CC24EF"/>
    <w:rsid w:val="00CC2FC8"/>
    <w:rsid w:val="00CC4AC1"/>
    <w:rsid w:val="00CC4F23"/>
    <w:rsid w:val="00CD0296"/>
    <w:rsid w:val="00CD287E"/>
    <w:rsid w:val="00CD3597"/>
    <w:rsid w:val="00CD5460"/>
    <w:rsid w:val="00CD5FFD"/>
    <w:rsid w:val="00CE487B"/>
    <w:rsid w:val="00CE5193"/>
    <w:rsid w:val="00CF055B"/>
    <w:rsid w:val="00CF0577"/>
    <w:rsid w:val="00CF1078"/>
    <w:rsid w:val="00CF3357"/>
    <w:rsid w:val="00CF6860"/>
    <w:rsid w:val="00D01DD3"/>
    <w:rsid w:val="00D12120"/>
    <w:rsid w:val="00D145AC"/>
    <w:rsid w:val="00D159A7"/>
    <w:rsid w:val="00D20D62"/>
    <w:rsid w:val="00D21884"/>
    <w:rsid w:val="00D26756"/>
    <w:rsid w:val="00D4202B"/>
    <w:rsid w:val="00D44250"/>
    <w:rsid w:val="00D45E65"/>
    <w:rsid w:val="00D475C4"/>
    <w:rsid w:val="00D538BE"/>
    <w:rsid w:val="00D54B32"/>
    <w:rsid w:val="00D6296D"/>
    <w:rsid w:val="00D63968"/>
    <w:rsid w:val="00D65BF0"/>
    <w:rsid w:val="00D660AB"/>
    <w:rsid w:val="00D66C5A"/>
    <w:rsid w:val="00D67C16"/>
    <w:rsid w:val="00D723F9"/>
    <w:rsid w:val="00D80B0B"/>
    <w:rsid w:val="00D9017D"/>
    <w:rsid w:val="00D908CC"/>
    <w:rsid w:val="00D952B7"/>
    <w:rsid w:val="00D955A3"/>
    <w:rsid w:val="00D9633B"/>
    <w:rsid w:val="00DA194E"/>
    <w:rsid w:val="00DA4CF1"/>
    <w:rsid w:val="00DB1E8B"/>
    <w:rsid w:val="00DB20D5"/>
    <w:rsid w:val="00DB3D3E"/>
    <w:rsid w:val="00DB55B2"/>
    <w:rsid w:val="00DC04E5"/>
    <w:rsid w:val="00DC4250"/>
    <w:rsid w:val="00DC6A80"/>
    <w:rsid w:val="00DD08A0"/>
    <w:rsid w:val="00DD0FB9"/>
    <w:rsid w:val="00DD607D"/>
    <w:rsid w:val="00DE0D47"/>
    <w:rsid w:val="00DE38AB"/>
    <w:rsid w:val="00DE3BC3"/>
    <w:rsid w:val="00DE79C8"/>
    <w:rsid w:val="00DF1392"/>
    <w:rsid w:val="00DF39B5"/>
    <w:rsid w:val="00DF5A5E"/>
    <w:rsid w:val="00E004D3"/>
    <w:rsid w:val="00E00CFF"/>
    <w:rsid w:val="00E04BEE"/>
    <w:rsid w:val="00E04C8B"/>
    <w:rsid w:val="00E05C1B"/>
    <w:rsid w:val="00E07123"/>
    <w:rsid w:val="00E14341"/>
    <w:rsid w:val="00E14D9E"/>
    <w:rsid w:val="00E17B2F"/>
    <w:rsid w:val="00E23A5A"/>
    <w:rsid w:val="00E26801"/>
    <w:rsid w:val="00E3332E"/>
    <w:rsid w:val="00E36689"/>
    <w:rsid w:val="00E369A6"/>
    <w:rsid w:val="00E43A6A"/>
    <w:rsid w:val="00E5511D"/>
    <w:rsid w:val="00E55FC4"/>
    <w:rsid w:val="00E64A1F"/>
    <w:rsid w:val="00E71D51"/>
    <w:rsid w:val="00E73A97"/>
    <w:rsid w:val="00E80468"/>
    <w:rsid w:val="00E9014E"/>
    <w:rsid w:val="00E91C67"/>
    <w:rsid w:val="00E94FD8"/>
    <w:rsid w:val="00EB308F"/>
    <w:rsid w:val="00EB6EA8"/>
    <w:rsid w:val="00ED5282"/>
    <w:rsid w:val="00ED615D"/>
    <w:rsid w:val="00ED66A0"/>
    <w:rsid w:val="00EE69C1"/>
    <w:rsid w:val="00EE74CE"/>
    <w:rsid w:val="00F011F1"/>
    <w:rsid w:val="00F0298B"/>
    <w:rsid w:val="00F02F8A"/>
    <w:rsid w:val="00F07290"/>
    <w:rsid w:val="00F108DE"/>
    <w:rsid w:val="00F17482"/>
    <w:rsid w:val="00F25288"/>
    <w:rsid w:val="00F25F86"/>
    <w:rsid w:val="00F26516"/>
    <w:rsid w:val="00F27592"/>
    <w:rsid w:val="00F27ACD"/>
    <w:rsid w:val="00F34545"/>
    <w:rsid w:val="00F3593D"/>
    <w:rsid w:val="00F36FEF"/>
    <w:rsid w:val="00F45D64"/>
    <w:rsid w:val="00F510C7"/>
    <w:rsid w:val="00F52654"/>
    <w:rsid w:val="00F52E18"/>
    <w:rsid w:val="00F54759"/>
    <w:rsid w:val="00F6006B"/>
    <w:rsid w:val="00F66D19"/>
    <w:rsid w:val="00F70388"/>
    <w:rsid w:val="00F73229"/>
    <w:rsid w:val="00F7382B"/>
    <w:rsid w:val="00F75DDA"/>
    <w:rsid w:val="00F75E3A"/>
    <w:rsid w:val="00F8318B"/>
    <w:rsid w:val="00F84E5B"/>
    <w:rsid w:val="00F90ECF"/>
    <w:rsid w:val="00F914D8"/>
    <w:rsid w:val="00F947B6"/>
    <w:rsid w:val="00F96D79"/>
    <w:rsid w:val="00FA06CE"/>
    <w:rsid w:val="00FA0908"/>
    <w:rsid w:val="00FA35A3"/>
    <w:rsid w:val="00FA3B3E"/>
    <w:rsid w:val="00FA3C7F"/>
    <w:rsid w:val="00FA3F11"/>
    <w:rsid w:val="00FA75FF"/>
    <w:rsid w:val="00FB1AF6"/>
    <w:rsid w:val="00FB2E9B"/>
    <w:rsid w:val="00FB6129"/>
    <w:rsid w:val="00FB697C"/>
    <w:rsid w:val="00FC1361"/>
    <w:rsid w:val="00FC7DE1"/>
    <w:rsid w:val="00FD017F"/>
    <w:rsid w:val="00FD0AE2"/>
    <w:rsid w:val="00FD3952"/>
    <w:rsid w:val="00FD6C1E"/>
    <w:rsid w:val="00FE13FA"/>
    <w:rsid w:val="00FE152E"/>
    <w:rsid w:val="00FE3AB8"/>
    <w:rsid w:val="00FE3D81"/>
    <w:rsid w:val="00FE54D3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A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B41"/>
    <w:pPr>
      <w:keepNext/>
      <w:spacing w:after="0" w:line="480" w:lineRule="auto"/>
      <w:outlineLvl w:val="1"/>
    </w:pPr>
    <w:rPr>
      <w:rFonts w:eastAsia="Times New Roma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0B41"/>
    <w:rPr>
      <w:rFonts w:eastAsia="Times New Roman" w:cs="Arial"/>
      <w:b/>
    </w:rPr>
  </w:style>
  <w:style w:type="character" w:styleId="Hyperlink">
    <w:name w:val="Hyperlink"/>
    <w:basedOn w:val="DefaultParagraphFont"/>
    <w:uiPriority w:val="99"/>
    <w:rsid w:val="00291168"/>
    <w:rPr>
      <w:rFonts w:cs="Times New Roman"/>
      <w:color w:val="0000FF"/>
      <w:u w:val="single"/>
    </w:rPr>
  </w:style>
  <w:style w:type="paragraph" w:customStyle="1" w:styleId="LOT">
    <w:name w:val="LOT"/>
    <w:basedOn w:val="Header"/>
    <w:autoRedefine/>
    <w:uiPriority w:val="99"/>
    <w:rsid w:val="0033666B"/>
    <w:pPr>
      <w:tabs>
        <w:tab w:val="clear" w:pos="4680"/>
        <w:tab w:val="clear" w:pos="9360"/>
        <w:tab w:val="left" w:pos="900"/>
        <w:tab w:val="left" w:pos="1440"/>
      </w:tabs>
    </w:pPr>
    <w:rPr>
      <w:rFonts w:eastAsia="Times New Roman" w:cs="Arial"/>
      <w:b/>
    </w:rPr>
  </w:style>
  <w:style w:type="paragraph" w:styleId="Header">
    <w:name w:val="header"/>
    <w:basedOn w:val="Normal"/>
    <w:link w:val="HeaderChar"/>
    <w:uiPriority w:val="99"/>
    <w:semiHidden/>
    <w:rsid w:val="003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6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D2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A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B41"/>
    <w:pPr>
      <w:keepNext/>
      <w:spacing w:after="0" w:line="480" w:lineRule="auto"/>
      <w:outlineLvl w:val="1"/>
    </w:pPr>
    <w:rPr>
      <w:rFonts w:eastAsia="Times New Roma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0B41"/>
    <w:rPr>
      <w:rFonts w:eastAsia="Times New Roman" w:cs="Arial"/>
      <w:b/>
    </w:rPr>
  </w:style>
  <w:style w:type="character" w:styleId="Hyperlink">
    <w:name w:val="Hyperlink"/>
    <w:basedOn w:val="DefaultParagraphFont"/>
    <w:uiPriority w:val="99"/>
    <w:rsid w:val="00291168"/>
    <w:rPr>
      <w:rFonts w:cs="Times New Roman"/>
      <w:color w:val="0000FF"/>
      <w:u w:val="single"/>
    </w:rPr>
  </w:style>
  <w:style w:type="paragraph" w:customStyle="1" w:styleId="LOT">
    <w:name w:val="LOT"/>
    <w:basedOn w:val="Header"/>
    <w:autoRedefine/>
    <w:uiPriority w:val="99"/>
    <w:rsid w:val="0033666B"/>
    <w:pPr>
      <w:tabs>
        <w:tab w:val="clear" w:pos="4680"/>
        <w:tab w:val="clear" w:pos="9360"/>
        <w:tab w:val="left" w:pos="900"/>
        <w:tab w:val="left" w:pos="1440"/>
      </w:tabs>
    </w:pPr>
    <w:rPr>
      <w:rFonts w:eastAsia="Times New Roman" w:cs="Arial"/>
      <w:b/>
    </w:rPr>
  </w:style>
  <w:style w:type="paragraph" w:styleId="Header">
    <w:name w:val="header"/>
    <w:basedOn w:val="Normal"/>
    <w:link w:val="HeaderChar"/>
    <w:uiPriority w:val="99"/>
    <w:semiHidden/>
    <w:rsid w:val="003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6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D2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.expasy.org/tools/protpa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MATERIAL</vt:lpstr>
    </vt:vector>
  </TitlesOfParts>
  <Company>St. Jude Children's Research Hospital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</dc:title>
  <dc:creator>Otieno, Steve B</dc:creator>
  <cp:lastModifiedBy>Steve B Otieno</cp:lastModifiedBy>
  <cp:revision>2</cp:revision>
  <dcterms:created xsi:type="dcterms:W3CDTF">2012-09-20T22:43:00Z</dcterms:created>
  <dcterms:modified xsi:type="dcterms:W3CDTF">2012-09-20T22:43:00Z</dcterms:modified>
</cp:coreProperties>
</file>