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2A" w:rsidRDefault="00CB1A2A" w:rsidP="00CB1A2A">
      <w:pPr>
        <w:tabs>
          <w:tab w:val="left" w:pos="993"/>
          <w:tab w:val="left" w:pos="1276"/>
          <w:tab w:val="left" w:pos="1560"/>
        </w:tabs>
        <w:ind w:right="435"/>
        <w:rPr>
          <w:rFonts w:ascii="Arial" w:hAnsi="Arial" w:cs="Arial"/>
          <w:sz w:val="20"/>
          <w:szCs w:val="20"/>
          <w:lang w:val="en-US"/>
        </w:rPr>
      </w:pPr>
      <w:r w:rsidRPr="0093056A">
        <w:rPr>
          <w:rFonts w:ascii="Arial" w:hAnsi="Arial" w:cs="Arial"/>
          <w:b/>
          <w:sz w:val="20"/>
          <w:szCs w:val="20"/>
          <w:lang w:val="en-US"/>
        </w:rPr>
        <w:t xml:space="preserve">Table </w:t>
      </w:r>
      <w:r>
        <w:rPr>
          <w:rFonts w:ascii="Arial" w:hAnsi="Arial" w:cs="Arial"/>
          <w:b/>
          <w:sz w:val="20"/>
          <w:szCs w:val="20"/>
          <w:lang w:val="en-US"/>
        </w:rPr>
        <w:t>S4</w:t>
      </w:r>
      <w:r w:rsidRPr="0093056A">
        <w:rPr>
          <w:rFonts w:ascii="Arial" w:hAnsi="Arial" w:cs="Arial"/>
          <w:b/>
          <w:sz w:val="20"/>
          <w:szCs w:val="20"/>
          <w:lang w:val="en-US"/>
        </w:rPr>
        <w:t>.</w:t>
      </w:r>
      <w:r w:rsidRPr="0093056A">
        <w:rPr>
          <w:rFonts w:ascii="Arial" w:hAnsi="Arial" w:cs="Arial"/>
          <w:sz w:val="20"/>
          <w:szCs w:val="20"/>
          <w:lang w:val="en-US"/>
        </w:rPr>
        <w:t xml:space="preserve"> Description</w:t>
      </w:r>
      <w:r w:rsidRPr="00E62016">
        <w:rPr>
          <w:rFonts w:ascii="Arial" w:hAnsi="Arial" w:cs="Arial"/>
          <w:sz w:val="20"/>
          <w:szCs w:val="20"/>
          <w:lang w:val="en-US"/>
        </w:rPr>
        <w:t xml:space="preserve"> of </w:t>
      </w:r>
      <w:r>
        <w:rPr>
          <w:rFonts w:ascii="Arial" w:hAnsi="Arial" w:cs="Arial"/>
          <w:sz w:val="20"/>
          <w:szCs w:val="20"/>
          <w:lang w:val="en-US"/>
        </w:rPr>
        <w:t xml:space="preserve">rare PGG1 </w:t>
      </w:r>
      <w:proofErr w:type="spellStart"/>
      <w:r>
        <w:rPr>
          <w:rFonts w:ascii="Arial" w:hAnsi="Arial" w:cs="Arial"/>
          <w:sz w:val="20"/>
          <w:szCs w:val="20"/>
          <w:lang w:val="en-US"/>
        </w:rPr>
        <w:t>spoligotype</w:t>
      </w:r>
      <w:proofErr w:type="spellEnd"/>
      <w:r>
        <w:rPr>
          <w:rFonts w:ascii="Arial" w:hAnsi="Arial" w:cs="Arial"/>
          <w:sz w:val="20"/>
          <w:szCs w:val="20"/>
          <w:lang w:val="en-US"/>
        </w:rPr>
        <w:t xml:space="preserve"> patterns</w:t>
      </w:r>
      <w:r w:rsidRPr="00E62016">
        <w:rPr>
          <w:rFonts w:ascii="Arial" w:hAnsi="Arial" w:cs="Arial"/>
          <w:sz w:val="20"/>
          <w:szCs w:val="20"/>
          <w:lang w:val="en-US"/>
        </w:rPr>
        <w:t xml:space="preserve"> </w:t>
      </w:r>
      <w:r w:rsidRPr="00D75156">
        <w:rPr>
          <w:rFonts w:ascii="Arial" w:hAnsi="Arial" w:cs="Arial"/>
          <w:sz w:val="20"/>
          <w:szCs w:val="20"/>
          <w:lang w:val="en-US"/>
        </w:rPr>
        <w:t xml:space="preserve">in </w:t>
      </w:r>
      <w:r>
        <w:rPr>
          <w:rFonts w:ascii="Arial" w:hAnsi="Arial" w:cs="Arial"/>
          <w:sz w:val="20"/>
          <w:szCs w:val="20"/>
          <w:lang w:val="en-US"/>
        </w:rPr>
        <w:t>this study (n=15 patterns containing 24 isolates),</w:t>
      </w:r>
      <w:r w:rsidRPr="00E62016">
        <w:rPr>
          <w:rFonts w:ascii="Arial" w:hAnsi="Arial" w:cs="Arial"/>
          <w:sz w:val="20"/>
          <w:szCs w:val="20"/>
          <w:lang w:val="en-US"/>
        </w:rPr>
        <w:t xml:space="preserve"> and their worldwide distribution. </w:t>
      </w:r>
    </w:p>
    <w:p w:rsidR="00CB1A2A" w:rsidRDefault="00CB1A2A" w:rsidP="00CB1A2A">
      <w:pPr>
        <w:tabs>
          <w:tab w:val="left" w:pos="993"/>
          <w:tab w:val="left" w:pos="1276"/>
          <w:tab w:val="left" w:pos="1560"/>
        </w:tabs>
        <w:ind w:right="435"/>
        <w:rPr>
          <w:rFonts w:ascii="Arial" w:hAnsi="Arial" w:cs="Arial"/>
          <w:sz w:val="20"/>
          <w:szCs w:val="20"/>
          <w:lang w:val="en-US"/>
        </w:rPr>
      </w:pPr>
    </w:p>
    <w:tbl>
      <w:tblPr>
        <w:tblpPr w:leftFromText="141" w:rightFromText="141" w:vertAnchor="text" w:horzAnchor="margin" w:tblpXSpec="center" w:tblpY="91"/>
        <w:tblW w:w="10985" w:type="dxa"/>
        <w:tblCellMar>
          <w:left w:w="70" w:type="dxa"/>
          <w:right w:w="70" w:type="dxa"/>
        </w:tblCellMar>
        <w:tblLook w:val="04A0"/>
      </w:tblPr>
      <w:tblGrid>
        <w:gridCol w:w="3972"/>
        <w:gridCol w:w="1089"/>
        <w:gridCol w:w="1132"/>
        <w:gridCol w:w="2524"/>
        <w:gridCol w:w="2268"/>
      </w:tblGrid>
      <w:tr w:rsidR="00CB1A2A" w:rsidRPr="00163C20" w:rsidTr="00FD0F15">
        <w:trPr>
          <w:trHeight w:val="495"/>
        </w:trPr>
        <w:tc>
          <w:tcPr>
            <w:tcW w:w="0" w:type="auto"/>
            <w:tcBorders>
              <w:top w:val="single" w:sz="8" w:space="0" w:color="auto"/>
              <w:left w:val="nil"/>
              <w:bottom w:val="nil"/>
              <w:right w:val="nil"/>
            </w:tcBorders>
            <w:shd w:val="clear" w:color="auto" w:fill="auto"/>
            <w:vAlign w:val="center"/>
          </w:tcPr>
          <w:p w:rsidR="00CB1A2A" w:rsidRPr="00163C20" w:rsidRDefault="00CB1A2A" w:rsidP="00FD0F15">
            <w:pPr>
              <w:jc w:val="center"/>
              <w:rPr>
                <w:rFonts w:ascii="Arial" w:hAnsi="Arial" w:cs="Arial"/>
                <w:b/>
                <w:bCs/>
                <w:color w:val="000000"/>
                <w:sz w:val="16"/>
                <w:szCs w:val="16"/>
                <w:lang w:val="fr-FR" w:eastAsia="fr-FR"/>
              </w:rPr>
            </w:pPr>
            <w:r w:rsidRPr="00163C20">
              <w:rPr>
                <w:rFonts w:ascii="Arial" w:hAnsi="Arial" w:cs="Arial"/>
                <w:b/>
                <w:bCs/>
                <w:color w:val="000000"/>
                <w:sz w:val="16"/>
                <w:szCs w:val="16"/>
                <w:lang w:val="en-US" w:eastAsia="fr-FR"/>
              </w:rPr>
              <w:t>SIT (</w:t>
            </w:r>
            <w:proofErr w:type="spellStart"/>
            <w:r w:rsidRPr="00163C20">
              <w:rPr>
                <w:rFonts w:ascii="Arial" w:hAnsi="Arial" w:cs="Arial"/>
                <w:b/>
                <w:bCs/>
                <w:color w:val="000000"/>
                <w:sz w:val="16"/>
                <w:szCs w:val="16"/>
                <w:lang w:val="en-US" w:eastAsia="fr-FR"/>
              </w:rPr>
              <w:t>Clade</w:t>
            </w:r>
            <w:proofErr w:type="spellEnd"/>
            <w:r w:rsidRPr="00163C20">
              <w:rPr>
                <w:rFonts w:ascii="Arial" w:hAnsi="Arial" w:cs="Arial"/>
                <w:b/>
                <w:bCs/>
                <w:color w:val="000000"/>
                <w:sz w:val="16"/>
                <w:szCs w:val="16"/>
                <w:lang w:val="en-US" w:eastAsia="fr-FR"/>
              </w:rPr>
              <w:t>) Octal Number</w:t>
            </w:r>
          </w:p>
        </w:tc>
        <w:tc>
          <w:tcPr>
            <w:tcW w:w="0" w:type="auto"/>
            <w:vMerge w:val="restart"/>
            <w:tcBorders>
              <w:top w:val="single" w:sz="8" w:space="0" w:color="auto"/>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b/>
                <w:bCs/>
                <w:color w:val="000000"/>
                <w:sz w:val="16"/>
                <w:szCs w:val="16"/>
                <w:lang w:val="fr-FR" w:eastAsia="fr-FR"/>
              </w:rPr>
            </w:pPr>
            <w:r w:rsidRPr="00163C20">
              <w:rPr>
                <w:rFonts w:ascii="Arial" w:hAnsi="Arial" w:cs="Arial"/>
                <w:b/>
                <w:bCs/>
                <w:color w:val="000000"/>
                <w:sz w:val="16"/>
                <w:szCs w:val="16"/>
                <w:lang w:val="en-US" w:eastAsia="fr-FR"/>
              </w:rPr>
              <w:t>Number (%) in this study</w:t>
            </w:r>
          </w:p>
        </w:tc>
        <w:tc>
          <w:tcPr>
            <w:tcW w:w="0" w:type="auto"/>
            <w:vMerge w:val="restart"/>
            <w:tcBorders>
              <w:top w:val="single" w:sz="8" w:space="0" w:color="auto"/>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b/>
                <w:bCs/>
                <w:color w:val="000000"/>
                <w:sz w:val="16"/>
                <w:szCs w:val="16"/>
                <w:lang w:val="fr-FR" w:eastAsia="fr-FR"/>
              </w:rPr>
            </w:pPr>
            <w:r w:rsidRPr="00163C20">
              <w:rPr>
                <w:rFonts w:ascii="Arial" w:hAnsi="Arial" w:cs="Arial"/>
                <w:b/>
                <w:bCs/>
                <w:color w:val="000000"/>
                <w:sz w:val="16"/>
                <w:szCs w:val="16"/>
                <w:lang w:val="en-US" w:eastAsia="fr-FR"/>
              </w:rPr>
              <w:t>% in study vs. database</w:t>
            </w:r>
          </w:p>
        </w:tc>
        <w:tc>
          <w:tcPr>
            <w:tcW w:w="2524" w:type="dxa"/>
            <w:vMerge w:val="restart"/>
            <w:tcBorders>
              <w:top w:val="single" w:sz="8" w:space="0" w:color="auto"/>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b/>
                <w:bCs/>
                <w:color w:val="000000"/>
                <w:sz w:val="16"/>
                <w:szCs w:val="16"/>
                <w:lang w:val="en-US" w:eastAsia="fr-FR"/>
              </w:rPr>
            </w:pPr>
            <w:r w:rsidRPr="00163C20">
              <w:rPr>
                <w:rFonts w:ascii="Arial" w:hAnsi="Arial" w:cs="Arial"/>
                <w:b/>
                <w:bCs/>
                <w:color w:val="000000"/>
                <w:sz w:val="16"/>
                <w:szCs w:val="16"/>
                <w:lang w:val="en-US" w:eastAsia="fr-FR"/>
              </w:rPr>
              <w:t>Distribution in Regions with ≥ 5% of a given SITs *</w:t>
            </w:r>
          </w:p>
        </w:tc>
        <w:tc>
          <w:tcPr>
            <w:tcW w:w="2268" w:type="dxa"/>
            <w:vMerge w:val="restart"/>
            <w:tcBorders>
              <w:top w:val="single" w:sz="8" w:space="0" w:color="auto"/>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b/>
                <w:bCs/>
                <w:color w:val="000000"/>
                <w:sz w:val="16"/>
                <w:szCs w:val="16"/>
                <w:lang w:val="en-US" w:eastAsia="fr-FR"/>
              </w:rPr>
            </w:pPr>
            <w:r w:rsidRPr="00163C20">
              <w:rPr>
                <w:rFonts w:ascii="Arial" w:hAnsi="Arial" w:cs="Arial"/>
                <w:b/>
                <w:bCs/>
                <w:color w:val="000000"/>
                <w:sz w:val="16"/>
                <w:szCs w:val="16"/>
                <w:lang w:val="en-US" w:eastAsia="fr-FR"/>
              </w:rPr>
              <w:t>Distribution in countries with ≥ 5% of a given SITs **</w:t>
            </w:r>
          </w:p>
        </w:tc>
      </w:tr>
      <w:tr w:rsidR="00CB1A2A" w:rsidRPr="00163C20" w:rsidTr="00FD0F15">
        <w:trPr>
          <w:trHeight w:val="435"/>
        </w:trPr>
        <w:tc>
          <w:tcPr>
            <w:tcW w:w="0" w:type="auto"/>
            <w:tcBorders>
              <w:top w:val="nil"/>
              <w:left w:val="nil"/>
              <w:bottom w:val="single" w:sz="8" w:space="0" w:color="auto"/>
              <w:right w:val="nil"/>
            </w:tcBorders>
            <w:shd w:val="clear" w:color="auto" w:fill="auto"/>
            <w:vAlign w:val="center"/>
          </w:tcPr>
          <w:p w:rsidR="00CB1A2A" w:rsidRPr="00163C20" w:rsidRDefault="00CB1A2A" w:rsidP="00FD0F15">
            <w:pPr>
              <w:jc w:val="center"/>
              <w:rPr>
                <w:rFonts w:ascii="Arial" w:hAnsi="Arial" w:cs="Arial"/>
                <w:b/>
                <w:bCs/>
                <w:color w:val="000000"/>
                <w:sz w:val="16"/>
                <w:szCs w:val="16"/>
                <w:lang w:val="fr-FR" w:eastAsia="fr-FR"/>
              </w:rPr>
            </w:pPr>
            <w:proofErr w:type="spellStart"/>
            <w:r w:rsidRPr="00163C20">
              <w:rPr>
                <w:rFonts w:ascii="Arial" w:hAnsi="Arial" w:cs="Arial"/>
                <w:b/>
                <w:bCs/>
                <w:color w:val="000000"/>
                <w:sz w:val="16"/>
                <w:szCs w:val="16"/>
                <w:lang w:val="en-US" w:eastAsia="fr-FR"/>
              </w:rPr>
              <w:t>Spoligotype</w:t>
            </w:r>
            <w:proofErr w:type="spellEnd"/>
            <w:r w:rsidRPr="00163C20">
              <w:rPr>
                <w:rFonts w:ascii="Arial" w:hAnsi="Arial" w:cs="Arial"/>
                <w:b/>
                <w:bCs/>
                <w:color w:val="000000"/>
                <w:sz w:val="16"/>
                <w:szCs w:val="16"/>
                <w:lang w:val="en-US" w:eastAsia="fr-FR"/>
              </w:rPr>
              <w:t xml:space="preserve"> Description</w:t>
            </w:r>
          </w:p>
        </w:tc>
        <w:tc>
          <w:tcPr>
            <w:tcW w:w="0" w:type="auto"/>
            <w:vMerge/>
            <w:tcBorders>
              <w:top w:val="single" w:sz="8" w:space="0" w:color="auto"/>
              <w:left w:val="nil"/>
              <w:bottom w:val="single" w:sz="8" w:space="0" w:color="000000"/>
              <w:right w:val="nil"/>
            </w:tcBorders>
            <w:vAlign w:val="center"/>
          </w:tcPr>
          <w:p w:rsidR="00CB1A2A" w:rsidRPr="00163C20" w:rsidRDefault="00CB1A2A" w:rsidP="00FD0F15">
            <w:pPr>
              <w:rPr>
                <w:rFonts w:ascii="Arial" w:hAnsi="Arial" w:cs="Arial"/>
                <w:b/>
                <w:bCs/>
                <w:color w:val="000000"/>
                <w:sz w:val="16"/>
                <w:szCs w:val="16"/>
                <w:lang w:val="fr-FR" w:eastAsia="fr-FR"/>
              </w:rPr>
            </w:pPr>
          </w:p>
        </w:tc>
        <w:tc>
          <w:tcPr>
            <w:tcW w:w="0" w:type="auto"/>
            <w:vMerge/>
            <w:tcBorders>
              <w:top w:val="single" w:sz="8" w:space="0" w:color="auto"/>
              <w:left w:val="nil"/>
              <w:bottom w:val="single" w:sz="8" w:space="0" w:color="000000"/>
              <w:right w:val="nil"/>
            </w:tcBorders>
            <w:vAlign w:val="center"/>
          </w:tcPr>
          <w:p w:rsidR="00CB1A2A" w:rsidRPr="00163C20" w:rsidRDefault="00CB1A2A" w:rsidP="00FD0F15">
            <w:pPr>
              <w:rPr>
                <w:rFonts w:ascii="Arial" w:hAnsi="Arial" w:cs="Arial"/>
                <w:b/>
                <w:bCs/>
                <w:color w:val="000000"/>
                <w:sz w:val="16"/>
                <w:szCs w:val="16"/>
                <w:lang w:val="fr-FR" w:eastAsia="fr-FR"/>
              </w:rPr>
            </w:pPr>
          </w:p>
        </w:tc>
        <w:tc>
          <w:tcPr>
            <w:tcW w:w="2524" w:type="dxa"/>
            <w:vMerge/>
            <w:tcBorders>
              <w:top w:val="single" w:sz="8" w:space="0" w:color="auto"/>
              <w:left w:val="nil"/>
              <w:bottom w:val="single" w:sz="8" w:space="0" w:color="000000"/>
              <w:right w:val="nil"/>
            </w:tcBorders>
            <w:vAlign w:val="center"/>
          </w:tcPr>
          <w:p w:rsidR="00CB1A2A" w:rsidRPr="00163C20" w:rsidRDefault="00CB1A2A" w:rsidP="00FD0F15">
            <w:pPr>
              <w:rPr>
                <w:rFonts w:ascii="Arial" w:hAnsi="Arial" w:cs="Arial"/>
                <w:b/>
                <w:bCs/>
                <w:color w:val="000000"/>
                <w:sz w:val="16"/>
                <w:szCs w:val="16"/>
                <w:lang w:val="fr-FR" w:eastAsia="fr-FR"/>
              </w:rPr>
            </w:pPr>
          </w:p>
        </w:tc>
        <w:tc>
          <w:tcPr>
            <w:tcW w:w="2268" w:type="dxa"/>
            <w:vMerge/>
            <w:tcBorders>
              <w:top w:val="single" w:sz="8" w:space="0" w:color="auto"/>
              <w:left w:val="nil"/>
              <w:bottom w:val="single" w:sz="8" w:space="0" w:color="000000"/>
              <w:right w:val="nil"/>
            </w:tcBorders>
            <w:vAlign w:val="center"/>
          </w:tcPr>
          <w:p w:rsidR="00CB1A2A" w:rsidRPr="00163C20" w:rsidRDefault="00CB1A2A" w:rsidP="00FD0F15">
            <w:pPr>
              <w:rPr>
                <w:rFonts w:ascii="Arial" w:hAnsi="Arial" w:cs="Arial"/>
                <w:b/>
                <w:bCs/>
                <w:color w:val="000000"/>
                <w:sz w:val="16"/>
                <w:szCs w:val="16"/>
                <w:lang w:val="fr-FR" w:eastAsia="fr-FR"/>
              </w:rPr>
            </w:pPr>
          </w:p>
        </w:tc>
      </w:tr>
      <w:tr w:rsidR="00CB1A2A" w:rsidRPr="00163C20" w:rsidTr="00FD0F15">
        <w:trPr>
          <w:trHeight w:val="45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(Beijing) 000000000003771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3 (0.73)</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0.03</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pt-BR" w:eastAsia="fr-FR"/>
              </w:rPr>
              <w:t>ASIA-E 33.65, AMER-N 20.65, ASIA-SE 9.32, AFRI-S 8.49, ASIA-N 7.1</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de-DE" w:eastAsia="fr-FR"/>
              </w:rPr>
              <w:t>USA 20.31, CHN 19.44, JPN 11.8, ZAF 8.49, RUS 7.1</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495"/>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691 (BOV_1) 676573777777600</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4 (0.98)</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0.55</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pt-BR" w:eastAsia="fr-FR"/>
              </w:rPr>
              <w:t>EURO-S 71.76, AMER-S 12.81</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eastAsia="fr-FR"/>
              </w:rPr>
              <w:t>ESP 71.76, ARG 9.23</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555"/>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1185 (BOV_1) 676673777777600</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33.33</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EURO-N 66.67, EURO-W 33.33</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SWE 66.67, FXX 33.33</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525"/>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3170* (BOV_1) 676773776777600</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3 (0.73)</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75</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EURO-N 100</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SWE 100</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495"/>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3184* (BOV_1) 676773747777600</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50</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EURO-N 100</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SWE 100</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45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Orphan (BOV_1) 676771777777600</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100</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EURO-N 100</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SWE 100</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51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Orphan (BOV_LIKE) 676761037777600</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100</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EURO-N 100</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SWE 100</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495"/>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26 (CAS1-Delhi) 703777740003771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0.08</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en-US" w:eastAsia="fr-FR"/>
              </w:rPr>
              <w:t>ASIA-S 52.71, AMER-N 16.95, EURO-W 6.58, ASIA-W 6.5, AFRI-E 5.5</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eastAsia="fr-FR"/>
              </w:rPr>
              <w:t>IND 30.11, USA 16.95, PAK 11.15, SAU 6.04, BGD 5.8</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60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356 (CAS1-Delhi) 703777600001771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7.14</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pt-BR" w:eastAsia="fr-FR"/>
              </w:rPr>
              <w:t>AFRI-S 35.71, EURO-N 21.43, ASIA-S 14.29, AFRI-N 14.29, ASIA-W 7.14,  AMER-N 7.14</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da-DK" w:eastAsia="fr-FR"/>
              </w:rPr>
              <w:t>ZAF 35.71, IND 14.29, SDN 14.29, GBR 14.29, USA 7.14, SWE 7.14, SAU 7.14</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555"/>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485 (CAS1-Delhi) 703777400003771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4.35</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en-US" w:eastAsia="fr-FR"/>
              </w:rPr>
              <w:t>ASIA-S 47.83, AMER-N 26.09, ASIA-W 8.7, EURO-N 8.7</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eastAsia="fr-FR"/>
              </w:rPr>
              <w:t>IRN 30.43, USA 26.09, IND 8.7, SAU 8.7, PAK 8.7</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48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19 (EAI2-Manilla) 677777477413771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3 (0.73)</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0.35</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pt-BR" w:eastAsia="fr-FR"/>
              </w:rPr>
              <w:t>AMER-N 56.93, ASIA-SE 18.82, ASIA-E 7.04</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 xml:space="preserve"> USA 47.92, PHL 10.62, MEX 9.01</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AE5BA7" w:rsidTr="00FD0F15">
        <w:trPr>
          <w:trHeight w:val="42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947 (EAI5) 777777777413631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10</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pt-BR" w:eastAsia="fr-FR"/>
              </w:rPr>
              <w:t>EURO-N 40.0, ASIA-S 20.0, ASIA-SE 20.0, AMER-N 20.0</w:t>
            </w:r>
          </w:p>
        </w:tc>
        <w:tc>
          <w:tcPr>
            <w:tcW w:w="2268" w:type="dxa"/>
            <w:vMerge w:val="restart"/>
            <w:tcBorders>
              <w:top w:val="nil"/>
              <w:left w:val="nil"/>
              <w:bottom w:val="nil"/>
              <w:right w:val="nil"/>
            </w:tcBorders>
            <w:shd w:val="clear" w:color="auto" w:fill="auto"/>
            <w:vAlign w:val="center"/>
          </w:tcPr>
          <w:p w:rsidR="00CB1A2A" w:rsidRPr="00AE5BA7" w:rsidRDefault="00CB1A2A" w:rsidP="00FD0F15">
            <w:pPr>
              <w:jc w:val="center"/>
              <w:rPr>
                <w:rFonts w:ascii="Arial" w:hAnsi="Arial" w:cs="Arial"/>
                <w:color w:val="000000"/>
                <w:sz w:val="14"/>
                <w:szCs w:val="14"/>
                <w:lang w:eastAsia="fr-FR"/>
              </w:rPr>
            </w:pPr>
            <w:r w:rsidRPr="00AE5BA7">
              <w:rPr>
                <w:rFonts w:ascii="Arial" w:hAnsi="Arial" w:cs="Arial"/>
                <w:color w:val="000000"/>
                <w:sz w:val="14"/>
                <w:szCs w:val="14"/>
                <w:lang w:eastAsia="fr-FR"/>
              </w:rPr>
              <w:t>SWE 30.0, IND 20.0, USA 20.0, DNK 10.0, THA 10.0, MYS 10.0</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48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54 (Manu2) 777777777763771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0.45</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en-US" w:eastAsia="fr-FR"/>
              </w:rPr>
              <w:t>ASIA-E 16.74, AFRI-N 16.29, ASIA-S 13.57, ASIA-W 11.76, AMER-N 10.86, AFRI-S 7.24</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da-DK" w:eastAsia="fr-FR"/>
              </w:rPr>
              <w:t>CHN 16.74, EGY 15.38, IND 12.67, SAU 9.05, USA 9.05, ZAF 7.24</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510"/>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100 (Manu1) 777777777773771</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1.32</w:t>
            </w:r>
          </w:p>
        </w:tc>
        <w:tc>
          <w:tcPr>
            <w:tcW w:w="2524"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en-US" w:eastAsia="fr-FR"/>
              </w:rPr>
              <w:t>ASIA-S 39.47, ASIA-W 23.68, AMER-N 14.47, EURO-N 9.21</w:t>
            </w:r>
          </w:p>
        </w:tc>
        <w:tc>
          <w:tcPr>
            <w:tcW w:w="2268" w:type="dxa"/>
            <w:vMerge w:val="restart"/>
            <w:tcBorders>
              <w:top w:val="nil"/>
              <w:left w:val="nil"/>
              <w:bottom w:val="nil"/>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IND 39.47, SAU 23.68, USA 9.21, GBR 7.89</w:t>
            </w:r>
          </w:p>
        </w:tc>
      </w:tr>
      <w:tr w:rsidR="00CB1A2A" w:rsidRPr="00163C20" w:rsidTr="00FD0F15">
        <w:trPr>
          <w:trHeight w:val="300"/>
        </w:trPr>
        <w:tc>
          <w:tcPr>
            <w:tcW w:w="0" w:type="auto"/>
            <w:tcBorders>
              <w:top w:val="nil"/>
              <w:left w:val="nil"/>
              <w:bottom w:val="nil"/>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nil"/>
              <w:right w:val="nil"/>
            </w:tcBorders>
            <w:vAlign w:val="center"/>
          </w:tcPr>
          <w:p w:rsidR="00CB1A2A" w:rsidRPr="00163C20" w:rsidRDefault="00CB1A2A" w:rsidP="00FD0F15">
            <w:pPr>
              <w:rPr>
                <w:rFonts w:ascii="Arial" w:hAnsi="Arial" w:cs="Arial"/>
                <w:color w:val="000000"/>
                <w:sz w:val="14"/>
                <w:szCs w:val="14"/>
                <w:lang w:val="fr-FR" w:eastAsia="fr-FR"/>
              </w:rPr>
            </w:pPr>
          </w:p>
        </w:tc>
      </w:tr>
      <w:tr w:rsidR="00CB1A2A" w:rsidRPr="00163C20" w:rsidTr="00FD0F15">
        <w:trPr>
          <w:trHeight w:val="555"/>
        </w:trPr>
        <w:tc>
          <w:tcPr>
            <w:tcW w:w="0" w:type="auto"/>
            <w:tcBorders>
              <w:top w:val="nil"/>
              <w:left w:val="nil"/>
              <w:bottom w:val="nil"/>
              <w:right w:val="nil"/>
            </w:tcBorders>
            <w:shd w:val="clear" w:color="auto" w:fill="auto"/>
            <w:noWrap/>
            <w:vAlign w:val="bottom"/>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lastRenderedPageBreak/>
              <w:t>523 (</w:t>
            </w:r>
            <w:proofErr w:type="spellStart"/>
            <w:r w:rsidRPr="00163C20">
              <w:rPr>
                <w:rFonts w:ascii="Arial" w:hAnsi="Arial" w:cs="Arial"/>
                <w:color w:val="000000"/>
                <w:sz w:val="14"/>
                <w:szCs w:val="14"/>
                <w:lang w:val="en-US" w:eastAsia="fr-FR"/>
              </w:rPr>
              <w:t>Manu_ancestor</w:t>
            </w:r>
            <w:proofErr w:type="spellEnd"/>
            <w:r w:rsidRPr="00163C20">
              <w:rPr>
                <w:rFonts w:ascii="Arial" w:hAnsi="Arial" w:cs="Arial"/>
                <w:color w:val="000000"/>
                <w:sz w:val="14"/>
                <w:szCs w:val="14"/>
                <w:lang w:val="en-US" w:eastAsia="fr-FR"/>
              </w:rPr>
              <w:t>) 777777777777771</w:t>
            </w:r>
          </w:p>
        </w:tc>
        <w:tc>
          <w:tcPr>
            <w:tcW w:w="0" w:type="auto"/>
            <w:vMerge w:val="restart"/>
            <w:tcBorders>
              <w:top w:val="nil"/>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1 (0.24)</w:t>
            </w:r>
          </w:p>
        </w:tc>
        <w:tc>
          <w:tcPr>
            <w:tcW w:w="0" w:type="auto"/>
            <w:vMerge w:val="restart"/>
            <w:tcBorders>
              <w:top w:val="nil"/>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val="en-US" w:eastAsia="fr-FR"/>
              </w:rPr>
              <w:t>2.27</w:t>
            </w:r>
          </w:p>
        </w:tc>
        <w:tc>
          <w:tcPr>
            <w:tcW w:w="2524" w:type="dxa"/>
            <w:vMerge w:val="restart"/>
            <w:tcBorders>
              <w:top w:val="nil"/>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color w:val="000000"/>
                <w:sz w:val="14"/>
                <w:szCs w:val="14"/>
                <w:lang w:val="en-US" w:eastAsia="fr-FR"/>
              </w:rPr>
            </w:pPr>
            <w:r w:rsidRPr="00163C20">
              <w:rPr>
                <w:rFonts w:ascii="Arial" w:hAnsi="Arial" w:cs="Arial"/>
                <w:color w:val="000000"/>
                <w:sz w:val="14"/>
                <w:szCs w:val="14"/>
                <w:lang w:val="en-US" w:eastAsia="fr-FR"/>
              </w:rPr>
              <w:t>ASIA-E 29.55, ASIA-SE 18.18, AMER-N 11.36, ASIA-W 9.09, AFRI-W 9.09, EURO-W 9.09</w:t>
            </w:r>
          </w:p>
        </w:tc>
        <w:tc>
          <w:tcPr>
            <w:tcW w:w="2268" w:type="dxa"/>
            <w:vMerge w:val="restart"/>
            <w:tcBorders>
              <w:top w:val="nil"/>
              <w:left w:val="nil"/>
              <w:bottom w:val="single" w:sz="8" w:space="0" w:color="000000"/>
              <w:right w:val="nil"/>
            </w:tcBorders>
            <w:shd w:val="clear" w:color="auto" w:fill="auto"/>
            <w:vAlign w:val="center"/>
          </w:tcPr>
          <w:p w:rsidR="00CB1A2A" w:rsidRPr="00163C20" w:rsidRDefault="00CB1A2A" w:rsidP="00FD0F15">
            <w:pPr>
              <w:jc w:val="center"/>
              <w:rPr>
                <w:rFonts w:ascii="Arial" w:hAnsi="Arial" w:cs="Arial"/>
                <w:color w:val="000000"/>
                <w:sz w:val="14"/>
                <w:szCs w:val="14"/>
                <w:lang w:val="fr-FR" w:eastAsia="fr-FR"/>
              </w:rPr>
            </w:pPr>
            <w:r w:rsidRPr="00163C20">
              <w:rPr>
                <w:rFonts w:ascii="Arial" w:hAnsi="Arial" w:cs="Arial"/>
                <w:color w:val="000000"/>
                <w:sz w:val="14"/>
                <w:szCs w:val="14"/>
                <w:lang w:eastAsia="fr-FR"/>
              </w:rPr>
              <w:t>USA 11.36, SAU 9.09, CHN 9.09, JPN 9.09, KOR 6.82, MYS 6.82, NGA 6.82</w:t>
            </w:r>
          </w:p>
        </w:tc>
      </w:tr>
      <w:tr w:rsidR="00CB1A2A" w:rsidRPr="00163C20" w:rsidTr="00FD0F15">
        <w:trPr>
          <w:trHeight w:val="315"/>
        </w:trPr>
        <w:tc>
          <w:tcPr>
            <w:tcW w:w="0" w:type="auto"/>
            <w:tcBorders>
              <w:top w:val="nil"/>
              <w:left w:val="nil"/>
              <w:bottom w:val="single" w:sz="8" w:space="0" w:color="auto"/>
              <w:right w:val="nil"/>
            </w:tcBorders>
            <w:shd w:val="clear" w:color="auto" w:fill="auto"/>
            <w:noWrap/>
          </w:tcPr>
          <w:p w:rsidR="00CB1A2A" w:rsidRPr="00163C20" w:rsidRDefault="00CB1A2A" w:rsidP="00FD0F15">
            <w:pPr>
              <w:jc w:val="center"/>
              <w:rPr>
                <w:rFonts w:ascii="Wingdings 2" w:hAnsi="Wingdings 2" w:cs="Calibri"/>
                <w:color w:val="000000"/>
                <w:sz w:val="10"/>
                <w:szCs w:val="10"/>
                <w:lang w:val="fr-FR" w:eastAsia="fr-FR"/>
              </w:rPr>
            </w:pP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r w:rsidRPr="00163C20">
              <w:rPr>
                <w:rFonts w:ascii="Wingdings 2" w:hAnsi="Wingdings 2" w:cs="Calibri"/>
                <w:color w:val="000000"/>
                <w:sz w:val="10"/>
                <w:szCs w:val="10"/>
                <w:lang w:val="en-US" w:eastAsia="fr-FR"/>
              </w:rPr>
              <w:t></w:t>
            </w:r>
          </w:p>
        </w:tc>
        <w:tc>
          <w:tcPr>
            <w:tcW w:w="0" w:type="auto"/>
            <w:vMerge/>
            <w:tcBorders>
              <w:top w:val="nil"/>
              <w:left w:val="nil"/>
              <w:bottom w:val="single" w:sz="8" w:space="0" w:color="000000"/>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0" w:type="auto"/>
            <w:vMerge/>
            <w:tcBorders>
              <w:top w:val="nil"/>
              <w:left w:val="nil"/>
              <w:bottom w:val="single" w:sz="8" w:space="0" w:color="000000"/>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524" w:type="dxa"/>
            <w:vMerge/>
            <w:tcBorders>
              <w:top w:val="nil"/>
              <w:left w:val="nil"/>
              <w:bottom w:val="single" w:sz="8" w:space="0" w:color="000000"/>
              <w:right w:val="nil"/>
            </w:tcBorders>
            <w:vAlign w:val="center"/>
          </w:tcPr>
          <w:p w:rsidR="00CB1A2A" w:rsidRPr="00163C20" w:rsidRDefault="00CB1A2A" w:rsidP="00FD0F15">
            <w:pPr>
              <w:rPr>
                <w:rFonts w:ascii="Arial" w:hAnsi="Arial" w:cs="Arial"/>
                <w:color w:val="000000"/>
                <w:sz w:val="14"/>
                <w:szCs w:val="14"/>
                <w:lang w:val="fr-FR" w:eastAsia="fr-FR"/>
              </w:rPr>
            </w:pPr>
          </w:p>
        </w:tc>
        <w:tc>
          <w:tcPr>
            <w:tcW w:w="2268" w:type="dxa"/>
            <w:vMerge/>
            <w:tcBorders>
              <w:top w:val="nil"/>
              <w:left w:val="nil"/>
              <w:bottom w:val="single" w:sz="8" w:space="0" w:color="000000"/>
              <w:right w:val="nil"/>
            </w:tcBorders>
            <w:vAlign w:val="center"/>
          </w:tcPr>
          <w:p w:rsidR="00CB1A2A" w:rsidRPr="00163C20" w:rsidRDefault="00CB1A2A" w:rsidP="00FD0F15">
            <w:pPr>
              <w:rPr>
                <w:rFonts w:ascii="Arial" w:hAnsi="Arial" w:cs="Arial"/>
                <w:color w:val="000000"/>
                <w:sz w:val="14"/>
                <w:szCs w:val="14"/>
                <w:lang w:val="fr-FR" w:eastAsia="fr-FR"/>
              </w:rPr>
            </w:pPr>
          </w:p>
        </w:tc>
      </w:tr>
    </w:tbl>
    <w:p w:rsidR="00CB1A2A" w:rsidRPr="002F7AB7" w:rsidRDefault="00CB1A2A" w:rsidP="00CB1A2A">
      <w:pPr>
        <w:ind w:right="247"/>
        <w:rPr>
          <w:rFonts w:ascii="Arial" w:hAnsi="Arial" w:cs="Arial"/>
          <w:noProof/>
          <w:sz w:val="18"/>
          <w:szCs w:val="18"/>
        </w:rPr>
      </w:pPr>
    </w:p>
    <w:p w:rsidR="00CB1A2A" w:rsidRPr="00B95F0C" w:rsidRDefault="00CB1A2A" w:rsidP="00CB1A2A">
      <w:pPr>
        <w:ind w:right="438"/>
        <w:jc w:val="both"/>
        <w:rPr>
          <w:rFonts w:ascii="Arial" w:hAnsi="Arial" w:cs="Arial"/>
          <w:noProof/>
          <w:sz w:val="16"/>
          <w:szCs w:val="16"/>
          <w:lang w:val="en-US"/>
        </w:rPr>
      </w:pPr>
      <w:r w:rsidRPr="00B95F0C">
        <w:rPr>
          <w:rFonts w:ascii="Arial" w:hAnsi="Arial" w:cs="Arial"/>
          <w:noProof/>
          <w:sz w:val="16"/>
          <w:szCs w:val="16"/>
          <w:lang w:val="en-US"/>
        </w:rPr>
        <w:t>* Worldwide distribution is reported for regions with ≥5% of a given SITs as compared to their total number in the SITVIT2 database. The definition of macro-geographical regions and sub-regions (</w:t>
      </w:r>
      <w:hyperlink r:id="rId4" w:history="1">
        <w:r w:rsidRPr="000278E8">
          <w:rPr>
            <w:rStyle w:val="Hyperlink"/>
            <w:rFonts w:ascii="Arial" w:hAnsi="Arial" w:cs="Arial"/>
            <w:noProof/>
            <w:color w:val="auto"/>
            <w:sz w:val="16"/>
            <w:szCs w:val="16"/>
            <w:u w:val="none"/>
            <w:lang w:val="en-US"/>
          </w:rPr>
          <w:t>http://unstats.un.org/unsd/methods/m49/m49regin.htm</w:t>
        </w:r>
      </w:hyperlink>
      <w:r w:rsidRPr="00B95F0C">
        <w:rPr>
          <w:rFonts w:ascii="Arial" w:hAnsi="Arial" w:cs="Arial"/>
          <w:noProof/>
          <w:sz w:val="16"/>
          <w:szCs w:val="16"/>
          <w:lang w:val="en-US"/>
        </w:rPr>
        <w:t xml:space="preserve">) is according to the United Nations; Regions: AFRI (Africa), AMER (Americas), ASIA (Asia), EURO (Europe), and OCE (Oceania), subdivided in: E (Eastern), M (Middle), C (Central), N (Northern), S (Southern), SE (South-Eastern), and W (Western). Furthermore, CARIB (Caribbean) belongs to Americas, while Oceania is subdivided in 4 sub-regions, AUST (Australasia), MEL (Melanesia), MIC (Micronesia), and POLY (Polynesia). Note that in our classification scheme, Russia has been attributed a new sub-region by itself (Northern Asia) instead of including it among rest of the Eastern Europe. It reflects its geographical localization as well as due to the similarity of specific TB genotypes circulating in Russia (a majority of Beijing genotypes) with those prevalent in Central, Eastern and South-Eastern Asia. </w:t>
      </w:r>
    </w:p>
    <w:p w:rsidR="00CB1A2A" w:rsidRPr="00B95F0C" w:rsidRDefault="00CB1A2A" w:rsidP="00CB1A2A">
      <w:pPr>
        <w:ind w:right="438"/>
        <w:jc w:val="both"/>
        <w:rPr>
          <w:rFonts w:ascii="Arial" w:hAnsi="Arial" w:cs="Arial"/>
          <w:noProof/>
          <w:sz w:val="16"/>
          <w:szCs w:val="16"/>
          <w:lang w:val="en-US"/>
        </w:rPr>
      </w:pPr>
    </w:p>
    <w:p w:rsidR="00CB1A2A" w:rsidRPr="00B95F0C" w:rsidRDefault="00CB1A2A" w:rsidP="00CB1A2A">
      <w:pPr>
        <w:ind w:right="438"/>
        <w:jc w:val="both"/>
        <w:rPr>
          <w:rFonts w:ascii="Arial" w:hAnsi="Arial" w:cs="Arial"/>
          <w:noProof/>
          <w:sz w:val="16"/>
          <w:szCs w:val="16"/>
          <w:lang w:val="en-US"/>
        </w:rPr>
      </w:pPr>
      <w:r w:rsidRPr="00B95F0C">
        <w:rPr>
          <w:rFonts w:ascii="Arial" w:hAnsi="Arial" w:cs="Arial"/>
          <w:noProof/>
          <w:sz w:val="16"/>
          <w:szCs w:val="16"/>
          <w:lang w:val="en-US"/>
        </w:rPr>
        <w:t xml:space="preserve">** The </w:t>
      </w:r>
      <w:r>
        <w:rPr>
          <w:rFonts w:ascii="Arial" w:hAnsi="Arial" w:cs="Arial"/>
          <w:noProof/>
          <w:sz w:val="16"/>
          <w:szCs w:val="16"/>
          <w:lang w:val="en-US"/>
        </w:rPr>
        <w:t>three</w:t>
      </w:r>
      <w:r w:rsidRPr="00B95F0C">
        <w:rPr>
          <w:rFonts w:ascii="Arial" w:hAnsi="Arial" w:cs="Arial"/>
          <w:noProof/>
          <w:sz w:val="16"/>
          <w:szCs w:val="16"/>
          <w:lang w:val="en-US"/>
        </w:rPr>
        <w:t xml:space="preserve"> letter country codes are according to </w:t>
      </w:r>
      <w:hyperlink r:id="rId5" w:history="1">
        <w:r w:rsidRPr="000278E8">
          <w:rPr>
            <w:rStyle w:val="Hyperlink"/>
            <w:rFonts w:ascii="Arial" w:hAnsi="Arial" w:cs="Arial"/>
            <w:noProof/>
            <w:color w:val="auto"/>
            <w:sz w:val="16"/>
            <w:szCs w:val="16"/>
            <w:u w:val="none"/>
            <w:lang w:val="en-US"/>
          </w:rPr>
          <w:t>http://en.wikipedia.org/wiki/ISO_3166-1_alpha-3</w:t>
        </w:r>
      </w:hyperlink>
      <w:r w:rsidRPr="000278E8">
        <w:rPr>
          <w:rFonts w:ascii="Arial" w:hAnsi="Arial" w:cs="Arial"/>
          <w:noProof/>
          <w:sz w:val="16"/>
          <w:szCs w:val="16"/>
          <w:lang w:val="en-US"/>
        </w:rPr>
        <w:t>;</w:t>
      </w:r>
      <w:r w:rsidRPr="00B95F0C">
        <w:rPr>
          <w:rFonts w:ascii="Arial" w:hAnsi="Arial" w:cs="Arial"/>
          <w:noProof/>
          <w:sz w:val="16"/>
          <w:szCs w:val="16"/>
          <w:lang w:val="en-US"/>
        </w:rPr>
        <w:t xml:space="preserve"> countrywide distribution is only shown for SITs with ≥5% of a given SITs as compared to their total number in the SITVIT2 database. </w:t>
      </w:r>
    </w:p>
    <w:p w:rsidR="00CB1A2A" w:rsidRPr="001D31D8" w:rsidRDefault="00CB1A2A" w:rsidP="00CB1A2A">
      <w:pPr>
        <w:tabs>
          <w:tab w:val="left" w:pos="993"/>
          <w:tab w:val="left" w:pos="1276"/>
          <w:tab w:val="left" w:pos="1560"/>
        </w:tabs>
        <w:ind w:right="435"/>
        <w:rPr>
          <w:lang w:val="en-US"/>
        </w:rPr>
      </w:pPr>
    </w:p>
    <w:p w:rsidR="0047243E" w:rsidRDefault="0047243E"/>
    <w:sectPr w:rsidR="0047243E" w:rsidSect="0093056A">
      <w:pgSz w:w="12242" w:h="15842" w:code="1"/>
      <w:pgMar w:top="1259" w:right="232" w:bottom="1123" w:left="53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A2A"/>
    <w:rsid w:val="0047243E"/>
    <w:rsid w:val="00CB1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2A"/>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A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ISO_3166-1_alpha-3" TargetMode="External"/><Relationship Id="rId4" Type="http://schemas.openxmlformats.org/officeDocument/2006/relationships/hyperlink" Target="http://unstats.un.org/unsd/methods/m49/m49reg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Company>Hewlett-Packard</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Duaa</dc:creator>
  <cp:lastModifiedBy>Duaa</cp:lastModifiedBy>
  <cp:revision>1</cp:revision>
  <dcterms:created xsi:type="dcterms:W3CDTF">2012-08-24T13:53:00Z</dcterms:created>
  <dcterms:modified xsi:type="dcterms:W3CDTF">2012-08-24T13:54:00Z</dcterms:modified>
</cp:coreProperties>
</file>