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AD" w:rsidRDefault="00580FAD" w:rsidP="00580FAD">
      <w:pPr>
        <w:spacing w:line="240" w:lineRule="auto"/>
        <w:rPr>
          <w:rFonts w:ascii="Arial" w:hAnsi="Arial" w:cs="Arial"/>
          <w:sz w:val="20"/>
          <w:szCs w:val="20"/>
        </w:rPr>
      </w:pPr>
      <w:r w:rsidRPr="00B1463E">
        <w:rPr>
          <w:rFonts w:ascii="Arial" w:hAnsi="Arial" w:cs="Arial"/>
          <w:b/>
          <w:sz w:val="20"/>
          <w:szCs w:val="20"/>
        </w:rPr>
        <w:t>Supplement Table 2.</w:t>
      </w:r>
      <w:r>
        <w:rPr>
          <w:rFonts w:ascii="Arial" w:hAnsi="Arial" w:cs="Arial"/>
          <w:sz w:val="20"/>
          <w:szCs w:val="20"/>
        </w:rPr>
        <w:t xml:space="preserve"> </w:t>
      </w:r>
      <w:r w:rsidRPr="00042EF3">
        <w:rPr>
          <w:rFonts w:ascii="Arial" w:hAnsi="Arial" w:cs="Arial"/>
          <w:sz w:val="20"/>
          <w:szCs w:val="20"/>
        </w:rPr>
        <w:t xml:space="preserve">Gene set enrichment analysis </w:t>
      </w:r>
      <w:r>
        <w:rPr>
          <w:rFonts w:ascii="Arial" w:hAnsi="Arial" w:cs="Arial"/>
          <w:sz w:val="20"/>
          <w:szCs w:val="20"/>
        </w:rPr>
        <w:t xml:space="preserve">identified pathways of 71 probe sets deregulated in both uninvolved oral samples and cancer samples from OSCC patients, </w:t>
      </w:r>
      <w:r w:rsidRPr="00042EF3">
        <w:rPr>
          <w:rFonts w:ascii="Arial" w:hAnsi="Arial" w:cs="Arial"/>
          <w:sz w:val="20"/>
          <w:szCs w:val="20"/>
        </w:rPr>
        <w:t xml:space="preserve">University of Washington Affiliated </w:t>
      </w:r>
      <w:r>
        <w:rPr>
          <w:rFonts w:ascii="Arial" w:hAnsi="Arial" w:cs="Arial"/>
          <w:sz w:val="20"/>
          <w:szCs w:val="20"/>
        </w:rPr>
        <w:t>Medical Center</w:t>
      </w:r>
      <w:r w:rsidRPr="00042EF3">
        <w:rPr>
          <w:rFonts w:ascii="Arial" w:hAnsi="Arial" w:cs="Arial"/>
          <w:sz w:val="20"/>
          <w:szCs w:val="20"/>
        </w:rPr>
        <w:t>s, 2003-2010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8473" w:type="dxa"/>
        <w:tblInd w:w="95" w:type="dxa"/>
        <w:tblLook w:val="04A0" w:firstRow="1" w:lastRow="0" w:firstColumn="1" w:lastColumn="0" w:noHBand="0" w:noVBand="1"/>
      </w:tblPr>
      <w:tblGrid>
        <w:gridCol w:w="5860"/>
        <w:gridCol w:w="741"/>
        <w:gridCol w:w="702"/>
        <w:gridCol w:w="1170"/>
      </w:tblGrid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Description of gene sets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K*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 value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^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Genes involved in Integrin cell surface interactions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6.39E-04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Genes involved in Cell surface interactions at the vascular wall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1.26E-03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 C in the Brain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3.87E-03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Arrhythmogenic</w:t>
            </w:r>
            <w:proofErr w:type="spellEnd"/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right ventricular cardiomyopathy (ARVC)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4.11E-03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Integrin Signaling Pathway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4.51E-03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ECM-receptor interaction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5.88E-03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cell lung cancer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5.88E-03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Genes involved in Cell junction organization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5.88E-03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 adhesion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7.56E-03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Genes involved in Cell-extracellular matrix interactions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8.20E-03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Genes involved in </w:t>
            </w:r>
            <w:proofErr w:type="spellStart"/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Basigin</w:t>
            </w:r>
            <w:proofErr w:type="spellEnd"/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interactions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1.95E-02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Genes involved in Hemostasis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3.05E-02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Hypertrophic cardiomyopathy (HCM)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3.71E-02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Regulation of actin cytoskeleton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3.85E-02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Integrin Signaling Pathway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4.26E-02</w:t>
            </w:r>
          </w:p>
        </w:tc>
      </w:tr>
      <w:tr w:rsidR="00580FAD" w:rsidRPr="007E213C" w:rsidTr="0079159E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Dilated cardiomyopathy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FAD" w:rsidRPr="007E213C" w:rsidRDefault="00580FAD" w:rsidP="007915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4.52E-02</w:t>
            </w:r>
          </w:p>
        </w:tc>
      </w:tr>
    </w:tbl>
    <w:p w:rsidR="00580FAD" w:rsidRPr="007E213C" w:rsidRDefault="00580FAD" w:rsidP="00580FA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E213C">
        <w:rPr>
          <w:rFonts w:ascii="Arial" w:hAnsi="Arial" w:cs="Arial"/>
          <w:sz w:val="16"/>
          <w:szCs w:val="16"/>
        </w:rPr>
        <w:t>* A total number of genes in each gene set</w:t>
      </w:r>
    </w:p>
    <w:p w:rsidR="00580FAD" w:rsidRPr="007E213C" w:rsidRDefault="00580FAD" w:rsidP="00580FA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E213C">
        <w:rPr>
          <w:rFonts w:ascii="Arial" w:hAnsi="Arial" w:cs="Arial"/>
          <w:sz w:val="16"/>
          <w:szCs w:val="16"/>
        </w:rPr>
        <w:t xml:space="preserve">** </w:t>
      </w:r>
      <w:proofErr w:type="gramStart"/>
      <w:r w:rsidRPr="007E213C">
        <w:rPr>
          <w:rFonts w:ascii="Arial" w:hAnsi="Arial" w:cs="Arial"/>
          <w:sz w:val="16"/>
          <w:szCs w:val="16"/>
        </w:rPr>
        <w:t>number</w:t>
      </w:r>
      <w:proofErr w:type="gramEnd"/>
      <w:r w:rsidRPr="007E213C">
        <w:rPr>
          <w:rFonts w:ascii="Arial" w:hAnsi="Arial" w:cs="Arial"/>
          <w:sz w:val="16"/>
          <w:szCs w:val="16"/>
        </w:rPr>
        <w:t xml:space="preserve"> of genes overlap with genes in 71 gene list.</w:t>
      </w:r>
    </w:p>
    <w:p w:rsidR="00580FAD" w:rsidRPr="00A853F2" w:rsidRDefault="00580FAD" w:rsidP="00580F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6585">
        <w:rPr>
          <w:rFonts w:ascii="Arial" w:hAnsi="Arial" w:cs="Arial"/>
          <w:sz w:val="16"/>
          <w:szCs w:val="16"/>
        </w:rPr>
        <w:t xml:space="preserve">^ </w:t>
      </w:r>
      <w:proofErr w:type="gramStart"/>
      <w:r w:rsidRPr="00316585">
        <w:rPr>
          <w:rFonts w:ascii="Arial" w:hAnsi="Arial" w:cs="Arial"/>
          <w:sz w:val="16"/>
          <w:szCs w:val="16"/>
        </w:rPr>
        <w:t>p-value</w:t>
      </w:r>
      <w:proofErr w:type="gramEnd"/>
      <w:r w:rsidRPr="00316585">
        <w:rPr>
          <w:rFonts w:ascii="Arial" w:hAnsi="Arial" w:cs="Arial"/>
          <w:sz w:val="16"/>
          <w:szCs w:val="16"/>
        </w:rPr>
        <w:t xml:space="preserve"> calculated based on</w:t>
      </w:r>
      <w:r>
        <w:rPr>
          <w:rFonts w:ascii="Arial" w:hAnsi="Arial" w:cs="Arial"/>
          <w:sz w:val="16"/>
          <w:szCs w:val="16"/>
        </w:rPr>
        <w:t xml:space="preserve"> the </w:t>
      </w:r>
      <w:proofErr w:type="spellStart"/>
      <w:r>
        <w:rPr>
          <w:rFonts w:ascii="Arial" w:hAnsi="Arial" w:cs="Arial"/>
          <w:sz w:val="16"/>
          <w:szCs w:val="16"/>
        </w:rPr>
        <w:t>hypergeometirc</w:t>
      </w:r>
      <w:proofErr w:type="spellEnd"/>
      <w:r>
        <w:rPr>
          <w:rFonts w:ascii="Arial" w:hAnsi="Arial" w:cs="Arial"/>
          <w:sz w:val="16"/>
          <w:szCs w:val="16"/>
        </w:rPr>
        <w:t xml:space="preserve"> distribution (identical to the corresponding one-tailed version of Fisher’s exact test).</w:t>
      </w:r>
    </w:p>
    <w:p w:rsidR="00FB229E" w:rsidRDefault="00FB229E">
      <w:bookmarkStart w:id="0" w:name="_GoBack"/>
      <w:bookmarkEnd w:id="0"/>
    </w:p>
    <w:sectPr w:rsidR="00FB229E" w:rsidSect="00D7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AD"/>
    <w:rsid w:val="00580FAD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A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A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Lohavanichbutr, Pawadee</dc:creator>
  <cp:lastModifiedBy>Lohavanichbutr, Pawadee</cp:lastModifiedBy>
  <cp:revision>1</cp:revision>
  <dcterms:created xsi:type="dcterms:W3CDTF">2012-09-06T19:20:00Z</dcterms:created>
  <dcterms:modified xsi:type="dcterms:W3CDTF">2012-09-06T19:21:00Z</dcterms:modified>
</cp:coreProperties>
</file>