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A" w:rsidRPr="00493C0A" w:rsidRDefault="00456A5E" w:rsidP="00493C0A">
      <w:pPr>
        <w:jc w:val="center"/>
        <w:rPr>
          <w:b/>
          <w:sz w:val="28"/>
          <w:szCs w:val="28"/>
        </w:rPr>
      </w:pPr>
      <w:r w:rsidRPr="00456A5E">
        <w:rPr>
          <w:b/>
          <w:sz w:val="28"/>
          <w:szCs w:val="28"/>
        </w:rPr>
        <w:pict>
          <v:rect id="_x0000_s1050" style="position:absolute;left:0;text-align:left;margin-left:-30.55pt;margin-top:389.25pt;width:224.25pt;height:58.5pt;z-index:25165056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0;mso-column-margin:2mm" inset=",7.2pt,,7.2pt">
              <w:txbxContent>
                <w:p w:rsidR="000D18B3" w:rsidRDefault="000D18B3" w:rsidP="000D18B3">
                  <w:pPr>
                    <w:spacing w:after="0" w:line="240" w:lineRule="auto"/>
                    <w:jc w:val="center"/>
                  </w:pPr>
                  <w:r>
                    <w:t>Lost to follow up (n=4)</w:t>
                  </w:r>
                </w:p>
                <w:p w:rsidR="000D18B3" w:rsidRPr="007E3DF9" w:rsidRDefault="000D18B3" w:rsidP="000D18B3">
                  <w:pPr>
                    <w:spacing w:after="0" w:line="240" w:lineRule="auto"/>
                    <w:jc w:val="center"/>
                  </w:pPr>
                  <w:r w:rsidRPr="005E5692">
                    <w:t>Withdrew from study</w:t>
                  </w:r>
                  <w:r>
                    <w:t xml:space="preserve"> (n=3)</w:t>
                  </w:r>
                </w:p>
                <w:p w:rsidR="0041013B" w:rsidRPr="000D18B3" w:rsidRDefault="0041013B" w:rsidP="000D18B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rect id="_x0000_s1052" style="position:absolute;left:0;text-align:left;margin-left:283.45pt;margin-top:389.25pt;width:223.9pt;height:58.5pt;z-index:25165260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2;mso-column-margin:2mm" inset=",7.2pt,,7.2pt">
              <w:txbxContent>
                <w:p w:rsidR="000D18B3" w:rsidRDefault="000D18B3" w:rsidP="000D18B3">
                  <w:pPr>
                    <w:spacing w:after="0" w:line="240" w:lineRule="auto"/>
                    <w:jc w:val="center"/>
                  </w:pPr>
                  <w:r>
                    <w:t>Lost to follow up (n= 5)</w:t>
                  </w:r>
                </w:p>
                <w:p w:rsidR="000D18B3" w:rsidRPr="007E3DF9" w:rsidRDefault="000D18B3" w:rsidP="000D18B3">
                  <w:pPr>
                    <w:spacing w:after="0" w:line="240" w:lineRule="auto"/>
                    <w:jc w:val="center"/>
                  </w:pPr>
                  <w:r w:rsidRPr="005E5692">
                    <w:t>Withdrew from study</w:t>
                  </w:r>
                  <w:r>
                    <w:t xml:space="preserve"> (n=6)</w:t>
                  </w:r>
                </w:p>
                <w:p w:rsidR="0041013B" w:rsidRPr="000D18B3" w:rsidRDefault="0041013B" w:rsidP="000D18B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95.35pt;margin-top:350.55pt;width:0;height:37.55pt;z-index:25165977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56A5E">
        <w:rPr>
          <w:b/>
          <w:sz w:val="28"/>
          <w:szCs w:val="28"/>
        </w:rPr>
        <w:pict>
          <v:rect id="_x0000_s1053" style="position:absolute;left:0;text-align:left;margin-left:266.45pt;margin-top:275.2pt;width:240.9pt;height:76.5pt;z-index:25165363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3;mso-column-margin:2mm" inset=",7.2pt,,7.2pt">
              <w:txbxContent>
                <w:p w:rsidR="000D18B3" w:rsidRDefault="000D18B3" w:rsidP="000D18B3">
                  <w:pPr>
                    <w:spacing w:after="0" w:line="240" w:lineRule="auto"/>
                    <w:jc w:val="center"/>
                  </w:pPr>
                  <w:r>
                    <w:t>Allocated to PPV/PPV (n=40)</w:t>
                  </w:r>
                </w:p>
                <w:p w:rsidR="000D18B3" w:rsidRDefault="000D18B3" w:rsidP="000D18B3">
                  <w:pPr>
                    <w:spacing w:after="0" w:line="240" w:lineRule="auto"/>
                    <w:jc w:val="center"/>
                  </w:pPr>
                  <w:r>
                    <w:t>Received allocated intervention with PPV (n=40)</w:t>
                  </w:r>
                </w:p>
                <w:p w:rsidR="0041013B" w:rsidRPr="00172316" w:rsidRDefault="0041013B" w:rsidP="00830669">
                  <w:pPr>
                    <w:spacing w:after="0"/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rect id="_x0000_s1051" style="position:absolute;left:0;text-align:left;margin-left:-30.55pt;margin-top:274.05pt;width:257.8pt;height:76.5pt;z-index:25165158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1;mso-column-margin:2mm" inset=",7.2pt,,7.2pt">
              <w:txbxContent>
                <w:p w:rsidR="000D18B3" w:rsidRDefault="00FC57B1" w:rsidP="000D18B3">
                  <w:pPr>
                    <w:spacing w:after="0" w:line="240" w:lineRule="auto"/>
                    <w:jc w:val="center"/>
                  </w:pPr>
                  <w:r>
                    <w:t xml:space="preserve">Allocated to </w:t>
                  </w:r>
                  <w:r w:rsidRPr="00272C0C">
                    <w:t>7v</w:t>
                  </w:r>
                  <w:r w:rsidR="000D18B3" w:rsidRPr="00272C0C">
                    <w:t>PnC/</w:t>
                  </w:r>
                  <w:r w:rsidR="000D18B3">
                    <w:t>PPV (n=40)</w:t>
                  </w:r>
                </w:p>
                <w:p w:rsidR="000D18B3" w:rsidRDefault="000D18B3" w:rsidP="000D18B3">
                  <w:pPr>
                    <w:spacing w:after="0" w:line="240" w:lineRule="auto"/>
                    <w:jc w:val="center"/>
                  </w:pPr>
                  <w:r>
                    <w:t>Received allocated intervention with 7VPn (n=40)</w:t>
                  </w:r>
                </w:p>
                <w:p w:rsidR="0041013B" w:rsidRPr="000D18B3" w:rsidRDefault="0041013B" w:rsidP="000D18B3"/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roundrect id="_x0000_s1057" style="position:absolute;left:0;text-align:left;margin-left:180.95pt;margin-top:369.15pt;width:113.7pt;height:24.6pt;z-index:251657728" arcsize="10923f" fillcolor="#a9c7fd">
            <v:textbox style="mso-next-textbox:#_x0000_s1057;mso-column-margin:2mm" inset="3.6pt,,3.6pt">
              <w:txbxContent>
                <w:p w:rsidR="0041013B" w:rsidRDefault="0041013B" w:rsidP="00493C0A">
                  <w:pPr>
                    <w:pStyle w:val="berschrift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Follow-Up</w:t>
                  </w:r>
                </w:p>
              </w:txbxContent>
            </v:textbox>
          </v:roundrect>
        </w:pict>
      </w:r>
      <w:r w:rsidRPr="00456A5E">
        <w:rPr>
          <w:b/>
          <w:sz w:val="28"/>
          <w:szCs w:val="28"/>
        </w:rPr>
        <w:pict>
          <v:shape id="_x0000_s1061" type="#_x0000_t32" style="position:absolute;left:0;text-align:left;margin-left:397.45pt;margin-top:447.75pt;width:.05pt;height:36.3pt;z-index:25166182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56A5E">
        <w:rPr>
          <w:b/>
          <w:sz w:val="28"/>
          <w:szCs w:val="28"/>
        </w:rPr>
        <w:pict>
          <v:shape id="_x0000_s1060" type="#_x0000_t32" style="position:absolute;left:0;text-align:left;margin-left:85pt;margin-top:447.75pt;width:0;height:36.3pt;z-index:25166080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56A5E">
        <w:rPr>
          <w:b/>
          <w:sz w:val="28"/>
          <w:szCs w:val="28"/>
        </w:rPr>
        <w:pict>
          <v:rect id="_x0000_s1049" style="position:absolute;left:0;text-align:left;margin-left:-32.9pt;margin-top:484.05pt;width:223.9pt;height:58.5pt;z-index:25164953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9;mso-column-margin:2mm" inset=",7.2pt,,7.2pt">
              <w:txbxContent>
                <w:p w:rsidR="000D18B3" w:rsidRDefault="000D18B3" w:rsidP="000D18B3">
                  <w:pPr>
                    <w:jc w:val="center"/>
                  </w:pPr>
                  <w:r>
                    <w:t>Primary vaccination (n=40)</w:t>
                  </w:r>
                </w:p>
                <w:p w:rsidR="000D18B3" w:rsidRPr="007E3DF9" w:rsidRDefault="000D18B3" w:rsidP="000D18B3">
                  <w:pPr>
                    <w:jc w:val="center"/>
                  </w:pPr>
                  <w:r>
                    <w:t>Secondary vaccination (n=33)</w:t>
                  </w:r>
                </w:p>
                <w:p w:rsidR="0041013B" w:rsidRDefault="00172316" w:rsidP="00172316">
                  <w:pPr>
                    <w:rPr>
                      <w:rFonts w:cs="Calibr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roundrect id="_x0000_s1056" style="position:absolute;left:0;text-align:left;margin-left:183.1pt;margin-top:464.75pt;width:112.35pt;height:23.4pt;z-index:251656704" arcsize="10923f" fillcolor="#a9c7fd">
            <v:textbox style="mso-next-textbox:#_x0000_s1056;mso-column-margin:2mm" inset="3.6pt,,3.6pt">
              <w:txbxContent>
                <w:p w:rsidR="0041013B" w:rsidRDefault="0041013B" w:rsidP="00493C0A">
                  <w:pPr>
                    <w:pStyle w:val="berschrift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Analysis</w:t>
                  </w:r>
                </w:p>
              </w:txbxContent>
            </v:textbox>
          </v:roundrect>
        </w:pict>
      </w:r>
      <w:r w:rsidRPr="00456A5E">
        <w:rPr>
          <w:b/>
          <w:sz w:val="28"/>
          <w:szCs w:val="28"/>
        </w:rPr>
        <w:pict>
          <v:rect id="_x0000_s1054" style="position:absolute;left:0;text-align:left;margin-left:283.45pt;margin-top:484.05pt;width:223.9pt;height:58.5pt;z-index:25165465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4;mso-column-margin:2mm" inset=",7.2pt,,7.2pt">
              <w:txbxContent>
                <w:p w:rsidR="000D18B3" w:rsidRDefault="000D18B3" w:rsidP="000D18B3">
                  <w:pPr>
                    <w:jc w:val="center"/>
                  </w:pPr>
                  <w:r>
                    <w:t>Primary vaccination (n=40)</w:t>
                  </w:r>
                </w:p>
                <w:p w:rsidR="000D18B3" w:rsidRPr="007E3DF9" w:rsidRDefault="000D18B3" w:rsidP="000D18B3">
                  <w:pPr>
                    <w:jc w:val="center"/>
                  </w:pPr>
                  <w:r>
                    <w:t>Secondary vaccination (n=29)</w:t>
                  </w:r>
                </w:p>
                <w:p w:rsidR="0041013B" w:rsidRDefault="0041013B" w:rsidP="00172316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roundrect id="_x0000_s1067" style="position:absolute;left:0;text-align:left;margin-left:-22.95pt;margin-top:68.6pt;width:121.85pt;height:25.45pt;z-index:251667968" arcsize="10923f" fillcolor="#a9c7fd">
            <v:textbox style="mso-next-textbox:#_x0000_s1067;mso-column-margin:2mm" inset="3.6pt,,3.6pt">
              <w:txbxContent>
                <w:p w:rsidR="0041013B" w:rsidRDefault="0041013B" w:rsidP="00493C0A">
                  <w:pPr>
                    <w:pStyle w:val="berschrift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Enrollment</w:t>
                  </w:r>
                </w:p>
              </w:txbxContent>
            </v:textbox>
          </v:roundrect>
        </w:pict>
      </w:r>
      <w:r w:rsidRPr="00456A5E">
        <w:rPr>
          <w:b/>
          <w:sz w:val="28"/>
          <w:szCs w:val="28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2" type="#_x0000_t33" style="position:absolute;left:0;text-align:left;margin-left:82.85pt;margin-top:242.55pt;width:183.6pt;height:31.5pt;rotation:180;flip:y;z-index:251662848;mso-wrap-distance-left:2.88pt;mso-wrap-distance-top:2.88pt;mso-wrap-distance-right:2.88pt;mso-wrap-distance-bottom:2.88pt" o:connectortype="elbow" adj="-1020706,5862857,-1020706">
            <v:stroke endarrow="block"/>
            <v:shadow color="#ccc"/>
          </v:shape>
        </w:pict>
      </w:r>
      <w:r w:rsidRPr="00456A5E">
        <w:rPr>
          <w:b/>
          <w:sz w:val="28"/>
          <w:szCs w:val="28"/>
        </w:rPr>
        <w:pict>
          <v:shape id="_x0000_s1058" type="#_x0000_t32" style="position:absolute;left:0;text-align:left;margin-left:82.85pt;margin-top:350.55pt;width:0;height:38.7pt;z-index:25165875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56A5E">
        <w:rPr>
          <w:b/>
          <w:sz w:val="28"/>
          <w:szCs w:val="28"/>
        </w:rPr>
        <w:pict>
          <v:roundrect id="_x0000_s1055" style="position:absolute;left:0;text-align:left;margin-left:175.8pt;margin-top:260.45pt;width:112.9pt;height:23.1pt;z-index:251655680" arcsize="10923f" fillcolor="#a9c7fd">
            <v:textbox style="mso-next-textbox:#_x0000_s1055;mso-column-margin:2mm" inset="3.6pt,,3.6pt">
              <w:txbxContent>
                <w:p w:rsidR="0041013B" w:rsidRDefault="0041013B" w:rsidP="00493C0A">
                  <w:pPr>
                    <w:pStyle w:val="berschrift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Allocation</w:t>
                  </w:r>
                </w:p>
              </w:txbxContent>
            </v:textbox>
          </v:roundrect>
        </w:pict>
      </w:r>
      <w:r w:rsidRPr="00456A5E">
        <w:rPr>
          <w:b/>
          <w:sz w:val="28"/>
          <w:szCs w:val="28"/>
        </w:rPr>
        <w:pict>
          <v:shape id="_x0000_s1066" type="#_x0000_t32" style="position:absolute;left:0;text-align:left;margin-left:249.8pt;margin-top:151.45pt;width:51.7pt;height:.05pt;z-index:25166694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56A5E">
        <w:rPr>
          <w:b/>
          <w:sz w:val="28"/>
          <w:szCs w:val="28"/>
        </w:rPr>
        <w:pict>
          <v:shape id="_x0000_s1064" type="#_x0000_t32" style="position:absolute;left:0;text-align:left;margin-left:249.75pt;margin-top:106.25pt;width:.05pt;height:136.45pt;z-index:25166489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56A5E">
        <w:rPr>
          <w:b/>
          <w:sz w:val="28"/>
          <w:szCs w:val="28"/>
        </w:rPr>
        <w:pict>
          <v:rect id="_x0000_s1065" style="position:absolute;left:0;text-align:left;margin-left:189pt;margin-top:196.35pt;width:126.9pt;height:27pt;z-index:25166592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41013B" w:rsidRPr="00172316" w:rsidRDefault="0041013B" w:rsidP="0041013B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Randomized (n=</w:t>
                  </w:r>
                  <w:r w:rsidR="0083066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rect id="_x0000_s1048" style="position:absolute;left:0;text-align:left;margin-left:301.5pt;margin-top:115.45pt;width:193.5pt;height:1in;z-index:25164851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8;mso-column-margin:2mm" inset=",7.2pt,,7.2pt">
              <w:txbxContent>
                <w:p w:rsidR="0041013B" w:rsidRPr="00172316" w:rsidRDefault="0041013B" w:rsidP="0041013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</w:t>
                  </w:r>
                  <w:r w:rsidR="0083066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220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Not meeting inclusion criteria (n=</w:t>
                  </w:r>
                  <w:r w:rsidR="0083066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Declined to participate (n=</w:t>
                  </w:r>
                  <w:r w:rsidR="0083066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110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rect id="_x0000_s1047" style="position:absolute;left:0;text-align:left;margin-left:171pt;margin-top:74.95pt;width:157.5pt;height:31.3pt;z-index:25164748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7;mso-column-margin:2mm" inset=",7.2pt,,7.2pt">
              <w:txbxContent>
                <w:p w:rsidR="0041013B" w:rsidRPr="00172316" w:rsidRDefault="00830669" w:rsidP="004101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(n= 300</w:t>
                  </w:r>
                  <w:r w:rsidR="0041013B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 w:rsidRPr="00456A5E">
        <w:rPr>
          <w:b/>
          <w:sz w:val="28"/>
          <w:szCs w:val="28"/>
        </w:rPr>
        <w:pict>
          <v:shape id="_x0000_s1063" type="#_x0000_t33" style="position:absolute;left:0;text-align:left;margin-left:211.75pt;margin-top:242.55pt;width:183.6pt;height:31.5pt;z-index:251663872;mso-wrap-distance-left:2.88pt;mso-wrap-distance-top:2.88pt;mso-wrap-distance-right:2.88pt;mso-wrap-distance-bottom:2.88pt" o:connectortype="elbow" adj="-1020706,-5862857,-1020706">
            <v:stroke endarrow="block"/>
            <v:shadow color="#ccc"/>
          </v:shape>
        </w:pict>
      </w:r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013B"/>
    <w:rsid w:val="000D18B3"/>
    <w:rsid w:val="00172316"/>
    <w:rsid w:val="00272C0C"/>
    <w:rsid w:val="00332F16"/>
    <w:rsid w:val="0041013B"/>
    <w:rsid w:val="00456A5E"/>
    <w:rsid w:val="00493C0A"/>
    <w:rsid w:val="00525255"/>
    <w:rsid w:val="006D5543"/>
    <w:rsid w:val="008019A4"/>
    <w:rsid w:val="00830669"/>
    <w:rsid w:val="0089799A"/>
    <w:rsid w:val="009216D7"/>
    <w:rsid w:val="00A745EE"/>
    <w:rsid w:val="00DA076B"/>
    <w:rsid w:val="00DE42D2"/>
    <w:rsid w:val="00DF78D3"/>
    <w:rsid w:val="00F62D27"/>
    <w:rsid w:val="00FC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60"/>
        <o:r id="V:Rule10" type="connector" idref="#_x0000_s1061"/>
        <o:r id="V:Rule11" type="connector" idref="#_x0000_s1066"/>
        <o:r id="V:Rule12" type="connector" idref="#_x0000_s1062"/>
        <o:r id="V:Rule13" type="connector" idref="#_x0000_s1063"/>
        <o:r id="V:Rule14" type="connector" idref="#_x0000_s1059"/>
        <o:r id="V:Rule15" type="connector" idref="#_x0000_s1058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CONSORT 2010 Flow Diagram</vt:lpstr>
      <vt:lpstr>CONSORT 2010 Flow Diagram</vt:lpstr>
    </vt:vector>
  </TitlesOfParts>
  <Company>TU Wien - Studentenversion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 2010 Flow Diagram</dc:title>
  <dc:creator>Mary and Tim</dc:creator>
  <cp:lastModifiedBy>selma</cp:lastModifiedBy>
  <cp:revision>5</cp:revision>
  <dcterms:created xsi:type="dcterms:W3CDTF">2012-06-07T15:21:00Z</dcterms:created>
  <dcterms:modified xsi:type="dcterms:W3CDTF">2012-07-24T21:58:00Z</dcterms:modified>
</cp:coreProperties>
</file>