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03" w:rsidRPr="00AE5575" w:rsidRDefault="00D12903" w:rsidP="00D12903">
      <w:pPr>
        <w:spacing w:line="480" w:lineRule="auto"/>
        <w:jc w:val="both"/>
        <w:rPr>
          <w:b/>
        </w:rPr>
      </w:pPr>
      <w:r>
        <w:rPr>
          <w:b/>
        </w:rPr>
        <w:t>Appendix</w:t>
      </w:r>
      <w:r w:rsidRPr="00AE5575">
        <w:rPr>
          <w:b/>
        </w:rPr>
        <w:t xml:space="preserve"> 2</w:t>
      </w:r>
    </w:p>
    <w:p w:rsidR="00D12903" w:rsidRDefault="00D12903" w:rsidP="00D12903">
      <w:pPr>
        <w:spacing w:line="480" w:lineRule="auto"/>
        <w:ind w:left="720"/>
        <w:jc w:val="both"/>
      </w:pPr>
    </w:p>
    <w:p w:rsidR="00D12903" w:rsidRDefault="00D12903" w:rsidP="00D12903">
      <w:pPr>
        <w:spacing w:line="480" w:lineRule="auto"/>
        <w:rPr>
          <w:b/>
        </w:rPr>
      </w:pPr>
      <w:r>
        <w:rPr>
          <w:b/>
        </w:rPr>
        <w:t>Validation of self-reported disability questionnaires</w:t>
      </w:r>
    </w:p>
    <w:p w:rsidR="00D12903" w:rsidRDefault="00D12903" w:rsidP="00D12903">
      <w:pPr>
        <w:spacing w:line="480" w:lineRule="auto"/>
        <w:jc w:val="both"/>
        <w:rPr>
          <w:b/>
        </w:rPr>
      </w:pPr>
      <w:r>
        <w:rPr>
          <w:b/>
        </w:rPr>
        <w:t>METHODS</w:t>
      </w:r>
    </w:p>
    <w:p w:rsidR="00D12903" w:rsidRDefault="00D12903" w:rsidP="00D12903">
      <w:pPr>
        <w:spacing w:line="480" w:lineRule="auto"/>
        <w:jc w:val="both"/>
      </w:pPr>
      <w:r>
        <w:rPr>
          <w:b/>
        </w:rPr>
        <w:t>Statistical analyses</w:t>
      </w:r>
    </w:p>
    <w:p w:rsidR="00D12903" w:rsidRDefault="00D12903" w:rsidP="00D12903">
      <w:pPr>
        <w:spacing w:line="480" w:lineRule="auto"/>
        <w:jc w:val="both"/>
      </w:pPr>
      <w:r>
        <w:t xml:space="preserve">To test the construct validity for the use of self-reported disability scales across the ethnic groups, Spearman’s correlations were performed between performance-based locomotor function and the self-reported outcomes (functional limitations, IADLs and ADLs), all modelled as continuous variables.  These correlations were conducted on the full sample and separately by ethnic group.  Differential item functioning (DIF) analyses were also administered on each of the self-report functioning outcomes to determine whether item bias was present between ethnic groups (with the European group as the reference category).  </w:t>
      </w:r>
      <w:r w:rsidRPr="00556313">
        <w:t xml:space="preserve">The process used to measure DIF </w:t>
      </w:r>
      <w:r>
        <w:t xml:space="preserve">was </w:t>
      </w:r>
      <w:r w:rsidRPr="00556313">
        <w:t>the Mantel Chi-Square values (Mantel) and the Standardised Liu-</w:t>
      </w:r>
      <w:proofErr w:type="spellStart"/>
      <w:r w:rsidRPr="00556313">
        <w:t>Agresti</w:t>
      </w:r>
      <w:proofErr w:type="spellEnd"/>
      <w:r w:rsidRPr="00556313">
        <w:t xml:space="preserve"> Cumulative Common Log-odds ratio values (LOR Z).  </w:t>
      </w:r>
      <w:proofErr w:type="gramStart"/>
      <w:r w:rsidRPr="00556313">
        <w:t xml:space="preserve">Mantel scores greater than 6.63 indicated a rejection of the null hypothesis that the different groups responded </w:t>
      </w:r>
      <w:r>
        <w:t xml:space="preserve">in </w:t>
      </w:r>
      <w:r w:rsidRPr="00556313">
        <w:t xml:space="preserve">the same </w:t>
      </w:r>
      <w:r>
        <w:t xml:space="preserve">way </w:t>
      </w:r>
      <w:r w:rsidRPr="00556313">
        <w:t>on the studied items</w:t>
      </w:r>
      <w:r>
        <w:t xml:space="preserve"> [58]</w:t>
      </w:r>
      <w:r w:rsidRPr="00556313">
        <w:t>.</w:t>
      </w:r>
      <w:proofErr w:type="gramEnd"/>
      <w:r w:rsidRPr="00556313">
        <w:t xml:space="preserve">  LOR Z values greater than 2.0 or less than -2.0 were</w:t>
      </w:r>
      <w:r>
        <w:t xml:space="preserve"> indicative of DIF effect size.</w:t>
      </w:r>
      <w:r w:rsidRPr="00556313">
        <w:t xml:space="preserve"> </w:t>
      </w:r>
      <w:r>
        <w:t xml:space="preserve"> </w:t>
      </w:r>
      <w:r w:rsidRPr="00556313">
        <w:t>For the identification of</w:t>
      </w:r>
      <w:r>
        <w:t xml:space="preserve"> DIF</w:t>
      </w:r>
      <w:r w:rsidRPr="00556313">
        <w:t>, non-parametric tests within the DIFAS 4.0 program were used</w:t>
      </w:r>
      <w:r w:rsidR="0032238C">
        <w:t xml:space="preserve"> </w:t>
      </w:r>
      <w:r w:rsidR="0032238C">
        <w:fldChar w:fldCharType="begin"/>
      </w:r>
      <w:r w:rsidR="0032238C">
        <w:instrText xml:space="preserve"> ADDIN EN.CITE &lt;EndNote&gt;&lt;Cite&gt;&lt;Author&gt;Penfeld&lt;/Author&gt;&lt;Year&gt;2007&lt;/Year&gt;&lt;RecNum&gt;273&lt;/RecNum&gt;&lt;DisplayText&gt;(1)&lt;/DisplayText&gt;&lt;record&gt;&lt;rec-number&gt;273&lt;/rec-number&gt;&lt;foreign-keys&gt;&lt;key app="EN" db-id="x2asat9f600d5ue0s2qxfxfeadxt2fxtp99e"&gt;273&lt;/key&gt;&lt;/foreign-keys&gt;&lt;ref-type name="Unpublished Work"&gt;34&lt;/ref-type&gt;&lt;contributors&gt;&lt;authors&gt;&lt;author&gt;Penfeld, RD&lt;/author&gt;&lt;/authors&gt;&lt;/contributors&gt;&lt;titles&gt;&lt;title&gt;DIFAS 4.0: Differential item functioning analysis system: user&amp;apos;s manual&lt;/title&gt;&lt;/titles&gt;&lt;dates&gt;&lt;year&gt;2007&lt;/year&gt;&lt;/dates&gt;&lt;urls&gt;&lt;/urls&gt;&lt;/record&gt;&lt;/Cite&gt;&lt;/EndNote&gt;</w:instrText>
      </w:r>
      <w:r w:rsidR="0032238C">
        <w:fldChar w:fldCharType="separate"/>
      </w:r>
      <w:r w:rsidR="0032238C">
        <w:rPr>
          <w:noProof/>
        </w:rPr>
        <w:t>(</w:t>
      </w:r>
      <w:hyperlink w:anchor="_ENREF_1" w:tooltip="Penfeld, 2007 #273" w:history="1">
        <w:r w:rsidR="0032238C">
          <w:rPr>
            <w:noProof/>
          </w:rPr>
          <w:t>1</w:t>
        </w:r>
      </w:hyperlink>
      <w:r w:rsidR="0032238C">
        <w:rPr>
          <w:noProof/>
        </w:rPr>
        <w:t>)</w:t>
      </w:r>
      <w:r w:rsidR="0032238C">
        <w:fldChar w:fldCharType="end"/>
      </w:r>
      <w:r w:rsidRPr="00556313">
        <w:t>.</w:t>
      </w:r>
      <w:r>
        <w:t xml:space="preserve">  </w:t>
      </w:r>
      <w:r w:rsidRPr="00170DB3">
        <w:t>Refined versions of the scales, i.e. scales no longer displaying DIF, were created by removing the DIF items.  To test whether previously observed ethnic group differences</w:t>
      </w:r>
      <w:r>
        <w:t xml:space="preserve"> were still present, fully-adjusted logistic regressions (Model 4) were re-analysed using the refined self-report outcomes.  </w:t>
      </w:r>
    </w:p>
    <w:p w:rsidR="00D12903" w:rsidRDefault="00D12903" w:rsidP="00D12903">
      <w:pPr>
        <w:spacing w:line="480" w:lineRule="auto"/>
        <w:jc w:val="both"/>
      </w:pPr>
    </w:p>
    <w:p w:rsidR="00D12903" w:rsidRPr="00DA646C" w:rsidRDefault="00D12903" w:rsidP="00D12903">
      <w:pPr>
        <w:spacing w:line="480" w:lineRule="auto"/>
        <w:jc w:val="both"/>
        <w:rPr>
          <w:b/>
        </w:rPr>
      </w:pPr>
      <w:r w:rsidRPr="00DA646C">
        <w:rPr>
          <w:b/>
        </w:rPr>
        <w:t>RESULTS</w:t>
      </w:r>
    </w:p>
    <w:p w:rsidR="00D12903" w:rsidRPr="008D18CC" w:rsidRDefault="00D12903" w:rsidP="00D12903">
      <w:pPr>
        <w:spacing w:line="480" w:lineRule="auto"/>
        <w:jc w:val="both"/>
        <w:rPr>
          <w:i/>
        </w:rPr>
      </w:pPr>
      <w:r w:rsidRPr="008D18CC">
        <w:rPr>
          <w:i/>
        </w:rPr>
        <w:t>Construct validity</w:t>
      </w:r>
    </w:p>
    <w:p w:rsidR="00D12903" w:rsidRDefault="00D12903" w:rsidP="00D12903">
      <w:pPr>
        <w:spacing w:line="480" w:lineRule="auto"/>
        <w:jc w:val="both"/>
      </w:pPr>
      <w:r>
        <w:t xml:space="preserve">Table 1 </w:t>
      </w:r>
      <w:proofErr w:type="gramStart"/>
      <w:r>
        <w:t>displays</w:t>
      </w:r>
      <w:proofErr w:type="gramEnd"/>
      <w:r>
        <w:t xml:space="preserve"> the correlation coefficients for the whole sample and divided by ethnic group.  The correlation between the performance-based and self-report measures does not appear to substantially differ across the ethnic groups.</w:t>
      </w:r>
    </w:p>
    <w:p w:rsidR="00D12903" w:rsidRDefault="00D12903" w:rsidP="00D12903">
      <w:pPr>
        <w:spacing w:line="480" w:lineRule="auto"/>
        <w:jc w:val="both"/>
      </w:pPr>
    </w:p>
    <w:p w:rsidR="00D12903" w:rsidRDefault="00D12903" w:rsidP="00D12903">
      <w:pPr>
        <w:spacing w:line="480" w:lineRule="auto"/>
        <w:jc w:val="both"/>
      </w:pPr>
    </w:p>
    <w:p w:rsidR="00D12903" w:rsidRDefault="00D12903" w:rsidP="00D12903">
      <w:pPr>
        <w:spacing w:line="480" w:lineRule="auto"/>
        <w:jc w:val="both"/>
        <w:rPr>
          <w:b/>
        </w:rPr>
      </w:pPr>
      <w:r>
        <w:rPr>
          <w:b/>
        </w:rPr>
        <w:lastRenderedPageBreak/>
        <w:t xml:space="preserve">Table 1: </w:t>
      </w:r>
      <w:r w:rsidRPr="001A75D0">
        <w:rPr>
          <w:b/>
        </w:rPr>
        <w:t xml:space="preserve">Correlation between </w:t>
      </w:r>
      <w:r w:rsidRPr="000C148E">
        <w:rPr>
          <w:b/>
        </w:rPr>
        <w:t>performance-based</w:t>
      </w:r>
      <w:r w:rsidRPr="001A75D0">
        <w:rPr>
          <w:b/>
        </w:rPr>
        <w:t xml:space="preserve"> and self-reported </w:t>
      </w:r>
      <w:r>
        <w:rPr>
          <w:b/>
        </w:rPr>
        <w:t xml:space="preserve">disability </w:t>
      </w:r>
      <w:r w:rsidRPr="001A75D0">
        <w:rPr>
          <w:b/>
        </w:rPr>
        <w:t xml:space="preserve">outcomes </w:t>
      </w:r>
    </w:p>
    <w:p w:rsidR="00D12903" w:rsidRPr="001A75D0" w:rsidRDefault="00D12903" w:rsidP="00D12903">
      <w:pPr>
        <w:spacing w:line="480" w:lineRule="auto"/>
        <w:jc w:val="both"/>
        <w:rPr>
          <w:b/>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D12903" w:rsidRPr="000502B2" w:rsidTr="003C3598">
        <w:tc>
          <w:tcPr>
            <w:tcW w:w="2310" w:type="dxa"/>
            <w:tcBorders>
              <w:bottom w:val="single" w:sz="4" w:space="0" w:color="auto"/>
            </w:tcBorders>
          </w:tcPr>
          <w:p w:rsidR="00D12903" w:rsidRPr="00AA33A1" w:rsidRDefault="00D12903" w:rsidP="003C3598">
            <w:pPr>
              <w:spacing w:before="40" w:after="40"/>
              <w:jc w:val="both"/>
              <w:rPr>
                <w:sz w:val="20"/>
                <w:szCs w:val="20"/>
              </w:rPr>
            </w:pPr>
          </w:p>
        </w:tc>
        <w:tc>
          <w:tcPr>
            <w:tcW w:w="2310" w:type="dxa"/>
            <w:tcBorders>
              <w:bottom w:val="single" w:sz="4" w:space="0" w:color="auto"/>
              <w:right w:val="nil"/>
            </w:tcBorders>
          </w:tcPr>
          <w:p w:rsidR="00D12903" w:rsidRPr="00AA33A1" w:rsidRDefault="00D12903" w:rsidP="003C3598">
            <w:pPr>
              <w:spacing w:before="40" w:after="40"/>
              <w:jc w:val="both"/>
              <w:rPr>
                <w:b/>
                <w:sz w:val="20"/>
                <w:szCs w:val="20"/>
              </w:rPr>
            </w:pPr>
            <w:r w:rsidRPr="00AA33A1">
              <w:rPr>
                <w:b/>
                <w:sz w:val="20"/>
                <w:szCs w:val="20"/>
              </w:rPr>
              <w:t xml:space="preserve">Functional limitations </w:t>
            </w:r>
          </w:p>
        </w:tc>
        <w:tc>
          <w:tcPr>
            <w:tcW w:w="2311" w:type="dxa"/>
            <w:tcBorders>
              <w:left w:val="nil"/>
              <w:bottom w:val="single" w:sz="4" w:space="0" w:color="auto"/>
              <w:right w:val="nil"/>
            </w:tcBorders>
          </w:tcPr>
          <w:p w:rsidR="00D12903" w:rsidRPr="00AA33A1" w:rsidRDefault="00D12903" w:rsidP="003C3598">
            <w:pPr>
              <w:spacing w:before="40" w:after="40"/>
              <w:jc w:val="both"/>
              <w:rPr>
                <w:b/>
                <w:sz w:val="20"/>
                <w:szCs w:val="20"/>
              </w:rPr>
            </w:pPr>
            <w:r w:rsidRPr="00AA33A1">
              <w:rPr>
                <w:b/>
                <w:sz w:val="20"/>
                <w:szCs w:val="20"/>
              </w:rPr>
              <w:t>IADLs</w:t>
            </w:r>
          </w:p>
        </w:tc>
        <w:tc>
          <w:tcPr>
            <w:tcW w:w="2311" w:type="dxa"/>
            <w:tcBorders>
              <w:left w:val="nil"/>
              <w:bottom w:val="single" w:sz="4" w:space="0" w:color="auto"/>
            </w:tcBorders>
          </w:tcPr>
          <w:p w:rsidR="00D12903" w:rsidRPr="00AA33A1" w:rsidRDefault="00D12903" w:rsidP="003C3598">
            <w:pPr>
              <w:spacing w:before="40" w:after="40"/>
              <w:jc w:val="both"/>
              <w:rPr>
                <w:b/>
                <w:sz w:val="20"/>
                <w:szCs w:val="20"/>
              </w:rPr>
            </w:pPr>
            <w:r w:rsidRPr="00AA33A1">
              <w:rPr>
                <w:b/>
                <w:sz w:val="20"/>
                <w:szCs w:val="20"/>
              </w:rPr>
              <w:t>ADLs</w:t>
            </w:r>
          </w:p>
        </w:tc>
      </w:tr>
      <w:tr w:rsidR="00D12903" w:rsidRPr="000502B2" w:rsidTr="003C3598">
        <w:tc>
          <w:tcPr>
            <w:tcW w:w="2310" w:type="dxa"/>
            <w:tcBorders>
              <w:bottom w:val="nil"/>
            </w:tcBorders>
          </w:tcPr>
          <w:p w:rsidR="00D12903" w:rsidRPr="00AA33A1" w:rsidRDefault="00D12903" w:rsidP="003C3598">
            <w:pPr>
              <w:spacing w:before="40" w:after="40"/>
              <w:jc w:val="both"/>
              <w:rPr>
                <w:sz w:val="20"/>
                <w:szCs w:val="20"/>
              </w:rPr>
            </w:pPr>
            <w:r w:rsidRPr="00AA33A1">
              <w:rPr>
                <w:sz w:val="20"/>
                <w:szCs w:val="20"/>
              </w:rPr>
              <w:t>All</w:t>
            </w:r>
          </w:p>
        </w:tc>
        <w:tc>
          <w:tcPr>
            <w:tcW w:w="2310" w:type="dxa"/>
            <w:tcBorders>
              <w:bottom w:val="nil"/>
              <w:right w:val="nil"/>
            </w:tcBorders>
          </w:tcPr>
          <w:p w:rsidR="00D12903" w:rsidRPr="00AA33A1" w:rsidRDefault="00D12903" w:rsidP="003C3598">
            <w:pPr>
              <w:spacing w:before="40" w:after="40"/>
              <w:jc w:val="both"/>
              <w:rPr>
                <w:sz w:val="20"/>
                <w:szCs w:val="20"/>
              </w:rPr>
            </w:pPr>
            <w:r w:rsidRPr="00AA33A1">
              <w:rPr>
                <w:sz w:val="20"/>
                <w:szCs w:val="20"/>
              </w:rPr>
              <w:t>0.36</w:t>
            </w:r>
          </w:p>
        </w:tc>
        <w:tc>
          <w:tcPr>
            <w:tcW w:w="2311" w:type="dxa"/>
            <w:tcBorders>
              <w:left w:val="nil"/>
              <w:bottom w:val="nil"/>
              <w:right w:val="nil"/>
            </w:tcBorders>
          </w:tcPr>
          <w:p w:rsidR="00D12903" w:rsidRPr="00AA33A1" w:rsidRDefault="00D12903" w:rsidP="003C3598">
            <w:pPr>
              <w:spacing w:before="40" w:after="40"/>
              <w:jc w:val="both"/>
              <w:rPr>
                <w:sz w:val="20"/>
                <w:szCs w:val="20"/>
              </w:rPr>
            </w:pPr>
            <w:r w:rsidRPr="00AA33A1">
              <w:rPr>
                <w:sz w:val="20"/>
                <w:szCs w:val="20"/>
              </w:rPr>
              <w:t>0.35</w:t>
            </w:r>
          </w:p>
        </w:tc>
        <w:tc>
          <w:tcPr>
            <w:tcW w:w="2311" w:type="dxa"/>
            <w:tcBorders>
              <w:left w:val="nil"/>
              <w:bottom w:val="nil"/>
            </w:tcBorders>
          </w:tcPr>
          <w:p w:rsidR="00D12903" w:rsidRPr="00AA33A1" w:rsidRDefault="00D12903" w:rsidP="003C3598">
            <w:pPr>
              <w:spacing w:before="40" w:after="40"/>
              <w:jc w:val="both"/>
              <w:rPr>
                <w:sz w:val="20"/>
                <w:szCs w:val="20"/>
              </w:rPr>
            </w:pPr>
            <w:r w:rsidRPr="00AA33A1">
              <w:rPr>
                <w:sz w:val="20"/>
                <w:szCs w:val="20"/>
              </w:rPr>
              <w:t>0.37</w:t>
            </w:r>
          </w:p>
        </w:tc>
      </w:tr>
      <w:tr w:rsidR="00D12903" w:rsidRPr="000502B2" w:rsidTr="003C3598">
        <w:tc>
          <w:tcPr>
            <w:tcW w:w="2310" w:type="dxa"/>
            <w:tcBorders>
              <w:top w:val="nil"/>
              <w:bottom w:val="nil"/>
            </w:tcBorders>
          </w:tcPr>
          <w:p w:rsidR="00D12903" w:rsidRPr="00AA33A1" w:rsidRDefault="00D12903" w:rsidP="003C3598">
            <w:pPr>
              <w:spacing w:before="40" w:after="40"/>
              <w:jc w:val="both"/>
              <w:rPr>
                <w:sz w:val="20"/>
                <w:szCs w:val="20"/>
              </w:rPr>
            </w:pPr>
            <w:r>
              <w:rPr>
                <w:sz w:val="20"/>
                <w:szCs w:val="20"/>
              </w:rPr>
              <w:t>European</w:t>
            </w:r>
          </w:p>
        </w:tc>
        <w:tc>
          <w:tcPr>
            <w:tcW w:w="2310" w:type="dxa"/>
            <w:tcBorders>
              <w:top w:val="nil"/>
              <w:bottom w:val="nil"/>
              <w:right w:val="nil"/>
            </w:tcBorders>
          </w:tcPr>
          <w:p w:rsidR="00D12903" w:rsidRPr="00AA33A1" w:rsidRDefault="00D12903" w:rsidP="003C3598">
            <w:pPr>
              <w:spacing w:before="40" w:after="40"/>
              <w:jc w:val="both"/>
              <w:rPr>
                <w:sz w:val="20"/>
                <w:szCs w:val="20"/>
              </w:rPr>
            </w:pPr>
            <w:r w:rsidRPr="00AA33A1">
              <w:rPr>
                <w:sz w:val="20"/>
                <w:szCs w:val="20"/>
              </w:rPr>
              <w:t>0.32</w:t>
            </w:r>
          </w:p>
        </w:tc>
        <w:tc>
          <w:tcPr>
            <w:tcW w:w="2311" w:type="dxa"/>
            <w:tcBorders>
              <w:top w:val="nil"/>
              <w:left w:val="nil"/>
              <w:bottom w:val="nil"/>
              <w:right w:val="nil"/>
            </w:tcBorders>
          </w:tcPr>
          <w:p w:rsidR="00D12903" w:rsidRPr="00AA33A1" w:rsidRDefault="00D12903" w:rsidP="003C3598">
            <w:pPr>
              <w:spacing w:before="40" w:after="40"/>
              <w:jc w:val="both"/>
              <w:rPr>
                <w:sz w:val="20"/>
                <w:szCs w:val="20"/>
              </w:rPr>
            </w:pPr>
            <w:r w:rsidRPr="00AA33A1">
              <w:rPr>
                <w:sz w:val="20"/>
                <w:szCs w:val="20"/>
              </w:rPr>
              <w:t>0.28</w:t>
            </w:r>
          </w:p>
        </w:tc>
        <w:tc>
          <w:tcPr>
            <w:tcW w:w="2311" w:type="dxa"/>
            <w:tcBorders>
              <w:top w:val="nil"/>
              <w:left w:val="nil"/>
              <w:bottom w:val="nil"/>
            </w:tcBorders>
          </w:tcPr>
          <w:p w:rsidR="00D12903" w:rsidRPr="00AA33A1" w:rsidRDefault="00D12903" w:rsidP="003C3598">
            <w:pPr>
              <w:spacing w:before="40" w:after="40"/>
              <w:jc w:val="both"/>
              <w:rPr>
                <w:sz w:val="20"/>
                <w:szCs w:val="20"/>
              </w:rPr>
            </w:pPr>
            <w:r w:rsidRPr="00AA33A1">
              <w:rPr>
                <w:sz w:val="20"/>
                <w:szCs w:val="20"/>
              </w:rPr>
              <w:t>0.33</w:t>
            </w:r>
          </w:p>
        </w:tc>
      </w:tr>
      <w:tr w:rsidR="00D12903" w:rsidRPr="000502B2" w:rsidTr="003C3598">
        <w:tc>
          <w:tcPr>
            <w:tcW w:w="2310" w:type="dxa"/>
            <w:tcBorders>
              <w:top w:val="nil"/>
              <w:bottom w:val="nil"/>
            </w:tcBorders>
          </w:tcPr>
          <w:p w:rsidR="00D12903" w:rsidRPr="00AA33A1" w:rsidRDefault="00D12903" w:rsidP="003C3598">
            <w:pPr>
              <w:spacing w:before="40" w:after="40"/>
              <w:jc w:val="both"/>
              <w:rPr>
                <w:sz w:val="20"/>
                <w:szCs w:val="20"/>
              </w:rPr>
            </w:pPr>
            <w:r w:rsidRPr="00AA33A1">
              <w:rPr>
                <w:sz w:val="20"/>
                <w:szCs w:val="20"/>
              </w:rPr>
              <w:t xml:space="preserve">Indian Asian </w:t>
            </w:r>
          </w:p>
        </w:tc>
        <w:tc>
          <w:tcPr>
            <w:tcW w:w="2310" w:type="dxa"/>
            <w:tcBorders>
              <w:top w:val="nil"/>
              <w:bottom w:val="nil"/>
              <w:right w:val="nil"/>
            </w:tcBorders>
          </w:tcPr>
          <w:p w:rsidR="00D12903" w:rsidRPr="00AA33A1" w:rsidRDefault="00D12903" w:rsidP="003C3598">
            <w:pPr>
              <w:spacing w:before="40" w:after="40"/>
              <w:jc w:val="both"/>
              <w:rPr>
                <w:sz w:val="20"/>
                <w:szCs w:val="20"/>
              </w:rPr>
            </w:pPr>
            <w:r w:rsidRPr="00AA33A1">
              <w:rPr>
                <w:sz w:val="20"/>
                <w:szCs w:val="20"/>
              </w:rPr>
              <w:t>0.31</w:t>
            </w:r>
          </w:p>
        </w:tc>
        <w:tc>
          <w:tcPr>
            <w:tcW w:w="2311" w:type="dxa"/>
            <w:tcBorders>
              <w:top w:val="nil"/>
              <w:left w:val="nil"/>
              <w:bottom w:val="nil"/>
              <w:right w:val="nil"/>
            </w:tcBorders>
          </w:tcPr>
          <w:p w:rsidR="00D12903" w:rsidRPr="00AA33A1" w:rsidRDefault="00D12903" w:rsidP="003C3598">
            <w:pPr>
              <w:spacing w:before="40" w:after="40"/>
              <w:jc w:val="both"/>
              <w:rPr>
                <w:sz w:val="20"/>
                <w:szCs w:val="20"/>
              </w:rPr>
            </w:pPr>
            <w:r w:rsidRPr="00AA33A1">
              <w:rPr>
                <w:sz w:val="20"/>
                <w:szCs w:val="20"/>
              </w:rPr>
              <w:t>0.39</w:t>
            </w:r>
          </w:p>
        </w:tc>
        <w:tc>
          <w:tcPr>
            <w:tcW w:w="2311" w:type="dxa"/>
            <w:tcBorders>
              <w:top w:val="nil"/>
              <w:left w:val="nil"/>
              <w:bottom w:val="nil"/>
            </w:tcBorders>
          </w:tcPr>
          <w:p w:rsidR="00D12903" w:rsidRPr="00AA33A1" w:rsidRDefault="00D12903" w:rsidP="003C3598">
            <w:pPr>
              <w:spacing w:before="40" w:after="40"/>
              <w:jc w:val="both"/>
              <w:rPr>
                <w:sz w:val="20"/>
                <w:szCs w:val="20"/>
              </w:rPr>
            </w:pPr>
            <w:r w:rsidRPr="00AA33A1">
              <w:rPr>
                <w:sz w:val="20"/>
                <w:szCs w:val="20"/>
              </w:rPr>
              <w:t>0.36</w:t>
            </w:r>
          </w:p>
        </w:tc>
      </w:tr>
      <w:tr w:rsidR="00D12903" w:rsidRPr="000502B2" w:rsidTr="003C3598">
        <w:tc>
          <w:tcPr>
            <w:tcW w:w="2310" w:type="dxa"/>
            <w:tcBorders>
              <w:top w:val="nil"/>
            </w:tcBorders>
          </w:tcPr>
          <w:p w:rsidR="00D12903" w:rsidRPr="00AA33A1" w:rsidRDefault="00D12903" w:rsidP="003C3598">
            <w:pPr>
              <w:spacing w:before="40" w:after="40"/>
              <w:jc w:val="both"/>
              <w:rPr>
                <w:sz w:val="20"/>
                <w:szCs w:val="20"/>
              </w:rPr>
            </w:pPr>
            <w:r w:rsidRPr="00AA33A1">
              <w:rPr>
                <w:sz w:val="20"/>
                <w:szCs w:val="20"/>
              </w:rPr>
              <w:t>African</w:t>
            </w:r>
            <w:r>
              <w:rPr>
                <w:sz w:val="20"/>
                <w:szCs w:val="20"/>
              </w:rPr>
              <w:t xml:space="preserve"> </w:t>
            </w:r>
            <w:r w:rsidRPr="00AA33A1">
              <w:rPr>
                <w:sz w:val="20"/>
                <w:szCs w:val="20"/>
              </w:rPr>
              <w:t xml:space="preserve">Caribbean </w:t>
            </w:r>
          </w:p>
        </w:tc>
        <w:tc>
          <w:tcPr>
            <w:tcW w:w="2310" w:type="dxa"/>
            <w:tcBorders>
              <w:top w:val="nil"/>
              <w:right w:val="nil"/>
            </w:tcBorders>
          </w:tcPr>
          <w:p w:rsidR="00D12903" w:rsidRPr="00AA33A1" w:rsidRDefault="00D12903" w:rsidP="003C3598">
            <w:pPr>
              <w:spacing w:before="40" w:after="40"/>
              <w:jc w:val="both"/>
              <w:rPr>
                <w:sz w:val="20"/>
                <w:szCs w:val="20"/>
              </w:rPr>
            </w:pPr>
            <w:r w:rsidRPr="00AA33A1">
              <w:rPr>
                <w:sz w:val="20"/>
                <w:szCs w:val="20"/>
              </w:rPr>
              <w:t>0.39</w:t>
            </w:r>
          </w:p>
        </w:tc>
        <w:tc>
          <w:tcPr>
            <w:tcW w:w="2311" w:type="dxa"/>
            <w:tcBorders>
              <w:top w:val="nil"/>
              <w:left w:val="nil"/>
              <w:right w:val="nil"/>
            </w:tcBorders>
          </w:tcPr>
          <w:p w:rsidR="00D12903" w:rsidRPr="00AA33A1" w:rsidRDefault="00D12903" w:rsidP="003C3598">
            <w:pPr>
              <w:spacing w:before="40" w:after="40"/>
              <w:jc w:val="both"/>
              <w:rPr>
                <w:sz w:val="20"/>
                <w:szCs w:val="20"/>
              </w:rPr>
            </w:pPr>
            <w:r w:rsidRPr="00AA33A1">
              <w:rPr>
                <w:sz w:val="20"/>
                <w:szCs w:val="20"/>
              </w:rPr>
              <w:t>0.27</w:t>
            </w:r>
          </w:p>
        </w:tc>
        <w:tc>
          <w:tcPr>
            <w:tcW w:w="2311" w:type="dxa"/>
            <w:tcBorders>
              <w:top w:val="nil"/>
              <w:left w:val="nil"/>
            </w:tcBorders>
          </w:tcPr>
          <w:p w:rsidR="00D12903" w:rsidRPr="00AA33A1" w:rsidRDefault="00D12903" w:rsidP="003C3598">
            <w:pPr>
              <w:spacing w:before="40" w:after="40"/>
              <w:jc w:val="both"/>
              <w:rPr>
                <w:sz w:val="20"/>
                <w:szCs w:val="20"/>
              </w:rPr>
            </w:pPr>
            <w:r w:rsidRPr="00AA33A1">
              <w:rPr>
                <w:sz w:val="20"/>
                <w:szCs w:val="20"/>
              </w:rPr>
              <w:t>0.45</w:t>
            </w:r>
          </w:p>
        </w:tc>
      </w:tr>
    </w:tbl>
    <w:p w:rsidR="00D12903" w:rsidRPr="000C6C78" w:rsidRDefault="00D12903" w:rsidP="00D12903">
      <w:pPr>
        <w:spacing w:line="240" w:lineRule="auto"/>
        <w:jc w:val="both"/>
        <w:rPr>
          <w:sz w:val="18"/>
          <w:szCs w:val="18"/>
        </w:rPr>
      </w:pPr>
      <w:r w:rsidRPr="000C6C78">
        <w:rPr>
          <w:sz w:val="18"/>
          <w:szCs w:val="18"/>
        </w:rPr>
        <w:t xml:space="preserve">Data presented as </w:t>
      </w:r>
      <w:r>
        <w:rPr>
          <w:sz w:val="18"/>
          <w:szCs w:val="18"/>
        </w:rPr>
        <w:t xml:space="preserve">Spearman’s </w:t>
      </w:r>
      <w:r w:rsidRPr="000C6C78">
        <w:rPr>
          <w:sz w:val="18"/>
          <w:szCs w:val="18"/>
        </w:rPr>
        <w:t xml:space="preserve">correlation coefficients. IADLs: Instrumental Activities of Daily Living. ADLs: Activities of Daily Living. All presented correlations represent </w:t>
      </w:r>
      <w:r w:rsidRPr="00700776">
        <w:rPr>
          <w:sz w:val="18"/>
          <w:szCs w:val="18"/>
          <w:u w:val="single"/>
        </w:rPr>
        <w:t>p</w:t>
      </w:r>
      <w:r w:rsidRPr="000C6C78">
        <w:rPr>
          <w:sz w:val="18"/>
          <w:szCs w:val="18"/>
        </w:rPr>
        <w:t xml:space="preserve"> &lt; 0.001.</w:t>
      </w:r>
    </w:p>
    <w:p w:rsidR="00D12903" w:rsidRDefault="00D12903" w:rsidP="00D12903">
      <w:pPr>
        <w:spacing w:line="480" w:lineRule="auto"/>
        <w:jc w:val="both"/>
        <w:rPr>
          <w:b/>
        </w:rPr>
      </w:pPr>
    </w:p>
    <w:p w:rsidR="00D12903" w:rsidRPr="008D18CC" w:rsidRDefault="00D12903" w:rsidP="00D12903">
      <w:pPr>
        <w:spacing w:line="480" w:lineRule="auto"/>
        <w:jc w:val="both"/>
        <w:rPr>
          <w:i/>
        </w:rPr>
      </w:pPr>
      <w:r w:rsidRPr="008D18CC">
        <w:rPr>
          <w:i/>
        </w:rPr>
        <w:t>Content validity</w:t>
      </w:r>
    </w:p>
    <w:p w:rsidR="00D12903" w:rsidRDefault="00D12903" w:rsidP="00D12903">
      <w:pPr>
        <w:spacing w:line="480" w:lineRule="auto"/>
        <w:jc w:val="both"/>
      </w:pPr>
      <w:r>
        <w:t xml:space="preserve">There was no evidence of item bias in the functional limitation scale across either Indian Asian or African Caribbean responses, with Europeans as the reference category.  For the IADL scale, two items displayed signs of item bias (Mantel scores &gt; 6.63, LOR Z scores &gt; 2) among the Indian Asian group (regarding housework and use of public transport).  Using a refined version of the IADL scale (omitting the DIF items), the same patterns of IADL impairment were observed across Indian Asian (OR 4.60, 95% CI 2.88-7.35) and African Caribbean groups (OR 0.46, 0.23-0.92).  With regards to the ADL scale, there was no sign of item bias for the African Caribbean group, however two items demonstrated item bias among the Indian Asian group (bathing and toilet use).  With these items removed, a refined ADL impairment variable was tested and the same ethnic differences were observed (Indian Asians: OR 2.75, 1.55-4.89; African Caribbeans: OR 0.71, 0.35-1.46).  </w:t>
      </w:r>
    </w:p>
    <w:p w:rsidR="00D12903" w:rsidRDefault="00D12903" w:rsidP="00D12903">
      <w:pPr>
        <w:spacing w:line="480" w:lineRule="auto"/>
        <w:jc w:val="both"/>
      </w:pPr>
    </w:p>
    <w:p w:rsidR="00D12903" w:rsidRDefault="00D12903" w:rsidP="00D12903">
      <w:pPr>
        <w:spacing w:line="480" w:lineRule="auto"/>
        <w:ind w:left="720"/>
        <w:jc w:val="both"/>
      </w:pPr>
      <w:bookmarkStart w:id="0" w:name="_GoBack"/>
      <w:bookmarkEnd w:id="0"/>
    </w:p>
    <w:p w:rsidR="0032238C" w:rsidRPr="0032238C" w:rsidRDefault="0032238C">
      <w:pPr>
        <w:rPr>
          <w:b/>
        </w:rPr>
      </w:pPr>
      <w:r w:rsidRPr="0032238C">
        <w:rPr>
          <w:b/>
        </w:rPr>
        <w:t>References:</w:t>
      </w:r>
    </w:p>
    <w:p w:rsidR="0032238C" w:rsidRPr="0032238C" w:rsidRDefault="0032238C" w:rsidP="0032238C">
      <w:pPr>
        <w:spacing w:line="240" w:lineRule="auto"/>
        <w:rPr>
          <w:rFonts w:cs="Calibri"/>
          <w:noProof/>
        </w:rPr>
      </w:pPr>
      <w:r>
        <w:fldChar w:fldCharType="begin"/>
      </w:r>
      <w:r>
        <w:instrText xml:space="preserve"> ADDIN EN.REFLIST </w:instrText>
      </w:r>
      <w:r>
        <w:fldChar w:fldCharType="separate"/>
      </w:r>
      <w:bookmarkStart w:id="1" w:name="_ENREF_1"/>
      <w:r w:rsidRPr="0032238C">
        <w:rPr>
          <w:rFonts w:cs="Calibri"/>
          <w:noProof/>
        </w:rPr>
        <w:t>1.</w:t>
      </w:r>
      <w:r w:rsidRPr="0032238C">
        <w:rPr>
          <w:rFonts w:cs="Calibri"/>
          <w:noProof/>
        </w:rPr>
        <w:tab/>
        <w:t>Penfeld R. DIFAS 4.0: Differential item functioning analysis system: user's manual. 2007.</w:t>
      </w:r>
      <w:bookmarkEnd w:id="1"/>
    </w:p>
    <w:p w:rsidR="0032238C" w:rsidRDefault="0032238C" w:rsidP="0032238C">
      <w:pPr>
        <w:spacing w:line="240" w:lineRule="auto"/>
        <w:rPr>
          <w:noProof/>
        </w:rPr>
      </w:pPr>
    </w:p>
    <w:p w:rsidR="007A48BA" w:rsidRDefault="0032238C">
      <w:r>
        <w:fldChar w:fldCharType="end"/>
      </w:r>
    </w:p>
    <w:sectPr w:rsidR="007A48BA" w:rsidSect="0017263E">
      <w:headerReference w:type="default" r:id="rId7"/>
      <w:pgSz w:w="11906" w:h="16838"/>
      <w:pgMar w:top="1134" w:right="1134" w:bottom="1134" w:left="1134" w:header="709"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A5C" w:rsidRDefault="0099648C">
      <w:pPr>
        <w:spacing w:line="240" w:lineRule="auto"/>
      </w:pPr>
      <w:r>
        <w:separator/>
      </w:r>
    </w:p>
  </w:endnote>
  <w:endnote w:type="continuationSeparator" w:id="0">
    <w:p w:rsidR="008C7A5C" w:rsidRDefault="00996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A5C" w:rsidRDefault="0099648C">
      <w:pPr>
        <w:spacing w:line="240" w:lineRule="auto"/>
      </w:pPr>
      <w:r>
        <w:separator/>
      </w:r>
    </w:p>
  </w:footnote>
  <w:footnote w:type="continuationSeparator" w:id="0">
    <w:p w:rsidR="008C7A5C" w:rsidRDefault="009964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7F8" w:rsidRPr="00355BC7" w:rsidRDefault="00524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asat9f600d5ue0s2qxfxfeadxt2fxtp99e&quot;&gt;ED Williams lit search 22Sept&lt;record-ids&gt;&lt;item&gt;273&lt;/item&gt;&lt;/record-ids&gt;&lt;/item&gt;&lt;/Libraries&gt;"/>
  </w:docVars>
  <w:rsids>
    <w:rsidRoot w:val="00D12903"/>
    <w:rsid w:val="0032238C"/>
    <w:rsid w:val="005249F2"/>
    <w:rsid w:val="00697E1A"/>
    <w:rsid w:val="008C7A5C"/>
    <w:rsid w:val="0099648C"/>
    <w:rsid w:val="009C2957"/>
    <w:rsid w:val="00D1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3"/>
    <w:pPr>
      <w:spacing w:after="0" w:line="36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03"/>
    <w:pPr>
      <w:tabs>
        <w:tab w:val="center" w:pos="4513"/>
        <w:tab w:val="right" w:pos="9026"/>
      </w:tabs>
    </w:pPr>
  </w:style>
  <w:style w:type="character" w:customStyle="1" w:styleId="HeaderChar">
    <w:name w:val="Header Char"/>
    <w:basedOn w:val="DefaultParagraphFont"/>
    <w:link w:val="Header"/>
    <w:uiPriority w:val="99"/>
    <w:rsid w:val="00D12903"/>
    <w:rPr>
      <w:rFonts w:ascii="Calibri" w:eastAsia="Times New Roman" w:hAnsi="Calibri" w:cs="Times New Roman"/>
    </w:rPr>
  </w:style>
  <w:style w:type="character" w:styleId="Hyperlink">
    <w:name w:val="Hyperlink"/>
    <w:basedOn w:val="DefaultParagraphFont"/>
    <w:uiPriority w:val="99"/>
    <w:unhideWhenUsed/>
    <w:rsid w:val="00322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03"/>
    <w:pPr>
      <w:spacing w:after="0" w:line="36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03"/>
    <w:pPr>
      <w:tabs>
        <w:tab w:val="center" w:pos="4513"/>
        <w:tab w:val="right" w:pos="9026"/>
      </w:tabs>
    </w:pPr>
  </w:style>
  <w:style w:type="character" w:customStyle="1" w:styleId="HeaderChar">
    <w:name w:val="Header Char"/>
    <w:basedOn w:val="DefaultParagraphFont"/>
    <w:link w:val="Header"/>
    <w:uiPriority w:val="99"/>
    <w:rsid w:val="00D12903"/>
    <w:rPr>
      <w:rFonts w:ascii="Calibri" w:eastAsia="Times New Roman" w:hAnsi="Calibri" w:cs="Times New Roman"/>
    </w:rPr>
  </w:style>
  <w:style w:type="character" w:styleId="Hyperlink">
    <w:name w:val="Hyperlink"/>
    <w:basedOn w:val="DefaultParagraphFont"/>
    <w:uiPriority w:val="99"/>
    <w:unhideWhenUsed/>
    <w:rsid w:val="00322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Emily D</dc:creator>
  <cp:lastModifiedBy>Williams, Emily D</cp:lastModifiedBy>
  <cp:revision>4</cp:revision>
  <dcterms:created xsi:type="dcterms:W3CDTF">2012-08-31T09:21:00Z</dcterms:created>
  <dcterms:modified xsi:type="dcterms:W3CDTF">2012-09-07T16:10:00Z</dcterms:modified>
</cp:coreProperties>
</file>