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8C" w:rsidRPr="00F0063C" w:rsidRDefault="00F0063C" w:rsidP="001A2260">
      <w:pPr>
        <w:autoSpaceDE w:val="0"/>
        <w:autoSpaceDN w:val="0"/>
        <w:adjustRightInd w:val="0"/>
        <w:rPr>
          <w:rFonts w:ascii="Arial" w:hAnsi="Arial" w:cs="Arial"/>
          <w:b/>
          <w:bCs/>
          <w:sz w:val="28"/>
          <w:szCs w:val="28"/>
        </w:rPr>
      </w:pPr>
      <w:proofErr w:type="spellStart"/>
      <w:r w:rsidRPr="00F0063C">
        <w:rPr>
          <w:rFonts w:ascii="Arial" w:hAnsi="Arial" w:cs="Arial"/>
          <w:b/>
          <w:bCs/>
          <w:sz w:val="28"/>
          <w:szCs w:val="28"/>
        </w:rPr>
        <w:t>S</w:t>
      </w:r>
      <w:r>
        <w:rPr>
          <w:rFonts w:ascii="Arial" w:hAnsi="Arial" w:cs="Arial"/>
          <w:b/>
          <w:bCs/>
          <w:sz w:val="28"/>
          <w:szCs w:val="28"/>
        </w:rPr>
        <w:t>upporting</w:t>
      </w:r>
      <w:proofErr w:type="spellEnd"/>
      <w:r>
        <w:rPr>
          <w:rFonts w:ascii="Arial" w:hAnsi="Arial" w:cs="Arial"/>
          <w:b/>
          <w:bCs/>
          <w:sz w:val="28"/>
          <w:szCs w:val="28"/>
        </w:rPr>
        <w:t xml:space="preserve"> </w:t>
      </w:r>
      <w:proofErr w:type="spellStart"/>
      <w:r>
        <w:rPr>
          <w:rFonts w:ascii="Arial" w:hAnsi="Arial" w:cs="Arial"/>
          <w:b/>
          <w:bCs/>
          <w:sz w:val="28"/>
          <w:szCs w:val="28"/>
        </w:rPr>
        <w:t>text</w:t>
      </w:r>
      <w:proofErr w:type="spellEnd"/>
    </w:p>
    <w:p w:rsidR="00DD528C" w:rsidRPr="00F0063C" w:rsidRDefault="00DD528C" w:rsidP="001A2260">
      <w:pPr>
        <w:autoSpaceDE w:val="0"/>
        <w:autoSpaceDN w:val="0"/>
        <w:adjustRightInd w:val="0"/>
        <w:rPr>
          <w:rFonts w:ascii="Arial" w:hAnsi="Arial" w:cs="Arial"/>
          <w:sz w:val="20"/>
          <w:szCs w:val="20"/>
        </w:rPr>
      </w:pPr>
    </w:p>
    <w:p w:rsidR="00AD00AA" w:rsidRPr="00F16EBC" w:rsidRDefault="00AD00AA" w:rsidP="00AD00AA">
      <w:pPr>
        <w:autoSpaceDE w:val="0"/>
        <w:autoSpaceDN w:val="0"/>
        <w:adjustRightInd w:val="0"/>
        <w:spacing w:line="240" w:lineRule="auto"/>
        <w:rPr>
          <w:rFonts w:ascii="AdvP6EC5" w:hAnsi="AdvP6EC5" w:cs="AdvP6EC5"/>
          <w:sz w:val="13"/>
          <w:szCs w:val="13"/>
        </w:rPr>
      </w:pPr>
      <w:r>
        <w:rPr>
          <w:rFonts w:ascii="Arial" w:hAnsi="Arial" w:cs="Arial"/>
          <w:sz w:val="20"/>
          <w:szCs w:val="20"/>
        </w:rPr>
        <w:t xml:space="preserve">Magali </w:t>
      </w:r>
      <w:r w:rsidRPr="00F16EBC">
        <w:rPr>
          <w:rFonts w:ascii="Arial" w:hAnsi="Arial" w:cs="Arial"/>
          <w:sz w:val="20"/>
          <w:szCs w:val="20"/>
        </w:rPr>
        <w:t>Lemaitre</w:t>
      </w:r>
      <w:r>
        <w:rPr>
          <w:rFonts w:ascii="Arial" w:hAnsi="Arial" w:cs="Arial"/>
          <w:sz w:val="20"/>
          <w:szCs w:val="20"/>
        </w:rPr>
        <w:t>*</w:t>
      </w:r>
      <w:r w:rsidRPr="00F16EBC">
        <w:rPr>
          <w:rFonts w:ascii="Arial" w:hAnsi="Arial" w:cs="Arial"/>
          <w:sz w:val="20"/>
          <w:szCs w:val="20"/>
          <w:vertAlign w:val="superscript"/>
        </w:rPr>
        <w:t>1,2</w:t>
      </w:r>
      <w:r w:rsidRPr="00F16EBC">
        <w:rPr>
          <w:rFonts w:ascii="Arial" w:hAnsi="Arial" w:cs="Arial"/>
          <w:sz w:val="20"/>
          <w:szCs w:val="20"/>
        </w:rPr>
        <w:t xml:space="preserve">, </w:t>
      </w:r>
      <w:r>
        <w:rPr>
          <w:rFonts w:ascii="Arial" w:hAnsi="Arial" w:cs="Arial"/>
          <w:sz w:val="20"/>
          <w:szCs w:val="20"/>
        </w:rPr>
        <w:t xml:space="preserve">Fabrice </w:t>
      </w:r>
      <w:r w:rsidRPr="00F16EBC">
        <w:rPr>
          <w:rFonts w:ascii="Arial" w:hAnsi="Arial" w:cs="Arial"/>
          <w:sz w:val="20"/>
          <w:szCs w:val="20"/>
        </w:rPr>
        <w:t>Carrat</w:t>
      </w:r>
      <w:r w:rsidRPr="00F16EBC">
        <w:rPr>
          <w:rFonts w:ascii="Arial" w:hAnsi="Arial" w:cs="Arial"/>
          <w:sz w:val="20"/>
          <w:szCs w:val="20"/>
          <w:vertAlign w:val="superscript"/>
        </w:rPr>
        <w:t>2</w:t>
      </w:r>
      <w:proofErr w:type="gramStart"/>
      <w:r w:rsidRPr="00F16EBC">
        <w:rPr>
          <w:rFonts w:ascii="Arial" w:hAnsi="Arial" w:cs="Arial"/>
          <w:sz w:val="20"/>
          <w:szCs w:val="20"/>
          <w:vertAlign w:val="superscript"/>
        </w:rPr>
        <w:t>,3,4</w:t>
      </w:r>
      <w:proofErr w:type="gramEnd"/>
      <w:r w:rsidRPr="00F16EBC">
        <w:rPr>
          <w:rFonts w:ascii="Arial" w:hAnsi="Arial" w:cs="Arial"/>
          <w:sz w:val="20"/>
          <w:szCs w:val="20"/>
        </w:rPr>
        <w:t xml:space="preserve">, </w:t>
      </w:r>
      <w:r>
        <w:rPr>
          <w:rFonts w:ascii="Arial" w:hAnsi="Arial" w:cs="Arial"/>
          <w:sz w:val="20"/>
          <w:szCs w:val="20"/>
        </w:rPr>
        <w:t xml:space="preserve">Grégoire </w:t>
      </w:r>
      <w:r w:rsidRPr="00F16EBC">
        <w:rPr>
          <w:rFonts w:ascii="Arial" w:hAnsi="Arial" w:cs="Arial"/>
          <w:sz w:val="20"/>
          <w:szCs w:val="20"/>
        </w:rPr>
        <w:t>Rey</w:t>
      </w:r>
      <w:r w:rsidRPr="00F16EBC">
        <w:rPr>
          <w:rFonts w:ascii="Arial" w:hAnsi="Arial" w:cs="Arial"/>
          <w:sz w:val="20"/>
          <w:szCs w:val="20"/>
          <w:vertAlign w:val="superscript"/>
        </w:rPr>
        <w:t>5</w:t>
      </w:r>
      <w:r w:rsidRPr="00F16EBC">
        <w:rPr>
          <w:rFonts w:ascii="Arial" w:hAnsi="Arial" w:cs="Arial"/>
          <w:sz w:val="20"/>
          <w:szCs w:val="20"/>
        </w:rPr>
        <w:t xml:space="preserve">, </w:t>
      </w:r>
      <w:r>
        <w:rPr>
          <w:rFonts w:ascii="Arial" w:hAnsi="Arial" w:cs="Arial"/>
          <w:sz w:val="20"/>
          <w:szCs w:val="20"/>
        </w:rPr>
        <w:t xml:space="preserve">Mark </w:t>
      </w:r>
      <w:r w:rsidRPr="00F16EBC">
        <w:rPr>
          <w:rFonts w:ascii="Arial" w:hAnsi="Arial" w:cs="Arial"/>
          <w:sz w:val="20"/>
          <w:szCs w:val="20"/>
        </w:rPr>
        <w:t>Miller</w:t>
      </w:r>
      <w:r w:rsidRPr="00F16EBC">
        <w:rPr>
          <w:rFonts w:ascii="Arial" w:hAnsi="Arial" w:cs="Arial"/>
          <w:sz w:val="20"/>
          <w:szCs w:val="20"/>
          <w:vertAlign w:val="superscript"/>
        </w:rPr>
        <w:t>1</w:t>
      </w:r>
      <w:r w:rsidRPr="00F16EBC">
        <w:rPr>
          <w:rFonts w:ascii="Arial" w:hAnsi="Arial" w:cs="Arial"/>
          <w:sz w:val="20"/>
          <w:szCs w:val="20"/>
        </w:rPr>
        <w:t xml:space="preserve">, </w:t>
      </w:r>
      <w:proofErr w:type="spellStart"/>
      <w:r>
        <w:rPr>
          <w:rFonts w:ascii="Arial" w:hAnsi="Arial" w:cs="Arial"/>
          <w:sz w:val="20"/>
          <w:szCs w:val="20"/>
        </w:rPr>
        <w:t>Lone</w:t>
      </w:r>
      <w:proofErr w:type="spellEnd"/>
      <w:r>
        <w:rPr>
          <w:rFonts w:ascii="Arial" w:hAnsi="Arial" w:cs="Arial"/>
          <w:sz w:val="20"/>
          <w:szCs w:val="20"/>
        </w:rPr>
        <w:t xml:space="preserve"> </w:t>
      </w:r>
      <w:r w:rsidRPr="00F16EBC">
        <w:rPr>
          <w:rFonts w:ascii="Arial" w:hAnsi="Arial" w:cs="Arial"/>
          <w:sz w:val="20"/>
          <w:szCs w:val="20"/>
        </w:rPr>
        <w:t>Simonsen</w:t>
      </w:r>
      <w:r w:rsidRPr="00F16EBC">
        <w:rPr>
          <w:rFonts w:ascii="Arial" w:hAnsi="Arial" w:cs="Arial"/>
          <w:sz w:val="20"/>
          <w:szCs w:val="20"/>
          <w:vertAlign w:val="superscript"/>
        </w:rPr>
        <w:t>1,6</w:t>
      </w:r>
      <w:r w:rsidRPr="00F16EBC">
        <w:rPr>
          <w:rFonts w:ascii="Arial" w:hAnsi="Arial" w:cs="Arial"/>
          <w:sz w:val="20"/>
          <w:szCs w:val="20"/>
        </w:rPr>
        <w:t xml:space="preserve">,  </w:t>
      </w:r>
      <w:r>
        <w:rPr>
          <w:rFonts w:ascii="Arial" w:hAnsi="Arial" w:cs="Arial"/>
          <w:sz w:val="20"/>
          <w:szCs w:val="20"/>
        </w:rPr>
        <w:t xml:space="preserve">Cécile </w:t>
      </w:r>
      <w:r w:rsidRPr="00F16EBC">
        <w:rPr>
          <w:rFonts w:ascii="Arial" w:hAnsi="Arial" w:cs="Arial"/>
          <w:sz w:val="20"/>
          <w:szCs w:val="20"/>
        </w:rPr>
        <w:t>Viboud</w:t>
      </w:r>
      <w:r w:rsidRPr="00F16EBC">
        <w:rPr>
          <w:rFonts w:ascii="Arial" w:hAnsi="Arial" w:cs="Arial"/>
          <w:sz w:val="20"/>
          <w:szCs w:val="20"/>
          <w:vertAlign w:val="superscript"/>
        </w:rPr>
        <w:t>1</w:t>
      </w:r>
    </w:p>
    <w:p w:rsidR="00AD00AA" w:rsidRDefault="00AD00AA" w:rsidP="001A2260">
      <w:pPr>
        <w:spacing w:line="240" w:lineRule="auto"/>
        <w:rPr>
          <w:rFonts w:ascii="Arial" w:hAnsi="Arial" w:cs="Arial"/>
          <w:sz w:val="20"/>
          <w:szCs w:val="20"/>
          <w:vertAlign w:val="superscript"/>
        </w:rPr>
      </w:pPr>
    </w:p>
    <w:p w:rsidR="00DD528C" w:rsidRPr="005601BB" w:rsidRDefault="00DD528C" w:rsidP="001A2260">
      <w:pPr>
        <w:spacing w:line="240" w:lineRule="auto"/>
        <w:rPr>
          <w:rFonts w:ascii="Arial" w:hAnsi="Arial" w:cs="Arial"/>
          <w:sz w:val="20"/>
          <w:szCs w:val="20"/>
          <w:lang w:val="en-US"/>
        </w:rPr>
      </w:pPr>
      <w:r w:rsidRPr="005601BB">
        <w:rPr>
          <w:rFonts w:ascii="Arial" w:hAnsi="Arial" w:cs="Arial"/>
          <w:sz w:val="20"/>
          <w:szCs w:val="20"/>
          <w:vertAlign w:val="superscript"/>
          <w:lang w:val="en-GB"/>
        </w:rPr>
        <w:t>1</w:t>
      </w:r>
      <w:r w:rsidRPr="005601BB">
        <w:rPr>
          <w:rFonts w:ascii="Arial" w:hAnsi="Arial" w:cs="Arial"/>
          <w:sz w:val="20"/>
          <w:szCs w:val="20"/>
          <w:lang w:val="en-US"/>
        </w:rPr>
        <w:t>Fogarty International Center, National Institutes of Health, Bethesda, USA</w:t>
      </w:r>
    </w:p>
    <w:p w:rsidR="00DD528C" w:rsidRPr="005601BB" w:rsidRDefault="00DD528C" w:rsidP="001A2260">
      <w:pPr>
        <w:spacing w:line="240" w:lineRule="auto"/>
        <w:rPr>
          <w:rFonts w:ascii="Arial" w:hAnsi="Arial" w:cs="Arial"/>
          <w:sz w:val="20"/>
          <w:szCs w:val="20"/>
          <w:lang w:val="en-GB"/>
        </w:rPr>
      </w:pPr>
      <w:r w:rsidRPr="005601BB">
        <w:rPr>
          <w:rFonts w:ascii="Arial" w:hAnsi="Arial" w:cs="Arial"/>
          <w:sz w:val="20"/>
          <w:szCs w:val="20"/>
          <w:vertAlign w:val="superscript"/>
          <w:lang w:val="en-GB"/>
        </w:rPr>
        <w:t>2</w:t>
      </w:r>
      <w:r w:rsidR="005601BB" w:rsidRPr="005601BB">
        <w:rPr>
          <w:rFonts w:ascii="Arial" w:hAnsi="Arial" w:cs="Arial"/>
          <w:sz w:val="20"/>
          <w:szCs w:val="20"/>
          <w:lang w:val="en-GB"/>
        </w:rPr>
        <w:t>Inserm, UMR-S 707, Paris</w:t>
      </w:r>
      <w:r w:rsidRPr="005601BB">
        <w:rPr>
          <w:rFonts w:ascii="Arial" w:hAnsi="Arial" w:cs="Arial"/>
          <w:sz w:val="20"/>
          <w:szCs w:val="20"/>
          <w:lang w:val="en-GB"/>
        </w:rPr>
        <w:t>, France</w:t>
      </w:r>
    </w:p>
    <w:p w:rsidR="00DD528C" w:rsidRPr="005601BB" w:rsidRDefault="00DD528C" w:rsidP="001A2260">
      <w:pPr>
        <w:spacing w:line="240" w:lineRule="auto"/>
        <w:rPr>
          <w:rFonts w:ascii="Arial" w:hAnsi="Arial" w:cs="Arial"/>
          <w:sz w:val="20"/>
          <w:szCs w:val="20"/>
          <w:lang w:val="en-US"/>
        </w:rPr>
      </w:pPr>
      <w:r w:rsidRPr="005601BB">
        <w:rPr>
          <w:rFonts w:ascii="Arial" w:hAnsi="Arial" w:cs="Arial"/>
          <w:sz w:val="20"/>
          <w:szCs w:val="20"/>
          <w:vertAlign w:val="superscript"/>
          <w:lang w:val="en-US"/>
        </w:rPr>
        <w:t>3</w:t>
      </w:r>
      <w:r w:rsidRPr="005601BB">
        <w:rPr>
          <w:rFonts w:ascii="Arial" w:hAnsi="Arial" w:cs="Arial"/>
          <w:sz w:val="20"/>
          <w:szCs w:val="20"/>
          <w:lang w:val="en-US"/>
        </w:rPr>
        <w:t>UPMC – Paris 6, UMR-S 707, Paris, France</w:t>
      </w:r>
    </w:p>
    <w:p w:rsidR="00DD528C" w:rsidRPr="005601BB" w:rsidRDefault="00DD528C" w:rsidP="001A2260">
      <w:pPr>
        <w:spacing w:line="240" w:lineRule="auto"/>
        <w:rPr>
          <w:rFonts w:ascii="Arial" w:hAnsi="Arial" w:cs="Arial"/>
          <w:sz w:val="20"/>
          <w:szCs w:val="20"/>
          <w:lang w:val="en-GB"/>
        </w:rPr>
      </w:pPr>
      <w:r w:rsidRPr="005601BB">
        <w:rPr>
          <w:rFonts w:ascii="Arial" w:hAnsi="Arial" w:cs="Arial"/>
          <w:sz w:val="20"/>
          <w:szCs w:val="20"/>
          <w:vertAlign w:val="superscript"/>
          <w:lang w:val="en-GB"/>
        </w:rPr>
        <w:t>4</w:t>
      </w:r>
      <w:r w:rsidRPr="005601BB">
        <w:rPr>
          <w:rFonts w:ascii="Arial" w:hAnsi="Arial" w:cs="Arial"/>
          <w:sz w:val="20"/>
          <w:szCs w:val="20"/>
          <w:lang w:val="en-GB"/>
        </w:rPr>
        <w:t>Public Health Unit, Saint-Antoine hospital, AP-HP, Paris, Fr</w:t>
      </w:r>
      <w:bookmarkStart w:id="0" w:name="_GoBack"/>
      <w:bookmarkEnd w:id="0"/>
      <w:r w:rsidRPr="005601BB">
        <w:rPr>
          <w:rFonts w:ascii="Arial" w:hAnsi="Arial" w:cs="Arial"/>
          <w:sz w:val="20"/>
          <w:szCs w:val="20"/>
          <w:lang w:val="en-GB"/>
        </w:rPr>
        <w:t>ance</w:t>
      </w:r>
    </w:p>
    <w:p w:rsidR="00DD528C" w:rsidRPr="005601BB" w:rsidRDefault="00DD528C" w:rsidP="001A2260">
      <w:pPr>
        <w:spacing w:line="240" w:lineRule="auto"/>
        <w:rPr>
          <w:rFonts w:ascii="Arial" w:hAnsi="Arial" w:cs="Arial"/>
          <w:sz w:val="20"/>
          <w:szCs w:val="20"/>
          <w:lang w:val="en-US"/>
        </w:rPr>
      </w:pPr>
      <w:r w:rsidRPr="005601BB">
        <w:rPr>
          <w:rFonts w:ascii="Arial" w:hAnsi="Arial" w:cs="Arial"/>
          <w:sz w:val="20"/>
          <w:szCs w:val="20"/>
          <w:vertAlign w:val="superscript"/>
          <w:lang w:val="en-US"/>
        </w:rPr>
        <w:t>5</w:t>
      </w:r>
      <w:r w:rsidRPr="005601BB">
        <w:rPr>
          <w:rFonts w:ascii="Arial" w:hAnsi="Arial" w:cs="Arial"/>
          <w:sz w:val="20"/>
          <w:szCs w:val="20"/>
          <w:lang w:val="en-US"/>
        </w:rPr>
        <w:t xml:space="preserve">Inserm, </w:t>
      </w:r>
      <w:proofErr w:type="spellStart"/>
      <w:r w:rsidRPr="005601BB">
        <w:rPr>
          <w:rFonts w:ascii="Arial" w:hAnsi="Arial" w:cs="Arial"/>
          <w:sz w:val="20"/>
          <w:szCs w:val="20"/>
          <w:lang w:val="en-US"/>
        </w:rPr>
        <w:t>CépiDC</w:t>
      </w:r>
      <w:proofErr w:type="spellEnd"/>
      <w:r w:rsidRPr="005601BB">
        <w:rPr>
          <w:rFonts w:ascii="Arial" w:hAnsi="Arial" w:cs="Arial"/>
          <w:sz w:val="20"/>
          <w:szCs w:val="20"/>
          <w:lang w:val="en-US"/>
        </w:rPr>
        <w:t xml:space="preserve">, Le </w:t>
      </w:r>
      <w:proofErr w:type="spellStart"/>
      <w:r w:rsidRPr="005601BB">
        <w:rPr>
          <w:rFonts w:ascii="Arial" w:hAnsi="Arial" w:cs="Arial"/>
          <w:sz w:val="20"/>
          <w:szCs w:val="20"/>
          <w:lang w:val="en-US"/>
        </w:rPr>
        <w:t>Vésinet</w:t>
      </w:r>
      <w:proofErr w:type="spellEnd"/>
      <w:r w:rsidRPr="005601BB">
        <w:rPr>
          <w:rFonts w:ascii="Arial" w:hAnsi="Arial" w:cs="Arial"/>
          <w:sz w:val="20"/>
          <w:szCs w:val="20"/>
          <w:lang w:val="en-US"/>
        </w:rPr>
        <w:t>, France</w:t>
      </w:r>
    </w:p>
    <w:p w:rsidR="00DD528C" w:rsidRPr="005601BB" w:rsidRDefault="00DD528C" w:rsidP="001A2260">
      <w:pPr>
        <w:spacing w:line="240" w:lineRule="auto"/>
        <w:rPr>
          <w:rFonts w:ascii="Arial" w:hAnsi="Arial" w:cs="Arial"/>
          <w:sz w:val="20"/>
          <w:szCs w:val="20"/>
          <w:lang w:val="en-US"/>
        </w:rPr>
      </w:pPr>
      <w:r w:rsidRPr="005601BB">
        <w:rPr>
          <w:rFonts w:ascii="Arial" w:hAnsi="Arial" w:cs="Arial"/>
          <w:sz w:val="20"/>
          <w:szCs w:val="20"/>
          <w:vertAlign w:val="superscript"/>
          <w:lang w:val="en-US"/>
        </w:rPr>
        <w:t>6</w:t>
      </w:r>
      <w:r w:rsidRPr="005601BB">
        <w:rPr>
          <w:rFonts w:ascii="Arial" w:hAnsi="Arial" w:cs="Arial"/>
          <w:sz w:val="20"/>
          <w:szCs w:val="20"/>
          <w:lang w:val="en-US"/>
        </w:rPr>
        <w:t>Department of Global Health, George Washington University, Washington DC, USA</w:t>
      </w:r>
    </w:p>
    <w:p w:rsidR="00DD528C" w:rsidRPr="00F16EBC" w:rsidRDefault="00DD528C" w:rsidP="001A2260">
      <w:pPr>
        <w:spacing w:line="480" w:lineRule="auto"/>
        <w:rPr>
          <w:rFonts w:ascii="Arial" w:hAnsi="Arial" w:cs="Arial"/>
          <w:color w:val="000000"/>
          <w:sz w:val="20"/>
          <w:szCs w:val="20"/>
          <w:lang w:val="en-US"/>
        </w:rPr>
      </w:pPr>
    </w:p>
    <w:p w:rsidR="00DD528C" w:rsidRPr="00F16EBC" w:rsidRDefault="00DD528C" w:rsidP="001A2260">
      <w:pPr>
        <w:spacing w:line="480" w:lineRule="auto"/>
        <w:ind w:firstLine="708"/>
        <w:rPr>
          <w:rFonts w:ascii="Arial" w:hAnsi="Arial" w:cs="Arial"/>
          <w:b/>
          <w:bCs/>
          <w:color w:val="000000"/>
          <w:sz w:val="20"/>
          <w:szCs w:val="20"/>
          <w:lang w:val="en-US"/>
        </w:rPr>
      </w:pPr>
      <w:r w:rsidRPr="00F16EBC">
        <w:rPr>
          <w:rFonts w:ascii="Arial" w:hAnsi="Arial" w:cs="Arial"/>
          <w:b/>
          <w:bCs/>
          <w:color w:val="000000"/>
          <w:sz w:val="20"/>
          <w:szCs w:val="20"/>
          <w:lang w:val="en-US"/>
        </w:rPr>
        <w:t>Mortality models:</w:t>
      </w:r>
    </w:p>
    <w:p w:rsidR="00DD528C" w:rsidRPr="00F16EBC" w:rsidRDefault="00DD528C" w:rsidP="001A2260">
      <w:pPr>
        <w:spacing w:line="480" w:lineRule="auto"/>
        <w:ind w:firstLine="708"/>
        <w:rPr>
          <w:rFonts w:ascii="Arial" w:hAnsi="Arial" w:cs="Arial"/>
          <w:b/>
          <w:bCs/>
          <w:color w:val="000000"/>
          <w:sz w:val="20"/>
          <w:szCs w:val="20"/>
          <w:lang w:val="en-US"/>
        </w:rPr>
      </w:pPr>
      <w:r w:rsidRPr="00AD00AA">
        <w:rPr>
          <w:rFonts w:ascii="Arial" w:hAnsi="Arial" w:cs="Arial"/>
          <w:b/>
          <w:bCs/>
          <w:i/>
          <w:color w:val="000000"/>
          <w:sz w:val="20"/>
          <w:szCs w:val="20"/>
          <w:lang w:val="en-US"/>
        </w:rPr>
        <w:t>Poisson models</w:t>
      </w:r>
    </w:p>
    <w:p w:rsidR="00DD528C" w:rsidRPr="00F16EBC" w:rsidRDefault="00DD528C" w:rsidP="001A2260">
      <w:pPr>
        <w:spacing w:line="480" w:lineRule="auto"/>
        <w:ind w:firstLine="708"/>
        <w:rPr>
          <w:rFonts w:ascii="Arial" w:hAnsi="Arial" w:cs="Arial"/>
          <w:color w:val="000000"/>
          <w:sz w:val="20"/>
          <w:szCs w:val="20"/>
          <w:lang w:val="en-US"/>
        </w:rPr>
      </w:pPr>
      <w:r w:rsidRPr="00F16EBC">
        <w:rPr>
          <w:rFonts w:ascii="Arial" w:hAnsi="Arial" w:cs="Arial"/>
          <w:color w:val="000000"/>
          <w:sz w:val="20"/>
          <w:szCs w:val="20"/>
          <w:lang w:val="en-US"/>
        </w:rPr>
        <w:t xml:space="preserve">In our main analysis, we fit Poisson models with a log link to weekly mortality data during 1997-2010. First, we selected the indicator of influenza activity that provided the best statistical fit to the mortality data. Three potential indicators of influenza activity were compared: weekly ILI incidence </w:t>
      </w:r>
      <w:r>
        <w:rPr>
          <w:rFonts w:ascii="Arial" w:hAnsi="Arial" w:cs="Arial"/>
          <w:color w:val="000000"/>
          <w:sz w:val="20"/>
          <w:szCs w:val="20"/>
          <w:lang w:val="en-US"/>
        </w:rPr>
        <w:fldChar w:fldCharType="begin"/>
      </w:r>
      <w:r>
        <w:rPr>
          <w:rFonts w:ascii="Arial" w:hAnsi="Arial" w:cs="Arial"/>
          <w:color w:val="000000"/>
          <w:sz w:val="20"/>
          <w:szCs w:val="20"/>
          <w:lang w:val="en-US"/>
        </w:rPr>
        <w:instrText xml:space="preserve"> ADDIN EN.CITE &lt;EndNote&gt;&lt;Cite&gt;&lt;Author&gt;Denoeud&lt;/Author&gt;&lt;Year&gt;2007&lt;/Year&gt;&lt;RecNum&gt;147&lt;/RecNum&gt;&lt;record&gt;&lt;rec-number&gt;147&lt;/rec-number&gt;&lt;ref-type name="Journal Article"&gt;17&lt;/ref-type&gt;&lt;contributors&gt;&lt;authors&gt;&lt;author&gt;Denoeud, L.&lt;/author&gt;&lt;author&gt;Turbelin, C.&lt;/author&gt;&lt;author&gt;Ansart, S.&lt;/author&gt;&lt;author&gt;Valleron, A. J.&lt;/author&gt;&lt;author&gt;Flahault, A.&lt;/author&gt;&lt;author&gt;Carrat, F.&lt;/author&gt;&lt;/authors&gt;&lt;/contributors&gt;&lt;auth-address&gt;Universite Pierre et Marie Curie-Paris 6, UMR-S 707, Paris, France.&lt;/auth-address&gt;&lt;titles&gt;&lt;title&gt;Predicting pneumonia and influenza mortality from morbidity data&lt;/title&gt;&lt;secondary-title&gt;PLoS One&lt;/secondary-title&gt;&lt;/titles&gt;&lt;periodical&gt;&lt;full-title&gt;PLoS One&lt;/full-title&gt;&lt;/periodical&gt;&lt;pages&gt;e464&lt;/pages&gt;&lt;volume&gt;2&lt;/volume&gt;&lt;number&gt;5&lt;/number&gt;&lt;keywords&gt;&lt;keyword&gt;Humans&lt;/keyword&gt;&lt;keyword&gt;Influenza, Human/epidemiology/*mortality&lt;/keyword&gt;&lt;keyword&gt;Pneumonia/epidemiology/*mortality&lt;/keyword&gt;&lt;keyword&gt;Poisson Distribution&lt;/keyword&gt;&lt;keyword&gt;Population Surveillance&lt;/keyword&gt;&lt;keyword&gt;Seasons&lt;/keyword&gt;&lt;/keywords&gt;&lt;dates&gt;&lt;year&gt;2007&lt;/year&gt;&lt;/dates&gt;&lt;accession-num&gt;17520023&lt;/accession-num&gt;&lt;urls&gt;&lt;related-urls&gt;&lt;url&gt;http://www.ncbi.nlm.nih.gov/entrez/query.fcgi?cmd=Retrieve&amp;amp;db=PubMed&amp;amp;dopt=Citation&amp;amp;list_uids=17520023 &lt;/url&gt;&lt;/related-urls&gt;&lt;/urls&gt;&lt;/record&gt;&lt;/Cite&gt;&lt;/EndNote&gt;</w:instrText>
      </w:r>
      <w:r>
        <w:rPr>
          <w:rFonts w:ascii="Arial" w:hAnsi="Arial" w:cs="Arial"/>
          <w:color w:val="000000"/>
          <w:sz w:val="20"/>
          <w:szCs w:val="20"/>
          <w:lang w:val="en-US"/>
        </w:rPr>
        <w:fldChar w:fldCharType="separate"/>
      </w:r>
      <w:r w:rsidRPr="00F16EBC">
        <w:rPr>
          <w:rFonts w:ascii="Arial" w:hAnsi="Arial" w:cs="Arial"/>
          <w:noProof/>
          <w:color w:val="000000"/>
          <w:sz w:val="20"/>
          <w:szCs w:val="20"/>
          <w:lang w:val="en-US"/>
        </w:rPr>
        <w:t>[</w:t>
      </w:r>
      <w:hyperlink w:anchor="_ENREF_25" w:tooltip="Denoeud, 2007 #147" w:history="1">
        <w:r w:rsidRPr="00F16EBC">
          <w:rPr>
            <w:rFonts w:ascii="Arial" w:hAnsi="Arial" w:cs="Arial"/>
            <w:noProof/>
            <w:color w:val="000000"/>
            <w:sz w:val="20"/>
            <w:szCs w:val="20"/>
            <w:lang w:val="en-US"/>
          </w:rPr>
          <w:t>2</w:t>
        </w:r>
        <w:r>
          <w:rPr>
            <w:rFonts w:ascii="Arial" w:hAnsi="Arial" w:cs="Arial"/>
            <w:noProof/>
            <w:color w:val="000000"/>
            <w:sz w:val="20"/>
            <w:szCs w:val="20"/>
            <w:lang w:val="en-US"/>
          </w:rPr>
          <w:t>6</w:t>
        </w:r>
      </w:hyperlink>
      <w:r w:rsidRPr="00F16EBC">
        <w:rPr>
          <w:rFonts w:ascii="Arial" w:hAnsi="Arial" w:cs="Arial"/>
          <w:noProof/>
          <w:color w:val="000000"/>
          <w:sz w:val="20"/>
          <w:szCs w:val="20"/>
          <w:lang w:val="en-US"/>
        </w:rPr>
        <w:t>]</w:t>
      </w:r>
      <w:r>
        <w:rPr>
          <w:rFonts w:ascii="Arial" w:hAnsi="Arial" w:cs="Arial"/>
          <w:color w:val="000000"/>
          <w:sz w:val="20"/>
          <w:szCs w:val="20"/>
          <w:lang w:val="en-US"/>
        </w:rPr>
        <w:fldChar w:fldCharType="end"/>
      </w:r>
      <w:r w:rsidRPr="00F16EBC">
        <w:rPr>
          <w:rFonts w:ascii="Arial" w:hAnsi="Arial" w:cs="Arial"/>
          <w:color w:val="000000"/>
          <w:sz w:val="20"/>
          <w:szCs w:val="20"/>
          <w:lang w:val="en-US"/>
        </w:rPr>
        <w:t xml:space="preserve">, weekly influenza virus percent </w:t>
      </w:r>
      <w:r w:rsidRPr="00156BE7">
        <w:rPr>
          <w:rFonts w:ascii="Arial" w:hAnsi="Arial" w:cs="Arial"/>
          <w:color w:val="000000"/>
          <w:sz w:val="20"/>
          <w:szCs w:val="20"/>
          <w:lang w:val="en-US"/>
        </w:rPr>
        <w:t xml:space="preserve">positive </w:t>
      </w:r>
      <w:r>
        <w:rPr>
          <w:rFonts w:ascii="Arial" w:hAnsi="Arial" w:cs="Arial"/>
          <w:color w:val="000000"/>
          <w:sz w:val="20"/>
          <w:szCs w:val="20"/>
          <w:lang w:val="en-US"/>
        </w:rPr>
        <w:fldChar w:fldCharType="begin"/>
      </w:r>
      <w:r>
        <w:rPr>
          <w:rFonts w:ascii="Arial" w:hAnsi="Arial" w:cs="Arial"/>
          <w:color w:val="000000"/>
          <w:sz w:val="20"/>
          <w:szCs w:val="20"/>
          <w:lang w:val="en-US"/>
        </w:rPr>
        <w:instrText xml:space="preserve"> ADDIN EN.CITE &lt;EndNote&gt;&lt;Cite&gt;&lt;Author&gt;Thompson&lt;/Author&gt;&lt;Year&gt;2003&lt;/Year&gt;&lt;RecNum&gt;30&lt;/RecNum&gt;&lt;record&gt;&lt;rec-number&gt;30&lt;/rec-number&gt;&lt;ref-type name="Journal Article"&gt;17&lt;/ref-type&gt;&lt;contributors&gt;&lt;authors&gt;&lt;author&gt;Thompson, W. W.&lt;/author&gt;&lt;author&gt;Shay, D. K.&lt;/author&gt;&lt;author&gt;Weintraub, E.&lt;/author&gt;&lt;author&gt;Brammer, L.&lt;/author&gt;&lt;author&gt;Cox, N.&lt;/author&gt;&lt;author&gt;Anderson, L. J.&lt;/author&gt;&lt;author&gt;Fukuda, K.&lt;/author&gt;&lt;/authors&gt;&lt;/contributors&gt;&lt;auth-address&gt;Influenza Branch, National Center for Infectious Diseases, Centers for Disease Control and Prevention, Atlanta, Ga 30333, USA. wct2@cdc.gov&lt;/auth-address&gt;&lt;titles&gt;&lt;title&gt;Mortality associated with influenza and respiratory syncytial virus in the United States&lt;/title&gt;&lt;secondary-title&gt;JAMA&lt;/secondary-title&gt;&lt;/titles&gt;&lt;pages&gt;179-86&lt;/pages&gt;&lt;volume&gt;289&lt;/volume&gt;&lt;number&gt;2&lt;/number&gt;&lt;edition&gt;2003/01/09&lt;/edition&gt;&lt;keywords&gt;&lt;keyword&gt;Adolescent&lt;/keyword&gt;&lt;keyword&gt;Adult&lt;/keyword&gt;&lt;keyword&gt;Age Distribution&lt;/keyword&gt;&lt;keyword&gt;Aged&lt;/keyword&gt;&lt;keyword&gt;Cause of Death&lt;/keyword&gt;&lt;keyword&gt;Child&lt;/keyword&gt;&lt;keyword&gt;Child, Preschool&lt;/keyword&gt;&lt;keyword&gt;Humans&lt;/keyword&gt;&lt;keyword&gt;Infant&lt;/keyword&gt;&lt;keyword&gt;Influenza A virus&lt;/keyword&gt;&lt;keyword&gt;Influenza B virus&lt;/keyword&gt;&lt;keyword&gt;Influenza, Human/epidemiology/*mortality&lt;/keyword&gt;&lt;keyword&gt;Middle Aged&lt;/keyword&gt;&lt;keyword&gt;Models, Statistical&lt;/keyword&gt;&lt;keyword&gt;Morbidity&lt;/keyword&gt;&lt;keyword&gt;Poisson Distribution&lt;/keyword&gt;&lt;keyword&gt;Respiratory Syncytial Virus Infections/epidemiology/*mortality&lt;/keyword&gt;&lt;keyword&gt;United States/epidemiology&lt;/keyword&gt;&lt;/keywords&gt;&lt;dates&gt;&lt;year&gt;2003&lt;/year&gt;&lt;pub-dates&gt;&lt;date&gt;Jan 8&lt;/date&gt;&lt;/pub-dates&gt;&lt;/dates&gt;&lt;isbn&gt;0098-7484 (Print)&lt;/isbn&gt;&lt;accession-num&gt;12517228&lt;/accession-num&gt;&lt;urls&gt;&lt;related-urls&gt;&lt;url&gt;http://www.ncbi.nlm.nih.gov/entrez/query.fcgi?cmd=Retrieve&amp;amp;db=PubMed&amp;amp;dopt=Citation&amp;amp;list_uids=12517228&lt;/url&gt;&lt;/related-urls&gt;&lt;/urls&gt;&lt;electronic-resource-num&gt;joc21709 [pii]&lt;/electronic-resource-num&gt;&lt;language&gt;eng&lt;/language&gt;&lt;/record&gt;&lt;/Cite&gt;&lt;/EndNote&gt;</w:instrText>
      </w:r>
      <w:r>
        <w:rPr>
          <w:rFonts w:ascii="Arial" w:hAnsi="Arial" w:cs="Arial"/>
          <w:color w:val="000000"/>
          <w:sz w:val="20"/>
          <w:szCs w:val="20"/>
          <w:lang w:val="en-US"/>
        </w:rPr>
        <w:fldChar w:fldCharType="separate"/>
      </w:r>
      <w:r w:rsidRPr="00156BE7">
        <w:rPr>
          <w:rFonts w:ascii="Arial" w:hAnsi="Arial" w:cs="Arial"/>
          <w:noProof/>
          <w:color w:val="000000"/>
          <w:sz w:val="20"/>
          <w:szCs w:val="20"/>
          <w:lang w:val="en-US"/>
        </w:rPr>
        <w:t>[</w:t>
      </w:r>
      <w:hyperlink w:anchor="_ENREF_15" w:tooltip="Thompson, 2003 #30" w:history="1">
        <w:r>
          <w:rPr>
            <w:rFonts w:ascii="Arial" w:hAnsi="Arial" w:cs="Arial"/>
            <w:noProof/>
            <w:color w:val="000000"/>
            <w:sz w:val="20"/>
            <w:szCs w:val="20"/>
            <w:lang w:val="en-US"/>
          </w:rPr>
          <w:t>15</w:t>
        </w:r>
      </w:hyperlink>
      <w:r w:rsidRPr="00AD00AA">
        <w:rPr>
          <w:rFonts w:ascii="Arial" w:hAnsi="Arial" w:cs="Arial"/>
          <w:sz w:val="20"/>
          <w:szCs w:val="20"/>
          <w:lang w:val="en-US"/>
        </w:rPr>
        <w:t>,21</w:t>
      </w:r>
      <w:r w:rsidRPr="00156BE7">
        <w:rPr>
          <w:rFonts w:ascii="Arial" w:hAnsi="Arial" w:cs="Arial"/>
          <w:noProof/>
          <w:color w:val="000000"/>
          <w:sz w:val="20"/>
          <w:szCs w:val="20"/>
          <w:lang w:val="en-US"/>
        </w:rPr>
        <w:t>]</w:t>
      </w:r>
      <w:r>
        <w:rPr>
          <w:rFonts w:ascii="Arial" w:hAnsi="Arial" w:cs="Arial"/>
          <w:color w:val="000000"/>
          <w:sz w:val="20"/>
          <w:szCs w:val="20"/>
          <w:lang w:val="en-US"/>
        </w:rPr>
        <w:fldChar w:fldCharType="end"/>
      </w:r>
      <w:r w:rsidRPr="00156BE7">
        <w:rPr>
          <w:rFonts w:ascii="Arial" w:hAnsi="Arial" w:cs="Arial"/>
          <w:color w:val="000000"/>
          <w:sz w:val="20"/>
          <w:szCs w:val="20"/>
          <w:lang w:val="en-US"/>
        </w:rPr>
        <w:t>,</w:t>
      </w:r>
      <w:r w:rsidRPr="00F16EBC">
        <w:rPr>
          <w:rFonts w:ascii="Arial" w:hAnsi="Arial" w:cs="Arial"/>
          <w:color w:val="000000"/>
          <w:sz w:val="20"/>
          <w:szCs w:val="20"/>
          <w:lang w:val="en-US"/>
        </w:rPr>
        <w:t xml:space="preserve"> and the combination of both </w:t>
      </w:r>
      <w:r>
        <w:rPr>
          <w:rFonts w:ascii="Arial" w:hAnsi="Arial" w:cs="Arial"/>
          <w:color w:val="000000"/>
          <w:sz w:val="20"/>
          <w:szCs w:val="20"/>
          <w:lang w:val="en-US"/>
        </w:rPr>
        <w:fldChar w:fldCharType="begin"/>
      </w:r>
      <w:r>
        <w:rPr>
          <w:rFonts w:ascii="Arial" w:hAnsi="Arial" w:cs="Arial"/>
          <w:color w:val="000000"/>
          <w:sz w:val="20"/>
          <w:szCs w:val="20"/>
          <w:lang w:val="en-US"/>
        </w:rPr>
        <w:instrText xml:space="preserve"> ADDIN EN.CITE &lt;EndNote&gt;&lt;Cite&gt;&lt;Author&gt;Goldstein&lt;/Author&gt;&lt;RecNum&gt;124&lt;/RecNum&gt;&lt;record&gt;&lt;rec-number&gt;124&lt;/rec-number&gt;&lt;ref-type name="Journal Article"&gt;17&lt;/ref-type&gt;&lt;contributors&gt;&lt;authors&gt;&lt;author&gt;Goldstein, E.&lt;/author&gt;&lt;author&gt;Cobey, S.&lt;/author&gt;&lt;author&gt;Takahashi, S.&lt;/author&gt;&lt;author&gt;Miller, J. C.&lt;/author&gt;&lt;author&gt;Lipsitch, M.&lt;/author&gt;&lt;/authors&gt;&lt;/contributors&gt;&lt;auth-address&gt;Center for Communicable Disease Dynamics, Department of Epidemiology, Harvard School of Public Health, Boston, Massachusetts, United States of America. egoldste@hsph.harvard.edu&lt;/auth-address&gt;&lt;titles&gt;&lt;title&gt;Predicting the epidemic sizes of influenza A/H1N1, A/H3N2, and B: a statistical method&lt;/title&gt;&lt;secondary-title&gt;PLoS Med&lt;/secondary-title&gt;&lt;/titles&gt;&lt;periodical&gt;&lt;full-title&gt;PLoS Med&lt;/full-title&gt;&lt;/periodical&gt;&lt;pages&gt;e1001051&lt;/pages&gt;&lt;volume&gt;8&lt;/volume&gt;&lt;number&gt;7&lt;/number&gt;&lt;keywords&gt;&lt;keyword&gt;Centers for Disease Control and Prevention (U.S.)&lt;/keyword&gt;&lt;keyword&gt;Epidemics/*statistics &amp;amp; numerical data&lt;/keyword&gt;&lt;keyword&gt;Forecasting&lt;/keyword&gt;&lt;keyword&gt;Humans&lt;/keyword&gt;&lt;keyword&gt;Incidence&lt;/keyword&gt;&lt;keyword&gt;Influenza A Virus, H1N1 Subtype/pathogenicity&lt;/keyword&gt;&lt;keyword&gt;Influenza A Virus, H3N2 Subtype/pathogenicity&lt;/keyword&gt;&lt;keyword&gt;Influenza B virus/pathogenicity&lt;/keyword&gt;&lt;keyword&gt;Influenza, Human/*epidemiology/virology&lt;/keyword&gt;&lt;keyword&gt;*Models, Statistical&lt;/keyword&gt;&lt;keyword&gt;Population Surveillance/*methods&lt;/keyword&gt;&lt;keyword&gt;Seasons&lt;/keyword&gt;&lt;keyword&gt;United States/epidemiology&lt;/keyword&gt;&lt;/keywords&gt;&lt;dates&gt;&lt;pub-dates&gt;&lt;date&gt;Jul&lt;/date&gt;&lt;/pub-dates&gt;&lt;/dates&gt;&lt;accession-num&gt;21750666&lt;/accession-num&gt;&lt;urls&gt;&lt;related-urls&gt;&lt;url&gt;http://www.ncbi.nlm.nih.gov/entrez/query.fcgi?cmd=Retrieve&amp;amp;db=PubMed&amp;amp;dopt=Citation&amp;amp;list_uids=21750666 &lt;/url&gt;&lt;/related-urls&gt;&lt;/urls&gt;&lt;/record&gt;&lt;/Cite&gt;&lt;/EndNote&gt;</w:instrText>
      </w:r>
      <w:r>
        <w:rPr>
          <w:rFonts w:ascii="Arial" w:hAnsi="Arial" w:cs="Arial"/>
          <w:color w:val="000000"/>
          <w:sz w:val="20"/>
          <w:szCs w:val="20"/>
          <w:lang w:val="en-US"/>
        </w:rPr>
        <w:fldChar w:fldCharType="separate"/>
      </w:r>
      <w:r w:rsidRPr="00F16EBC">
        <w:rPr>
          <w:rFonts w:ascii="Arial" w:hAnsi="Arial" w:cs="Arial"/>
          <w:noProof/>
          <w:color w:val="000000"/>
          <w:sz w:val="20"/>
          <w:szCs w:val="20"/>
          <w:lang w:val="en-US"/>
        </w:rPr>
        <w:t>[</w:t>
      </w:r>
      <w:hyperlink w:anchor="_ENREF_24" w:tooltip="Goldstein,  #124" w:history="1">
        <w:r w:rsidRPr="00F16EBC">
          <w:rPr>
            <w:rFonts w:ascii="Arial" w:hAnsi="Arial" w:cs="Arial"/>
            <w:noProof/>
            <w:color w:val="000000"/>
            <w:sz w:val="20"/>
            <w:szCs w:val="20"/>
            <w:lang w:val="en-US"/>
          </w:rPr>
          <w:t>2</w:t>
        </w:r>
        <w:r>
          <w:rPr>
            <w:rFonts w:ascii="Arial" w:hAnsi="Arial" w:cs="Arial"/>
            <w:noProof/>
            <w:color w:val="000000"/>
            <w:sz w:val="20"/>
            <w:szCs w:val="20"/>
            <w:lang w:val="en-US"/>
          </w:rPr>
          <w:t>5</w:t>
        </w:r>
      </w:hyperlink>
      <w:r w:rsidRPr="00F16EBC">
        <w:rPr>
          <w:rFonts w:ascii="Arial" w:hAnsi="Arial" w:cs="Arial"/>
          <w:noProof/>
          <w:color w:val="000000"/>
          <w:sz w:val="20"/>
          <w:szCs w:val="20"/>
          <w:lang w:val="en-US"/>
        </w:rPr>
        <w:t>]</w:t>
      </w:r>
      <w:r>
        <w:rPr>
          <w:rFonts w:ascii="Arial" w:hAnsi="Arial" w:cs="Arial"/>
          <w:color w:val="000000"/>
          <w:sz w:val="20"/>
          <w:szCs w:val="20"/>
          <w:lang w:val="en-US"/>
        </w:rPr>
        <w:fldChar w:fldCharType="end"/>
      </w:r>
      <w:r w:rsidRPr="00F16EBC">
        <w:rPr>
          <w:rFonts w:ascii="Arial" w:hAnsi="Arial" w:cs="Arial"/>
          <w:color w:val="000000"/>
          <w:sz w:val="20"/>
          <w:szCs w:val="20"/>
          <w:lang w:val="en-US"/>
        </w:rPr>
        <w:t>. We also tried different lags and moving averages (0-3 weeks) to link mortality with influenza indicators. The Poisson model included terms for time trends, harmonics for seasonality, and weekly influenza indicators, as follows:</w:t>
      </w:r>
    </w:p>
    <w:p w:rsidR="00DD528C" w:rsidRPr="00F16EBC" w:rsidRDefault="00DD528C" w:rsidP="001A2260">
      <w:pPr>
        <w:autoSpaceDE w:val="0"/>
        <w:autoSpaceDN w:val="0"/>
        <w:adjustRightInd w:val="0"/>
        <w:spacing w:line="480" w:lineRule="auto"/>
        <w:rPr>
          <w:rFonts w:ascii="Arial" w:hAnsi="Arial" w:cs="Arial"/>
          <w:color w:val="000000"/>
          <w:sz w:val="20"/>
          <w:szCs w:val="20"/>
          <w:lang w:val="en-US"/>
        </w:rPr>
      </w:pPr>
      <w:r w:rsidRPr="00F16EBC">
        <w:rPr>
          <w:rFonts w:ascii="Arial" w:hAnsi="Arial" w:cs="Arial"/>
          <w:color w:val="000000"/>
          <w:sz w:val="20"/>
          <w:szCs w:val="20"/>
          <w:lang w:val="en-US"/>
        </w:rPr>
        <w:t>Full model:</w:t>
      </w:r>
    </w:p>
    <w:p w:rsidR="00DD528C" w:rsidRPr="00F16EBC" w:rsidRDefault="00DD528C" w:rsidP="001A2260">
      <w:pPr>
        <w:ind w:firstLine="720"/>
        <w:rPr>
          <w:rFonts w:ascii="Arial" w:hAnsi="Arial" w:cs="Arial"/>
          <w:sz w:val="20"/>
          <w:szCs w:val="20"/>
          <w:vertAlign w:val="subscript"/>
          <w:lang w:val="en-US"/>
        </w:rPr>
      </w:pPr>
      <w:r w:rsidRPr="00F16EBC">
        <w:rPr>
          <w:rFonts w:ascii="Arial" w:hAnsi="Arial" w:cs="Arial"/>
          <w:sz w:val="20"/>
          <w:szCs w:val="20"/>
          <w:lang w:val="en-US"/>
        </w:rPr>
        <w:t>Log(E(</w:t>
      </w:r>
      <w:proofErr w:type="spellStart"/>
      <w:r w:rsidRPr="00F16EBC">
        <w:rPr>
          <w:rFonts w:ascii="Arial" w:hAnsi="Arial" w:cs="Arial"/>
          <w:sz w:val="20"/>
          <w:szCs w:val="20"/>
          <w:lang w:val="en-US"/>
        </w:rPr>
        <w:t>Y</w:t>
      </w:r>
      <w:r w:rsidRPr="00F16EBC">
        <w:rPr>
          <w:rFonts w:ascii="Arial" w:hAnsi="Arial" w:cs="Arial"/>
          <w:i/>
          <w:iCs/>
          <w:sz w:val="20"/>
          <w:szCs w:val="20"/>
          <w:vertAlign w:val="subscript"/>
          <w:lang w:val="en-US"/>
        </w:rPr>
        <w:t>t</w:t>
      </w:r>
      <w:proofErr w:type="spellEnd"/>
      <w:r>
        <w:rPr>
          <w:rFonts w:ascii="Arial" w:hAnsi="Arial" w:cs="Arial"/>
          <w:i/>
          <w:iCs/>
          <w:sz w:val="20"/>
          <w:szCs w:val="20"/>
          <w:vertAlign w:val="subscript"/>
          <w:lang w:val="en-US"/>
        </w:rPr>
        <w:t>/</w:t>
      </w:r>
      <w:r w:rsidRPr="00DA2375">
        <w:rPr>
          <w:rFonts w:ascii="Arial" w:hAnsi="Arial" w:cs="Arial"/>
          <w:i/>
          <w:iCs/>
          <w:sz w:val="20"/>
          <w:szCs w:val="20"/>
          <w:lang w:val="en-US"/>
        </w:rPr>
        <w:t>Pop</w:t>
      </w:r>
      <w:r w:rsidRPr="00F16EBC">
        <w:rPr>
          <w:rFonts w:ascii="Arial" w:hAnsi="Arial" w:cs="Arial"/>
          <w:sz w:val="20"/>
          <w:szCs w:val="20"/>
          <w:lang w:val="en-US"/>
        </w:rPr>
        <w:t xml:space="preserve">)) =  </w:t>
      </w:r>
      <w:r w:rsidRPr="00F16EBC">
        <w:rPr>
          <w:rFonts w:ascii="Arial" w:hAnsi="Arial" w:cs="Arial"/>
          <w:sz w:val="20"/>
          <w:szCs w:val="20"/>
        </w:rPr>
        <w:t>β</w:t>
      </w:r>
      <w:r w:rsidRPr="00F16EBC">
        <w:rPr>
          <w:rFonts w:ascii="Arial" w:hAnsi="Arial" w:cs="Arial"/>
          <w:sz w:val="20"/>
          <w:szCs w:val="20"/>
          <w:vertAlign w:val="subscript"/>
          <w:lang w:val="en-US"/>
        </w:rPr>
        <w:t xml:space="preserve">0 </w:t>
      </w:r>
      <w:r w:rsidRPr="00F16EBC">
        <w:rPr>
          <w:rFonts w:ascii="Arial" w:hAnsi="Arial" w:cs="Arial"/>
          <w:sz w:val="20"/>
          <w:szCs w:val="20"/>
          <w:lang w:val="en-US"/>
        </w:rPr>
        <w:t xml:space="preserve">+ </w:t>
      </w:r>
      <w:r w:rsidRPr="00F16EBC">
        <w:rPr>
          <w:rFonts w:ascii="Arial" w:hAnsi="Arial" w:cs="Arial"/>
          <w:sz w:val="20"/>
          <w:szCs w:val="20"/>
        </w:rPr>
        <w:t>β</w:t>
      </w:r>
      <w:r>
        <w:rPr>
          <w:rFonts w:ascii="Arial" w:hAnsi="Arial" w:cs="Arial"/>
          <w:sz w:val="20"/>
          <w:szCs w:val="20"/>
          <w:vertAlign w:val="subscript"/>
          <w:lang w:val="en-US"/>
        </w:rPr>
        <w:t>1</w:t>
      </w:r>
      <w:r w:rsidRPr="00F16EBC">
        <w:rPr>
          <w:rFonts w:ascii="Arial" w:hAnsi="Arial" w:cs="Arial"/>
          <w:color w:val="000000"/>
          <w:sz w:val="20"/>
          <w:szCs w:val="20"/>
          <w:lang w:val="en-US"/>
        </w:rPr>
        <w:t xml:space="preserve"> </w:t>
      </w:r>
      <w:proofErr w:type="spellStart"/>
      <w:r w:rsidRPr="00F16EBC">
        <w:rPr>
          <w:rFonts w:ascii="Arial" w:hAnsi="Arial" w:cs="Arial"/>
          <w:color w:val="000000"/>
          <w:sz w:val="20"/>
          <w:szCs w:val="20"/>
          <w:lang w:val="en-US"/>
        </w:rPr>
        <w:t>X</w:t>
      </w:r>
      <w:r w:rsidRPr="00F16EBC">
        <w:rPr>
          <w:rFonts w:ascii="Arial" w:hAnsi="Arial" w:cs="Arial"/>
          <w:color w:val="000000"/>
          <w:sz w:val="20"/>
          <w:szCs w:val="20"/>
          <w:vertAlign w:val="subscript"/>
          <w:lang w:val="en-US"/>
        </w:rPr>
        <w:t>flu</w:t>
      </w:r>
      <w:proofErr w:type="spellEnd"/>
      <w:r>
        <w:rPr>
          <w:rFonts w:ascii="Arial" w:hAnsi="Arial" w:cs="Arial"/>
          <w:color w:val="000000"/>
          <w:sz w:val="20"/>
          <w:szCs w:val="20"/>
          <w:vertAlign w:val="subscript"/>
          <w:lang w:val="en-US"/>
        </w:rPr>
        <w:t xml:space="preserve">(t) </w:t>
      </w:r>
      <w:r>
        <w:rPr>
          <w:rFonts w:ascii="Arial" w:hAnsi="Arial" w:cs="Arial"/>
          <w:color w:val="000000"/>
          <w:sz w:val="20"/>
          <w:szCs w:val="20"/>
          <w:lang w:val="en-US"/>
        </w:rPr>
        <w:t xml:space="preserve">* </w:t>
      </w:r>
      <w:proofErr w:type="spellStart"/>
      <w:r>
        <w:rPr>
          <w:rFonts w:ascii="Arial" w:hAnsi="Arial" w:cs="Arial"/>
          <w:color w:val="000000"/>
          <w:sz w:val="20"/>
          <w:szCs w:val="20"/>
          <w:lang w:val="en-US"/>
        </w:rPr>
        <w:t>Year_i</w:t>
      </w:r>
      <w:proofErr w:type="spellEnd"/>
      <w:r w:rsidRPr="00F16EBC">
        <w:rPr>
          <w:rFonts w:ascii="Arial" w:hAnsi="Arial" w:cs="Arial"/>
          <w:color w:val="000000"/>
          <w:sz w:val="20"/>
          <w:szCs w:val="20"/>
          <w:lang w:val="en-US"/>
        </w:rPr>
        <w:t xml:space="preserve"> +</w:t>
      </w:r>
      <w:r w:rsidRPr="00F16EBC">
        <w:rPr>
          <w:rFonts w:ascii="Arial" w:hAnsi="Arial" w:cs="Arial"/>
          <w:sz w:val="20"/>
          <w:szCs w:val="20"/>
          <w:lang w:val="en-US"/>
        </w:rPr>
        <w:t xml:space="preserve"> </w:t>
      </w:r>
      <w:r w:rsidRPr="00F16EBC">
        <w:rPr>
          <w:rFonts w:ascii="Arial" w:hAnsi="Arial" w:cs="Arial"/>
          <w:sz w:val="20"/>
          <w:szCs w:val="20"/>
        </w:rPr>
        <w:t>β</w:t>
      </w:r>
      <w:r w:rsidRPr="001657AB">
        <w:rPr>
          <w:rFonts w:ascii="Arial" w:hAnsi="Arial" w:cs="Arial"/>
          <w:sz w:val="20"/>
          <w:szCs w:val="20"/>
          <w:vertAlign w:val="subscript"/>
          <w:lang w:val="en-US"/>
        </w:rPr>
        <w:t>2</w:t>
      </w:r>
      <w:r w:rsidRPr="00F16EBC">
        <w:rPr>
          <w:rFonts w:ascii="Arial" w:hAnsi="Arial" w:cs="Arial"/>
          <w:sz w:val="20"/>
          <w:szCs w:val="20"/>
          <w:vertAlign w:val="subscript"/>
          <w:lang w:val="en-US"/>
        </w:rPr>
        <w:t>*</w:t>
      </w:r>
      <w:r w:rsidRPr="00F16EBC">
        <w:rPr>
          <w:rFonts w:ascii="Arial" w:hAnsi="Arial" w:cs="Arial"/>
          <w:sz w:val="20"/>
          <w:szCs w:val="20"/>
          <w:lang w:val="en-US"/>
        </w:rPr>
        <w:t>t</w:t>
      </w:r>
      <w:r w:rsidRPr="00F16EBC">
        <w:rPr>
          <w:rFonts w:ascii="Arial" w:hAnsi="Arial" w:cs="Arial"/>
          <w:sz w:val="20"/>
          <w:szCs w:val="20"/>
          <w:vertAlign w:val="subscript"/>
          <w:lang w:val="en-US"/>
        </w:rPr>
        <w:t xml:space="preserve"> </w:t>
      </w:r>
      <w:r w:rsidRPr="00F16EBC">
        <w:rPr>
          <w:rFonts w:ascii="Arial" w:hAnsi="Arial" w:cs="Arial"/>
          <w:sz w:val="20"/>
          <w:szCs w:val="20"/>
          <w:lang w:val="en-US"/>
        </w:rPr>
        <w:t xml:space="preserve">+ </w:t>
      </w:r>
      <w:r w:rsidRPr="00F16EBC">
        <w:rPr>
          <w:rFonts w:ascii="Arial" w:hAnsi="Arial" w:cs="Arial"/>
          <w:sz w:val="20"/>
          <w:szCs w:val="20"/>
        </w:rPr>
        <w:t>β</w:t>
      </w:r>
      <w:r w:rsidRPr="001657AB">
        <w:rPr>
          <w:rFonts w:ascii="Arial" w:hAnsi="Arial" w:cs="Arial"/>
          <w:sz w:val="20"/>
          <w:szCs w:val="20"/>
          <w:vertAlign w:val="subscript"/>
          <w:lang w:val="en-US"/>
        </w:rPr>
        <w:t>3</w:t>
      </w:r>
      <w:r w:rsidRPr="00F16EBC">
        <w:rPr>
          <w:rFonts w:ascii="Arial" w:hAnsi="Arial" w:cs="Arial"/>
          <w:sz w:val="20"/>
          <w:szCs w:val="20"/>
          <w:vertAlign w:val="subscript"/>
          <w:lang w:val="en-US"/>
        </w:rPr>
        <w:t>*</w:t>
      </w:r>
      <w:r w:rsidRPr="00F16EBC">
        <w:rPr>
          <w:rFonts w:ascii="Arial" w:hAnsi="Arial" w:cs="Arial"/>
          <w:sz w:val="20"/>
          <w:szCs w:val="20"/>
          <w:lang w:val="en-US"/>
        </w:rPr>
        <w:t>t</w:t>
      </w:r>
      <w:r w:rsidRPr="00F16EBC">
        <w:rPr>
          <w:rFonts w:ascii="Arial" w:hAnsi="Arial" w:cs="Arial"/>
          <w:sz w:val="20"/>
          <w:szCs w:val="20"/>
          <w:vertAlign w:val="superscript"/>
          <w:lang w:val="en-US"/>
        </w:rPr>
        <w:t>2</w:t>
      </w:r>
      <w:r w:rsidRPr="00F16EBC">
        <w:rPr>
          <w:rFonts w:ascii="Arial" w:hAnsi="Arial" w:cs="Arial"/>
          <w:sz w:val="20"/>
          <w:szCs w:val="20"/>
          <w:lang w:val="en-US"/>
        </w:rPr>
        <w:t xml:space="preserve"> +</w:t>
      </w:r>
      <w:r w:rsidRPr="00F16EBC">
        <w:rPr>
          <w:rFonts w:ascii="Arial" w:hAnsi="Arial" w:cs="Arial"/>
          <w:sz w:val="20"/>
          <w:szCs w:val="20"/>
          <w:vertAlign w:val="subscript"/>
          <w:lang w:val="en-US"/>
        </w:rPr>
        <w:t xml:space="preserve"> </w:t>
      </w:r>
      <w:r w:rsidRPr="00F16EBC">
        <w:rPr>
          <w:rFonts w:ascii="Arial" w:hAnsi="Arial" w:cs="Arial"/>
          <w:sz w:val="20"/>
          <w:szCs w:val="20"/>
          <w:lang w:val="en-US"/>
        </w:rPr>
        <w:t xml:space="preserve"> </w:t>
      </w:r>
      <w:r w:rsidRPr="00F16EBC">
        <w:rPr>
          <w:rFonts w:ascii="Arial" w:hAnsi="Arial" w:cs="Arial"/>
          <w:sz w:val="20"/>
          <w:szCs w:val="20"/>
        </w:rPr>
        <w:t>β</w:t>
      </w:r>
      <w:r w:rsidRPr="001657AB">
        <w:rPr>
          <w:rFonts w:ascii="Arial" w:hAnsi="Arial" w:cs="Arial"/>
          <w:sz w:val="20"/>
          <w:szCs w:val="20"/>
          <w:vertAlign w:val="subscript"/>
          <w:lang w:val="en-US"/>
        </w:rPr>
        <w:t>4</w:t>
      </w:r>
      <w:r w:rsidRPr="00F16EBC">
        <w:rPr>
          <w:rFonts w:ascii="Arial" w:hAnsi="Arial" w:cs="Arial"/>
          <w:sz w:val="20"/>
          <w:szCs w:val="20"/>
          <w:vertAlign w:val="subscript"/>
          <w:lang w:val="en-US"/>
        </w:rPr>
        <w:t xml:space="preserve"> </w:t>
      </w:r>
      <w:r w:rsidRPr="00F16EBC">
        <w:rPr>
          <w:rFonts w:ascii="Arial" w:hAnsi="Arial" w:cs="Arial"/>
          <w:sz w:val="20"/>
          <w:szCs w:val="20"/>
          <w:lang w:val="en-US"/>
        </w:rPr>
        <w:t>t</w:t>
      </w:r>
      <w:r w:rsidRPr="00F16EBC">
        <w:rPr>
          <w:rFonts w:ascii="Arial" w:hAnsi="Arial" w:cs="Arial"/>
          <w:sz w:val="20"/>
          <w:szCs w:val="20"/>
          <w:vertAlign w:val="superscript"/>
          <w:lang w:val="en-US"/>
        </w:rPr>
        <w:t>3</w:t>
      </w:r>
      <w:r w:rsidRPr="00F16EBC">
        <w:rPr>
          <w:rFonts w:ascii="Arial" w:hAnsi="Arial" w:cs="Arial"/>
          <w:sz w:val="20"/>
          <w:szCs w:val="20"/>
          <w:lang w:val="en-US"/>
        </w:rPr>
        <w:t xml:space="preserve"> +</w:t>
      </w:r>
      <w:r w:rsidRPr="00F16EBC">
        <w:rPr>
          <w:rFonts w:ascii="Arial" w:hAnsi="Arial" w:cs="Arial"/>
          <w:sz w:val="20"/>
          <w:szCs w:val="20"/>
          <w:vertAlign w:val="subscript"/>
          <w:lang w:val="en-US"/>
        </w:rPr>
        <w:t xml:space="preserve"> </w:t>
      </w:r>
      <w:r w:rsidRPr="00F16EBC">
        <w:rPr>
          <w:rFonts w:ascii="Arial" w:hAnsi="Arial" w:cs="Arial"/>
          <w:sz w:val="20"/>
          <w:szCs w:val="20"/>
          <w:lang w:val="en-US"/>
        </w:rPr>
        <w:t xml:space="preserve"> </w:t>
      </w:r>
      <w:r w:rsidRPr="00F16EBC">
        <w:rPr>
          <w:rFonts w:ascii="Arial" w:hAnsi="Arial" w:cs="Arial"/>
          <w:sz w:val="20"/>
          <w:szCs w:val="20"/>
        </w:rPr>
        <w:t>β</w:t>
      </w:r>
      <w:r>
        <w:rPr>
          <w:rFonts w:ascii="Arial" w:hAnsi="Arial" w:cs="Arial"/>
          <w:sz w:val="20"/>
          <w:szCs w:val="20"/>
          <w:vertAlign w:val="subscript"/>
          <w:lang w:val="en-US"/>
        </w:rPr>
        <w:t>5</w:t>
      </w:r>
      <w:r w:rsidRPr="00F16EBC">
        <w:rPr>
          <w:rFonts w:ascii="Arial" w:hAnsi="Arial" w:cs="Arial"/>
          <w:sz w:val="20"/>
          <w:szCs w:val="20"/>
          <w:vertAlign w:val="subscript"/>
          <w:lang w:val="en-US"/>
        </w:rPr>
        <w:t>*</w:t>
      </w:r>
      <w:r w:rsidRPr="00F16EBC">
        <w:rPr>
          <w:rFonts w:ascii="Arial" w:hAnsi="Arial" w:cs="Arial"/>
          <w:sz w:val="20"/>
          <w:szCs w:val="20"/>
          <w:lang w:val="en-US"/>
        </w:rPr>
        <w:t>sin(2*Pi*t/52.17)</w:t>
      </w:r>
      <w:r w:rsidRPr="00F16EBC">
        <w:rPr>
          <w:rFonts w:ascii="Arial" w:hAnsi="Arial" w:cs="Arial"/>
          <w:sz w:val="20"/>
          <w:szCs w:val="20"/>
          <w:vertAlign w:val="subscript"/>
          <w:lang w:val="en-US"/>
        </w:rPr>
        <w:t xml:space="preserve"> </w:t>
      </w:r>
      <w:r w:rsidRPr="00F16EBC">
        <w:rPr>
          <w:rFonts w:ascii="Arial" w:hAnsi="Arial" w:cs="Arial"/>
          <w:sz w:val="20"/>
          <w:szCs w:val="20"/>
          <w:lang w:val="en-US"/>
        </w:rPr>
        <w:t xml:space="preserve">+ </w:t>
      </w:r>
      <w:r w:rsidRPr="00F16EBC">
        <w:rPr>
          <w:rFonts w:ascii="Arial" w:hAnsi="Arial" w:cs="Arial"/>
          <w:sz w:val="20"/>
          <w:szCs w:val="20"/>
        </w:rPr>
        <w:t>β</w:t>
      </w:r>
      <w:r>
        <w:rPr>
          <w:rFonts w:ascii="Arial" w:hAnsi="Arial" w:cs="Arial"/>
          <w:sz w:val="20"/>
          <w:szCs w:val="20"/>
          <w:vertAlign w:val="subscript"/>
          <w:lang w:val="en-US"/>
        </w:rPr>
        <w:t>6</w:t>
      </w:r>
      <w:r w:rsidRPr="00F16EBC">
        <w:rPr>
          <w:rFonts w:ascii="Arial" w:hAnsi="Arial" w:cs="Arial"/>
          <w:sz w:val="20"/>
          <w:szCs w:val="20"/>
          <w:vertAlign w:val="subscript"/>
          <w:lang w:val="en-US"/>
        </w:rPr>
        <w:t>*</w:t>
      </w:r>
      <w:proofErr w:type="spellStart"/>
      <w:r w:rsidRPr="00F16EBC">
        <w:rPr>
          <w:rFonts w:ascii="Arial" w:hAnsi="Arial" w:cs="Arial"/>
          <w:sz w:val="20"/>
          <w:szCs w:val="20"/>
          <w:lang w:val="en-US"/>
        </w:rPr>
        <w:t>cos</w:t>
      </w:r>
      <w:proofErr w:type="spellEnd"/>
      <w:r w:rsidRPr="00F16EBC">
        <w:rPr>
          <w:rFonts w:ascii="Arial" w:hAnsi="Arial" w:cs="Arial"/>
          <w:sz w:val="20"/>
          <w:szCs w:val="20"/>
          <w:lang w:val="en-US"/>
        </w:rPr>
        <w:t>(2*Pi*t/52.17)</w:t>
      </w:r>
      <w:r w:rsidRPr="00F16EBC">
        <w:rPr>
          <w:rFonts w:ascii="Arial" w:hAnsi="Arial" w:cs="Arial"/>
          <w:sz w:val="20"/>
          <w:szCs w:val="20"/>
          <w:vertAlign w:val="subscript"/>
          <w:lang w:val="en-US"/>
        </w:rPr>
        <w:t xml:space="preserve"> </w:t>
      </w:r>
      <w:r w:rsidRPr="00F16EBC">
        <w:rPr>
          <w:rFonts w:ascii="Arial" w:hAnsi="Arial" w:cs="Arial"/>
          <w:sz w:val="20"/>
          <w:szCs w:val="20"/>
          <w:lang w:val="en-US"/>
        </w:rPr>
        <w:t xml:space="preserve"> +</w:t>
      </w:r>
      <w:r w:rsidRPr="00F16EBC">
        <w:rPr>
          <w:rFonts w:ascii="Arial" w:hAnsi="Arial" w:cs="Arial"/>
          <w:sz w:val="20"/>
          <w:szCs w:val="20"/>
          <w:vertAlign w:val="subscript"/>
          <w:lang w:val="en-US"/>
        </w:rPr>
        <w:t xml:space="preserve"> </w:t>
      </w:r>
      <w:r w:rsidRPr="00F16EBC">
        <w:rPr>
          <w:rFonts w:ascii="Arial" w:hAnsi="Arial" w:cs="Arial"/>
          <w:sz w:val="20"/>
          <w:szCs w:val="20"/>
          <w:lang w:val="en-US"/>
        </w:rPr>
        <w:t xml:space="preserve"> </w:t>
      </w:r>
      <w:r w:rsidRPr="00F16EBC">
        <w:rPr>
          <w:rFonts w:ascii="Arial" w:hAnsi="Arial" w:cs="Arial"/>
          <w:sz w:val="20"/>
          <w:szCs w:val="20"/>
        </w:rPr>
        <w:t>β</w:t>
      </w:r>
      <w:r>
        <w:rPr>
          <w:rFonts w:ascii="Arial" w:hAnsi="Arial" w:cs="Arial"/>
          <w:sz w:val="20"/>
          <w:szCs w:val="20"/>
          <w:vertAlign w:val="subscript"/>
          <w:lang w:val="en-US"/>
        </w:rPr>
        <w:t>7</w:t>
      </w:r>
      <w:r w:rsidRPr="00F16EBC">
        <w:rPr>
          <w:rFonts w:ascii="Arial" w:hAnsi="Arial" w:cs="Arial"/>
          <w:sz w:val="20"/>
          <w:szCs w:val="20"/>
          <w:vertAlign w:val="subscript"/>
          <w:lang w:val="en-US"/>
        </w:rPr>
        <w:t>*</w:t>
      </w:r>
      <w:r w:rsidRPr="00F16EBC">
        <w:rPr>
          <w:rFonts w:ascii="Arial" w:hAnsi="Arial" w:cs="Arial"/>
          <w:sz w:val="20"/>
          <w:szCs w:val="20"/>
          <w:lang w:val="en-US"/>
        </w:rPr>
        <w:t>sin(3*Pi*t/52.17)</w:t>
      </w:r>
      <w:r w:rsidRPr="00F16EBC">
        <w:rPr>
          <w:rFonts w:ascii="Arial" w:hAnsi="Arial" w:cs="Arial"/>
          <w:sz w:val="20"/>
          <w:szCs w:val="20"/>
          <w:vertAlign w:val="subscript"/>
          <w:lang w:val="en-US"/>
        </w:rPr>
        <w:t xml:space="preserve"> </w:t>
      </w:r>
      <w:r w:rsidRPr="00F16EBC">
        <w:rPr>
          <w:rFonts w:ascii="Arial" w:hAnsi="Arial" w:cs="Arial"/>
          <w:sz w:val="20"/>
          <w:szCs w:val="20"/>
          <w:lang w:val="en-US"/>
        </w:rPr>
        <w:t xml:space="preserve">+ </w:t>
      </w:r>
      <w:r w:rsidRPr="00F16EBC">
        <w:rPr>
          <w:rFonts w:ascii="Arial" w:hAnsi="Arial" w:cs="Arial"/>
          <w:sz w:val="20"/>
          <w:szCs w:val="20"/>
        </w:rPr>
        <w:t>β</w:t>
      </w:r>
      <w:r>
        <w:rPr>
          <w:rFonts w:ascii="Arial" w:hAnsi="Arial" w:cs="Arial"/>
          <w:sz w:val="20"/>
          <w:szCs w:val="20"/>
          <w:vertAlign w:val="subscript"/>
          <w:lang w:val="en-US"/>
        </w:rPr>
        <w:t>8</w:t>
      </w:r>
      <w:r w:rsidRPr="00F16EBC">
        <w:rPr>
          <w:rFonts w:ascii="Arial" w:hAnsi="Arial" w:cs="Arial"/>
          <w:sz w:val="20"/>
          <w:szCs w:val="20"/>
          <w:vertAlign w:val="subscript"/>
          <w:lang w:val="en-US"/>
        </w:rPr>
        <w:t>*</w:t>
      </w:r>
      <w:proofErr w:type="spellStart"/>
      <w:r w:rsidRPr="00F16EBC">
        <w:rPr>
          <w:rFonts w:ascii="Arial" w:hAnsi="Arial" w:cs="Arial"/>
          <w:sz w:val="20"/>
          <w:szCs w:val="20"/>
          <w:lang w:val="en-US"/>
        </w:rPr>
        <w:t>cos</w:t>
      </w:r>
      <w:proofErr w:type="spellEnd"/>
      <w:r w:rsidRPr="00F16EBC">
        <w:rPr>
          <w:rFonts w:ascii="Arial" w:hAnsi="Arial" w:cs="Arial"/>
          <w:sz w:val="20"/>
          <w:szCs w:val="20"/>
          <w:lang w:val="en-US"/>
        </w:rPr>
        <w:t>(3*Pi*t/52.17)</w:t>
      </w:r>
      <w:r w:rsidRPr="00F16EBC">
        <w:rPr>
          <w:rFonts w:ascii="Arial" w:hAnsi="Arial" w:cs="Arial"/>
          <w:sz w:val="20"/>
          <w:szCs w:val="20"/>
          <w:vertAlign w:val="subscript"/>
          <w:lang w:val="en-US"/>
        </w:rPr>
        <w:t xml:space="preserve"> </w:t>
      </w:r>
      <w:r w:rsidRPr="00F16EBC">
        <w:rPr>
          <w:rFonts w:ascii="Arial" w:hAnsi="Arial" w:cs="Arial"/>
          <w:sz w:val="20"/>
          <w:szCs w:val="20"/>
          <w:lang w:val="en-US"/>
        </w:rPr>
        <w:t xml:space="preserve"> + </w:t>
      </w:r>
      <w:r w:rsidRPr="00F16EBC">
        <w:rPr>
          <w:rFonts w:ascii="Arial" w:hAnsi="Arial" w:cs="Arial"/>
          <w:sz w:val="20"/>
          <w:szCs w:val="20"/>
        </w:rPr>
        <w:t>β</w:t>
      </w:r>
      <w:r>
        <w:rPr>
          <w:rFonts w:ascii="Arial" w:hAnsi="Arial" w:cs="Arial"/>
          <w:sz w:val="20"/>
          <w:szCs w:val="20"/>
          <w:vertAlign w:val="subscript"/>
          <w:lang w:val="en-US"/>
        </w:rPr>
        <w:t>9</w:t>
      </w:r>
      <w:r w:rsidRPr="00F16EBC">
        <w:rPr>
          <w:rFonts w:ascii="Arial" w:hAnsi="Arial" w:cs="Arial"/>
          <w:sz w:val="20"/>
          <w:szCs w:val="20"/>
          <w:vertAlign w:val="subscript"/>
          <w:lang w:val="en-US"/>
        </w:rPr>
        <w:t>*</w:t>
      </w:r>
      <w:r w:rsidRPr="00F16EBC">
        <w:rPr>
          <w:rFonts w:ascii="Arial" w:hAnsi="Arial" w:cs="Arial"/>
          <w:sz w:val="20"/>
          <w:szCs w:val="20"/>
          <w:lang w:val="en-US"/>
        </w:rPr>
        <w:t>sin(4*Pi*t/52.17)</w:t>
      </w:r>
      <w:r w:rsidRPr="00F16EBC">
        <w:rPr>
          <w:rFonts w:ascii="Arial" w:hAnsi="Arial" w:cs="Arial"/>
          <w:sz w:val="20"/>
          <w:szCs w:val="20"/>
          <w:vertAlign w:val="subscript"/>
          <w:lang w:val="en-US"/>
        </w:rPr>
        <w:t xml:space="preserve"> </w:t>
      </w:r>
      <w:r w:rsidRPr="00F16EBC">
        <w:rPr>
          <w:rFonts w:ascii="Arial" w:hAnsi="Arial" w:cs="Arial"/>
          <w:sz w:val="20"/>
          <w:szCs w:val="20"/>
          <w:lang w:val="en-US"/>
        </w:rPr>
        <w:t xml:space="preserve">+ </w:t>
      </w:r>
      <w:r w:rsidRPr="00F16EBC">
        <w:rPr>
          <w:rFonts w:ascii="Arial" w:hAnsi="Arial" w:cs="Arial"/>
          <w:sz w:val="20"/>
          <w:szCs w:val="20"/>
        </w:rPr>
        <w:t>β</w:t>
      </w:r>
      <w:r w:rsidRPr="00F16EBC">
        <w:rPr>
          <w:rFonts w:ascii="Arial" w:hAnsi="Arial" w:cs="Arial"/>
          <w:sz w:val="20"/>
          <w:szCs w:val="20"/>
          <w:vertAlign w:val="subscript"/>
          <w:lang w:val="en-US"/>
        </w:rPr>
        <w:t>1</w:t>
      </w:r>
      <w:r>
        <w:rPr>
          <w:rFonts w:ascii="Arial" w:hAnsi="Arial" w:cs="Arial"/>
          <w:sz w:val="20"/>
          <w:szCs w:val="20"/>
          <w:vertAlign w:val="subscript"/>
          <w:lang w:val="en-US"/>
        </w:rPr>
        <w:t>0</w:t>
      </w:r>
      <w:r w:rsidRPr="00F16EBC">
        <w:rPr>
          <w:rFonts w:ascii="Arial" w:hAnsi="Arial" w:cs="Arial"/>
          <w:sz w:val="20"/>
          <w:szCs w:val="20"/>
          <w:vertAlign w:val="subscript"/>
          <w:lang w:val="en-US"/>
        </w:rPr>
        <w:t>*</w:t>
      </w:r>
      <w:proofErr w:type="spellStart"/>
      <w:r w:rsidRPr="00F16EBC">
        <w:rPr>
          <w:rFonts w:ascii="Arial" w:hAnsi="Arial" w:cs="Arial"/>
          <w:sz w:val="20"/>
          <w:szCs w:val="20"/>
          <w:lang w:val="en-US"/>
        </w:rPr>
        <w:t>cos</w:t>
      </w:r>
      <w:proofErr w:type="spellEnd"/>
      <w:r w:rsidRPr="00F16EBC">
        <w:rPr>
          <w:rFonts w:ascii="Arial" w:hAnsi="Arial" w:cs="Arial"/>
          <w:sz w:val="20"/>
          <w:szCs w:val="20"/>
          <w:lang w:val="en-US"/>
        </w:rPr>
        <w:t>(4*Pi*t/52.17)</w:t>
      </w:r>
      <w:r w:rsidRPr="00F16EBC">
        <w:rPr>
          <w:rFonts w:ascii="Arial" w:hAnsi="Arial" w:cs="Arial"/>
          <w:sz w:val="20"/>
          <w:szCs w:val="20"/>
          <w:vertAlign w:val="subscript"/>
          <w:lang w:val="en-US"/>
        </w:rPr>
        <w:t xml:space="preserve"> </w:t>
      </w:r>
      <w:r w:rsidRPr="00F16EBC">
        <w:rPr>
          <w:rFonts w:ascii="Arial" w:hAnsi="Arial" w:cs="Arial"/>
          <w:sz w:val="20"/>
          <w:szCs w:val="20"/>
          <w:lang w:val="en-US"/>
        </w:rPr>
        <w:t>) +</w:t>
      </w:r>
      <w:r w:rsidRPr="00F16EBC">
        <w:rPr>
          <w:rFonts w:ascii="Arial" w:hAnsi="Arial" w:cs="Arial"/>
          <w:sz w:val="20"/>
          <w:szCs w:val="20"/>
          <w:vertAlign w:val="subscript"/>
          <w:lang w:val="en-US"/>
        </w:rPr>
        <w:t xml:space="preserve"> </w:t>
      </w:r>
      <w:r w:rsidRPr="00F16EBC">
        <w:rPr>
          <w:rFonts w:ascii="Arial" w:hAnsi="Arial" w:cs="Arial"/>
          <w:sz w:val="20"/>
          <w:szCs w:val="20"/>
          <w:lang w:val="en-US"/>
        </w:rPr>
        <w:t xml:space="preserve"> </w:t>
      </w:r>
      <w:r w:rsidRPr="00F16EBC">
        <w:rPr>
          <w:rFonts w:ascii="Arial" w:hAnsi="Arial" w:cs="Arial"/>
          <w:sz w:val="20"/>
          <w:szCs w:val="20"/>
        </w:rPr>
        <w:t>β</w:t>
      </w:r>
      <w:r>
        <w:rPr>
          <w:rFonts w:ascii="Arial" w:hAnsi="Arial" w:cs="Arial"/>
          <w:sz w:val="20"/>
          <w:szCs w:val="20"/>
          <w:vertAlign w:val="subscript"/>
          <w:lang w:val="en-US"/>
        </w:rPr>
        <w:t>11</w:t>
      </w:r>
      <w:r w:rsidRPr="00F16EBC">
        <w:rPr>
          <w:rFonts w:ascii="Arial" w:hAnsi="Arial" w:cs="Arial"/>
          <w:sz w:val="20"/>
          <w:szCs w:val="20"/>
          <w:vertAlign w:val="subscript"/>
          <w:lang w:val="en-US"/>
        </w:rPr>
        <w:t>*</w:t>
      </w:r>
      <w:r w:rsidRPr="00F16EBC">
        <w:rPr>
          <w:rFonts w:ascii="Arial" w:hAnsi="Arial" w:cs="Arial"/>
          <w:sz w:val="20"/>
          <w:szCs w:val="20"/>
          <w:lang w:val="en-US"/>
        </w:rPr>
        <w:t>sin(6*Pi*t/52.17)</w:t>
      </w:r>
      <w:r w:rsidRPr="00F16EBC">
        <w:rPr>
          <w:rFonts w:ascii="Arial" w:hAnsi="Arial" w:cs="Arial"/>
          <w:sz w:val="20"/>
          <w:szCs w:val="20"/>
          <w:vertAlign w:val="subscript"/>
          <w:lang w:val="en-US"/>
        </w:rPr>
        <w:t xml:space="preserve"> </w:t>
      </w:r>
      <w:r w:rsidRPr="00F16EBC">
        <w:rPr>
          <w:rFonts w:ascii="Arial" w:hAnsi="Arial" w:cs="Arial"/>
          <w:sz w:val="20"/>
          <w:szCs w:val="20"/>
          <w:lang w:val="en-US"/>
        </w:rPr>
        <w:t xml:space="preserve">+ </w:t>
      </w:r>
      <w:r w:rsidRPr="00F16EBC">
        <w:rPr>
          <w:rFonts w:ascii="Arial" w:hAnsi="Arial" w:cs="Arial"/>
          <w:sz w:val="20"/>
          <w:szCs w:val="20"/>
        </w:rPr>
        <w:t>β</w:t>
      </w:r>
      <w:r>
        <w:rPr>
          <w:rFonts w:ascii="Arial" w:hAnsi="Arial" w:cs="Arial"/>
          <w:sz w:val="20"/>
          <w:szCs w:val="20"/>
          <w:vertAlign w:val="subscript"/>
          <w:lang w:val="en-US"/>
        </w:rPr>
        <w:t>12</w:t>
      </w:r>
      <w:r w:rsidRPr="00F16EBC">
        <w:rPr>
          <w:rFonts w:ascii="Arial" w:hAnsi="Arial" w:cs="Arial"/>
          <w:sz w:val="20"/>
          <w:szCs w:val="20"/>
          <w:vertAlign w:val="subscript"/>
          <w:lang w:val="en-US"/>
        </w:rPr>
        <w:t>*</w:t>
      </w:r>
      <w:proofErr w:type="spellStart"/>
      <w:r w:rsidRPr="00F16EBC">
        <w:rPr>
          <w:rFonts w:ascii="Arial" w:hAnsi="Arial" w:cs="Arial"/>
          <w:sz w:val="20"/>
          <w:szCs w:val="20"/>
          <w:lang w:val="en-US"/>
        </w:rPr>
        <w:t>cos</w:t>
      </w:r>
      <w:proofErr w:type="spellEnd"/>
      <w:r w:rsidRPr="00F16EBC">
        <w:rPr>
          <w:rFonts w:ascii="Arial" w:hAnsi="Arial" w:cs="Arial"/>
          <w:sz w:val="20"/>
          <w:szCs w:val="20"/>
          <w:lang w:val="en-US"/>
        </w:rPr>
        <w:t>(6*Pi*t/52.17)</w:t>
      </w:r>
      <w:r w:rsidRPr="00F16EBC">
        <w:rPr>
          <w:rFonts w:ascii="Arial" w:hAnsi="Arial" w:cs="Arial"/>
          <w:sz w:val="20"/>
          <w:szCs w:val="20"/>
          <w:vertAlign w:val="subscript"/>
          <w:lang w:val="en-US"/>
        </w:rPr>
        <w:t xml:space="preserve"> </w:t>
      </w:r>
      <w:r w:rsidRPr="00F16EBC">
        <w:rPr>
          <w:rFonts w:ascii="Arial" w:hAnsi="Arial" w:cs="Arial"/>
          <w:sz w:val="20"/>
          <w:szCs w:val="20"/>
          <w:lang w:val="en-US"/>
        </w:rPr>
        <w:t xml:space="preserve"> +</w:t>
      </w:r>
      <w:r w:rsidRPr="00F16EBC">
        <w:rPr>
          <w:rFonts w:ascii="Arial" w:hAnsi="Arial" w:cs="Arial"/>
          <w:sz w:val="20"/>
          <w:szCs w:val="20"/>
          <w:vertAlign w:val="subscript"/>
          <w:lang w:val="en-US"/>
        </w:rPr>
        <w:t xml:space="preserve"> </w:t>
      </w:r>
      <w:r w:rsidRPr="00F16EBC">
        <w:rPr>
          <w:rFonts w:ascii="Arial" w:hAnsi="Arial" w:cs="Arial"/>
          <w:sz w:val="20"/>
          <w:szCs w:val="20"/>
          <w:lang w:val="en-US"/>
        </w:rPr>
        <w:t xml:space="preserve"> </w:t>
      </w:r>
      <w:r w:rsidRPr="00F16EBC">
        <w:rPr>
          <w:rFonts w:ascii="Arial" w:hAnsi="Arial" w:cs="Arial"/>
          <w:sz w:val="20"/>
          <w:szCs w:val="20"/>
        </w:rPr>
        <w:t>β</w:t>
      </w:r>
      <w:r>
        <w:rPr>
          <w:rFonts w:ascii="Arial" w:hAnsi="Arial" w:cs="Arial"/>
          <w:sz w:val="20"/>
          <w:szCs w:val="20"/>
          <w:vertAlign w:val="subscript"/>
          <w:lang w:val="en-US"/>
        </w:rPr>
        <w:t>13</w:t>
      </w:r>
      <w:r w:rsidRPr="00F16EBC">
        <w:rPr>
          <w:rFonts w:ascii="Arial" w:hAnsi="Arial" w:cs="Arial"/>
          <w:sz w:val="20"/>
          <w:szCs w:val="20"/>
          <w:vertAlign w:val="subscript"/>
          <w:lang w:val="en-US"/>
        </w:rPr>
        <w:t>*</w:t>
      </w:r>
      <w:r w:rsidRPr="00F16EBC">
        <w:rPr>
          <w:rFonts w:ascii="Arial" w:hAnsi="Arial" w:cs="Arial"/>
          <w:sz w:val="20"/>
          <w:szCs w:val="20"/>
          <w:lang w:val="en-US"/>
        </w:rPr>
        <w:t>sin(8*Pi*t/52.17)</w:t>
      </w:r>
      <w:r w:rsidRPr="00F16EBC">
        <w:rPr>
          <w:rFonts w:ascii="Arial" w:hAnsi="Arial" w:cs="Arial"/>
          <w:sz w:val="20"/>
          <w:szCs w:val="20"/>
          <w:vertAlign w:val="subscript"/>
          <w:lang w:val="en-US"/>
        </w:rPr>
        <w:t xml:space="preserve"> </w:t>
      </w:r>
      <w:r w:rsidRPr="00F16EBC">
        <w:rPr>
          <w:rFonts w:ascii="Arial" w:hAnsi="Arial" w:cs="Arial"/>
          <w:sz w:val="20"/>
          <w:szCs w:val="20"/>
          <w:lang w:val="en-US"/>
        </w:rPr>
        <w:t xml:space="preserve">+ </w:t>
      </w:r>
      <w:r w:rsidRPr="00F16EBC">
        <w:rPr>
          <w:rFonts w:ascii="Arial" w:hAnsi="Arial" w:cs="Arial"/>
          <w:sz w:val="20"/>
          <w:szCs w:val="20"/>
        </w:rPr>
        <w:t>β</w:t>
      </w:r>
      <w:r>
        <w:rPr>
          <w:rFonts w:ascii="Arial" w:hAnsi="Arial" w:cs="Arial"/>
          <w:sz w:val="20"/>
          <w:szCs w:val="20"/>
          <w:vertAlign w:val="subscript"/>
          <w:lang w:val="en-US"/>
        </w:rPr>
        <w:t>14</w:t>
      </w:r>
      <w:r w:rsidRPr="00F16EBC">
        <w:rPr>
          <w:rFonts w:ascii="Arial" w:hAnsi="Arial" w:cs="Arial"/>
          <w:sz w:val="20"/>
          <w:szCs w:val="20"/>
          <w:vertAlign w:val="subscript"/>
          <w:lang w:val="en-US"/>
        </w:rPr>
        <w:t>*</w:t>
      </w:r>
      <w:proofErr w:type="spellStart"/>
      <w:r w:rsidRPr="00F16EBC">
        <w:rPr>
          <w:rFonts w:ascii="Arial" w:hAnsi="Arial" w:cs="Arial"/>
          <w:sz w:val="20"/>
          <w:szCs w:val="20"/>
          <w:lang w:val="en-US"/>
        </w:rPr>
        <w:t>cos</w:t>
      </w:r>
      <w:proofErr w:type="spellEnd"/>
      <w:r w:rsidRPr="00F16EBC">
        <w:rPr>
          <w:rFonts w:ascii="Arial" w:hAnsi="Arial" w:cs="Arial"/>
          <w:sz w:val="20"/>
          <w:szCs w:val="20"/>
          <w:lang w:val="en-US"/>
        </w:rPr>
        <w:t>(8*Pi*t/52.17)</w:t>
      </w:r>
      <w:r w:rsidRPr="00F16EBC">
        <w:rPr>
          <w:rFonts w:ascii="Arial" w:hAnsi="Arial" w:cs="Arial"/>
          <w:sz w:val="20"/>
          <w:szCs w:val="20"/>
          <w:vertAlign w:val="subscript"/>
          <w:lang w:val="en-US"/>
        </w:rPr>
        <w:t xml:space="preserve"> </w:t>
      </w:r>
      <w:r w:rsidRPr="00F16EBC">
        <w:rPr>
          <w:rFonts w:ascii="Arial" w:hAnsi="Arial" w:cs="Arial"/>
          <w:sz w:val="20"/>
          <w:szCs w:val="20"/>
          <w:lang w:val="en-US"/>
        </w:rPr>
        <w:t xml:space="preserve"> +</w:t>
      </w:r>
      <w:r w:rsidRPr="00F16EBC">
        <w:rPr>
          <w:rFonts w:ascii="Arial" w:hAnsi="Arial" w:cs="Arial"/>
          <w:sz w:val="20"/>
          <w:szCs w:val="20"/>
          <w:vertAlign w:val="subscript"/>
          <w:lang w:val="en-US"/>
        </w:rPr>
        <w:t xml:space="preserve"> </w:t>
      </w:r>
      <w:r w:rsidRPr="00F16EBC">
        <w:rPr>
          <w:rFonts w:ascii="Arial" w:hAnsi="Arial" w:cs="Arial"/>
          <w:sz w:val="20"/>
          <w:szCs w:val="20"/>
          <w:lang w:val="en-US"/>
        </w:rPr>
        <w:t xml:space="preserve"> </w:t>
      </w:r>
      <w:r w:rsidRPr="00F16EBC">
        <w:rPr>
          <w:rFonts w:ascii="Arial" w:hAnsi="Arial" w:cs="Arial"/>
          <w:sz w:val="20"/>
          <w:szCs w:val="20"/>
        </w:rPr>
        <w:t>β</w:t>
      </w:r>
      <w:r>
        <w:rPr>
          <w:rFonts w:ascii="Arial" w:hAnsi="Arial" w:cs="Arial"/>
          <w:sz w:val="20"/>
          <w:szCs w:val="20"/>
          <w:vertAlign w:val="subscript"/>
          <w:lang w:val="en-US"/>
        </w:rPr>
        <w:t>15</w:t>
      </w:r>
      <w:r w:rsidRPr="00F16EBC">
        <w:rPr>
          <w:rFonts w:ascii="Arial" w:hAnsi="Arial" w:cs="Arial"/>
          <w:sz w:val="20"/>
          <w:szCs w:val="20"/>
          <w:vertAlign w:val="subscript"/>
          <w:lang w:val="en-US"/>
        </w:rPr>
        <w:t>*</w:t>
      </w:r>
      <w:r w:rsidRPr="00F16EBC">
        <w:rPr>
          <w:rFonts w:ascii="Arial" w:hAnsi="Arial" w:cs="Arial"/>
          <w:sz w:val="20"/>
          <w:szCs w:val="20"/>
          <w:lang w:val="en-US"/>
        </w:rPr>
        <w:t>sin(10*Pi*t/52.17)</w:t>
      </w:r>
      <w:r w:rsidRPr="00F16EBC">
        <w:rPr>
          <w:rFonts w:ascii="Arial" w:hAnsi="Arial" w:cs="Arial"/>
          <w:sz w:val="20"/>
          <w:szCs w:val="20"/>
          <w:vertAlign w:val="subscript"/>
          <w:lang w:val="en-US"/>
        </w:rPr>
        <w:t xml:space="preserve"> </w:t>
      </w:r>
      <w:r w:rsidRPr="00F16EBC">
        <w:rPr>
          <w:rFonts w:ascii="Arial" w:hAnsi="Arial" w:cs="Arial"/>
          <w:sz w:val="20"/>
          <w:szCs w:val="20"/>
          <w:lang w:val="en-US"/>
        </w:rPr>
        <w:t xml:space="preserve">+ </w:t>
      </w:r>
      <w:r w:rsidRPr="00F16EBC">
        <w:rPr>
          <w:rFonts w:ascii="Arial" w:hAnsi="Arial" w:cs="Arial"/>
          <w:sz w:val="20"/>
          <w:szCs w:val="20"/>
        </w:rPr>
        <w:t>β</w:t>
      </w:r>
      <w:r w:rsidRPr="00F16EBC">
        <w:rPr>
          <w:rFonts w:ascii="Arial" w:hAnsi="Arial" w:cs="Arial"/>
          <w:sz w:val="20"/>
          <w:szCs w:val="20"/>
          <w:vertAlign w:val="subscript"/>
          <w:lang w:val="en-US"/>
        </w:rPr>
        <w:t>1</w:t>
      </w:r>
      <w:r>
        <w:rPr>
          <w:rFonts w:ascii="Arial" w:hAnsi="Arial" w:cs="Arial"/>
          <w:sz w:val="20"/>
          <w:szCs w:val="20"/>
          <w:vertAlign w:val="subscript"/>
          <w:lang w:val="en-US"/>
        </w:rPr>
        <w:t>6</w:t>
      </w:r>
      <w:r w:rsidRPr="00F16EBC">
        <w:rPr>
          <w:rFonts w:ascii="Arial" w:hAnsi="Arial" w:cs="Arial"/>
          <w:sz w:val="20"/>
          <w:szCs w:val="20"/>
          <w:vertAlign w:val="subscript"/>
          <w:lang w:val="en-US"/>
        </w:rPr>
        <w:t>*</w:t>
      </w:r>
      <w:proofErr w:type="spellStart"/>
      <w:r w:rsidRPr="00F16EBC">
        <w:rPr>
          <w:rFonts w:ascii="Arial" w:hAnsi="Arial" w:cs="Arial"/>
          <w:sz w:val="20"/>
          <w:szCs w:val="20"/>
          <w:lang w:val="en-US"/>
        </w:rPr>
        <w:t>cos</w:t>
      </w:r>
      <w:proofErr w:type="spellEnd"/>
      <w:r w:rsidRPr="00F16EBC">
        <w:rPr>
          <w:rFonts w:ascii="Arial" w:hAnsi="Arial" w:cs="Arial"/>
          <w:sz w:val="20"/>
          <w:szCs w:val="20"/>
          <w:lang w:val="en-US"/>
        </w:rPr>
        <w:t>(10*Pi*t/52.17)</w:t>
      </w:r>
      <w:r w:rsidRPr="00F16EBC">
        <w:rPr>
          <w:rFonts w:ascii="Arial" w:hAnsi="Arial" w:cs="Arial"/>
          <w:sz w:val="20"/>
          <w:szCs w:val="20"/>
          <w:vertAlign w:val="subscript"/>
          <w:lang w:val="en-US"/>
        </w:rPr>
        <w:t xml:space="preserve"> </w:t>
      </w:r>
      <w:r w:rsidRPr="00F16EBC">
        <w:rPr>
          <w:rFonts w:ascii="Arial" w:hAnsi="Arial" w:cs="Arial"/>
          <w:sz w:val="20"/>
          <w:szCs w:val="20"/>
          <w:lang w:val="en-US"/>
        </w:rPr>
        <w:t xml:space="preserve"> + </w:t>
      </w:r>
      <w:r w:rsidRPr="00F16EBC">
        <w:rPr>
          <w:rFonts w:ascii="Arial" w:hAnsi="Arial" w:cs="Arial"/>
          <w:sz w:val="20"/>
          <w:szCs w:val="20"/>
        </w:rPr>
        <w:t>β</w:t>
      </w:r>
      <w:r>
        <w:rPr>
          <w:rFonts w:ascii="Arial" w:hAnsi="Arial" w:cs="Arial"/>
          <w:sz w:val="20"/>
          <w:szCs w:val="20"/>
          <w:vertAlign w:val="subscript"/>
          <w:lang w:val="en-US"/>
        </w:rPr>
        <w:t>17</w:t>
      </w:r>
      <w:r w:rsidRPr="00F16EBC">
        <w:rPr>
          <w:rFonts w:ascii="Arial" w:hAnsi="Arial" w:cs="Arial"/>
          <w:sz w:val="20"/>
          <w:szCs w:val="20"/>
          <w:vertAlign w:val="subscript"/>
          <w:lang w:val="en-US"/>
        </w:rPr>
        <w:t>*</w:t>
      </w:r>
      <w:r w:rsidRPr="00F16EBC">
        <w:rPr>
          <w:rFonts w:ascii="Arial" w:hAnsi="Arial" w:cs="Arial"/>
          <w:sz w:val="20"/>
          <w:szCs w:val="20"/>
          <w:lang w:val="en-US"/>
        </w:rPr>
        <w:t>sin(12*Pi*t/52.17)</w:t>
      </w:r>
      <w:r w:rsidRPr="00F16EBC">
        <w:rPr>
          <w:rFonts w:ascii="Arial" w:hAnsi="Arial" w:cs="Arial"/>
          <w:sz w:val="20"/>
          <w:szCs w:val="20"/>
          <w:vertAlign w:val="subscript"/>
          <w:lang w:val="en-US"/>
        </w:rPr>
        <w:t xml:space="preserve"> </w:t>
      </w:r>
      <w:r w:rsidRPr="00F16EBC">
        <w:rPr>
          <w:rFonts w:ascii="Arial" w:hAnsi="Arial" w:cs="Arial"/>
          <w:sz w:val="20"/>
          <w:szCs w:val="20"/>
          <w:lang w:val="en-US"/>
        </w:rPr>
        <w:t xml:space="preserve">+ </w:t>
      </w:r>
      <w:r w:rsidRPr="00F16EBC">
        <w:rPr>
          <w:rFonts w:ascii="Arial" w:hAnsi="Arial" w:cs="Arial"/>
          <w:sz w:val="20"/>
          <w:szCs w:val="20"/>
        </w:rPr>
        <w:t>β</w:t>
      </w:r>
      <w:r>
        <w:rPr>
          <w:rFonts w:ascii="Arial" w:hAnsi="Arial" w:cs="Arial"/>
          <w:sz w:val="20"/>
          <w:szCs w:val="20"/>
          <w:vertAlign w:val="subscript"/>
          <w:lang w:val="en-US"/>
        </w:rPr>
        <w:t>18</w:t>
      </w:r>
      <w:r w:rsidRPr="00F16EBC">
        <w:rPr>
          <w:rFonts w:ascii="Arial" w:hAnsi="Arial" w:cs="Arial"/>
          <w:sz w:val="20"/>
          <w:szCs w:val="20"/>
          <w:vertAlign w:val="subscript"/>
          <w:lang w:val="en-US"/>
        </w:rPr>
        <w:t>*</w:t>
      </w:r>
      <w:proofErr w:type="spellStart"/>
      <w:r w:rsidRPr="00F16EBC">
        <w:rPr>
          <w:rFonts w:ascii="Arial" w:hAnsi="Arial" w:cs="Arial"/>
          <w:sz w:val="20"/>
          <w:szCs w:val="20"/>
          <w:lang w:val="en-US"/>
        </w:rPr>
        <w:t>cos</w:t>
      </w:r>
      <w:proofErr w:type="spellEnd"/>
      <w:r w:rsidRPr="00F16EBC">
        <w:rPr>
          <w:rFonts w:ascii="Arial" w:hAnsi="Arial" w:cs="Arial"/>
          <w:sz w:val="20"/>
          <w:szCs w:val="20"/>
          <w:lang w:val="en-US"/>
        </w:rPr>
        <w:t>(12*Pi*t/52.17)</w:t>
      </w:r>
      <w:r w:rsidRPr="00F16EBC">
        <w:rPr>
          <w:rFonts w:ascii="Arial" w:hAnsi="Arial" w:cs="Arial"/>
          <w:sz w:val="20"/>
          <w:szCs w:val="20"/>
          <w:vertAlign w:val="subscript"/>
          <w:lang w:val="en-US"/>
        </w:rPr>
        <w:t xml:space="preserve"> </w:t>
      </w:r>
      <w:r w:rsidRPr="00F16EBC">
        <w:rPr>
          <w:rFonts w:ascii="Arial" w:hAnsi="Arial" w:cs="Arial"/>
          <w:sz w:val="20"/>
          <w:szCs w:val="20"/>
          <w:lang w:val="en-US"/>
        </w:rPr>
        <w:t xml:space="preserve"> </w:t>
      </w:r>
    </w:p>
    <w:p w:rsidR="00DD528C" w:rsidRDefault="00DD528C" w:rsidP="001A2260">
      <w:pPr>
        <w:spacing w:line="480" w:lineRule="auto"/>
        <w:rPr>
          <w:rFonts w:ascii="Arial" w:hAnsi="Arial" w:cs="Arial"/>
          <w:color w:val="000000"/>
          <w:sz w:val="20"/>
          <w:szCs w:val="20"/>
          <w:lang w:val="en-US"/>
        </w:rPr>
      </w:pPr>
      <w:r w:rsidRPr="00F16EBC">
        <w:rPr>
          <w:rFonts w:ascii="Arial" w:hAnsi="Arial" w:cs="Arial"/>
          <w:color w:val="000000"/>
          <w:sz w:val="20"/>
          <w:szCs w:val="20"/>
          <w:lang w:val="en-US"/>
        </w:rPr>
        <w:t xml:space="preserve">Where </w:t>
      </w:r>
      <w:proofErr w:type="spellStart"/>
      <w:r w:rsidRPr="00F16EBC">
        <w:rPr>
          <w:rFonts w:ascii="Arial" w:hAnsi="Arial" w:cs="Arial"/>
          <w:color w:val="000000"/>
          <w:sz w:val="20"/>
          <w:szCs w:val="20"/>
          <w:lang w:val="en-US"/>
        </w:rPr>
        <w:t>Y</w:t>
      </w:r>
      <w:r w:rsidRPr="00F16EBC">
        <w:rPr>
          <w:rFonts w:ascii="Arial" w:hAnsi="Arial" w:cs="Arial"/>
          <w:color w:val="000000"/>
          <w:sz w:val="20"/>
          <w:szCs w:val="20"/>
          <w:vertAlign w:val="subscript"/>
          <w:lang w:val="en-US"/>
        </w:rPr>
        <w:t>t</w:t>
      </w:r>
      <w:proofErr w:type="spellEnd"/>
      <w:r w:rsidRPr="00F16EBC">
        <w:rPr>
          <w:rFonts w:ascii="Arial" w:hAnsi="Arial" w:cs="Arial"/>
          <w:color w:val="000000"/>
          <w:sz w:val="20"/>
          <w:szCs w:val="20"/>
          <w:lang w:val="en-US"/>
        </w:rPr>
        <w:t xml:space="preserve"> represents weekly number of respiratory deaths for a specific age group and cause of death</w:t>
      </w:r>
      <w:r>
        <w:rPr>
          <w:rFonts w:ascii="Arial" w:hAnsi="Arial" w:cs="Arial"/>
          <w:color w:val="000000"/>
          <w:sz w:val="20"/>
          <w:szCs w:val="20"/>
          <w:lang w:val="en-US"/>
        </w:rPr>
        <w:t xml:space="preserve"> at week</w:t>
      </w:r>
      <w:r w:rsidRPr="00F16EBC">
        <w:rPr>
          <w:rFonts w:ascii="Arial" w:hAnsi="Arial" w:cs="Arial"/>
          <w:color w:val="000000"/>
          <w:sz w:val="20"/>
          <w:szCs w:val="20"/>
          <w:lang w:val="en-US"/>
        </w:rPr>
        <w:t xml:space="preserve"> t, </w:t>
      </w:r>
      <w:r>
        <w:rPr>
          <w:rFonts w:ascii="Arial" w:hAnsi="Arial" w:cs="Arial"/>
          <w:color w:val="000000"/>
          <w:sz w:val="20"/>
          <w:szCs w:val="20"/>
          <w:lang w:val="en-US"/>
        </w:rPr>
        <w:t xml:space="preserve">Pop is a population offset, t. </w:t>
      </w:r>
      <w:r w:rsidRPr="00F16EBC">
        <w:rPr>
          <w:rFonts w:ascii="Arial" w:hAnsi="Arial" w:cs="Arial"/>
          <w:color w:val="000000"/>
          <w:sz w:val="20"/>
          <w:szCs w:val="20"/>
          <w:lang w:val="en-US"/>
        </w:rPr>
        <w:t>t</w:t>
      </w:r>
      <w:r w:rsidRPr="00AD00AA">
        <w:rPr>
          <w:rFonts w:ascii="Arial" w:hAnsi="Arial" w:cs="Arial"/>
          <w:color w:val="000000"/>
          <w:sz w:val="20"/>
          <w:szCs w:val="20"/>
          <w:vertAlign w:val="superscript"/>
          <w:lang w:val="en-US"/>
        </w:rPr>
        <w:t>2</w:t>
      </w:r>
      <w:r w:rsidRPr="00F16EBC">
        <w:rPr>
          <w:rFonts w:ascii="Arial" w:hAnsi="Arial" w:cs="Arial"/>
          <w:color w:val="000000"/>
          <w:sz w:val="20"/>
          <w:szCs w:val="20"/>
          <w:lang w:val="en-US"/>
        </w:rPr>
        <w:t xml:space="preserve"> and t</w:t>
      </w:r>
      <w:r w:rsidRPr="00AD00AA">
        <w:rPr>
          <w:rFonts w:ascii="Arial" w:hAnsi="Arial" w:cs="Arial"/>
          <w:color w:val="000000"/>
          <w:sz w:val="20"/>
          <w:szCs w:val="20"/>
          <w:vertAlign w:val="superscript"/>
          <w:lang w:val="en-US"/>
        </w:rPr>
        <w:t>3</w:t>
      </w:r>
      <w:r w:rsidRPr="00F16EBC">
        <w:rPr>
          <w:rFonts w:ascii="Arial" w:hAnsi="Arial" w:cs="Arial"/>
          <w:color w:val="000000"/>
          <w:sz w:val="20"/>
          <w:szCs w:val="20"/>
          <w:lang w:val="en-US"/>
        </w:rPr>
        <w:t xml:space="preserve"> are </w:t>
      </w:r>
      <w:r>
        <w:rPr>
          <w:rFonts w:ascii="Arial" w:hAnsi="Arial" w:cs="Arial"/>
          <w:color w:val="000000"/>
          <w:sz w:val="20"/>
          <w:szCs w:val="20"/>
          <w:lang w:val="en-US"/>
        </w:rPr>
        <w:t xml:space="preserve">linear, quadratic and cubic </w:t>
      </w:r>
      <w:r w:rsidRPr="00F16EBC">
        <w:rPr>
          <w:rFonts w:ascii="Arial" w:hAnsi="Arial" w:cs="Arial"/>
          <w:color w:val="000000"/>
          <w:sz w:val="20"/>
          <w:szCs w:val="20"/>
          <w:lang w:val="en-US"/>
        </w:rPr>
        <w:t xml:space="preserve">terms for time trend, sin and </w:t>
      </w:r>
      <w:proofErr w:type="spellStart"/>
      <w:r w:rsidRPr="00F16EBC">
        <w:rPr>
          <w:rFonts w:ascii="Arial" w:hAnsi="Arial" w:cs="Arial"/>
          <w:color w:val="000000"/>
          <w:sz w:val="20"/>
          <w:szCs w:val="20"/>
          <w:lang w:val="en-US"/>
        </w:rPr>
        <w:t>cos</w:t>
      </w:r>
      <w:proofErr w:type="spellEnd"/>
      <w:r w:rsidRPr="00F16EBC">
        <w:rPr>
          <w:rFonts w:ascii="Arial" w:hAnsi="Arial" w:cs="Arial"/>
          <w:color w:val="000000"/>
          <w:sz w:val="20"/>
          <w:szCs w:val="20"/>
          <w:lang w:val="en-US"/>
        </w:rPr>
        <w:t xml:space="preserve"> are harmonic terms representing seasonality, </w:t>
      </w:r>
      <w:proofErr w:type="spellStart"/>
      <w:r w:rsidRPr="00F16EBC">
        <w:rPr>
          <w:rFonts w:ascii="Arial" w:hAnsi="Arial" w:cs="Arial"/>
          <w:color w:val="000000"/>
          <w:sz w:val="20"/>
          <w:szCs w:val="20"/>
          <w:lang w:val="en-US"/>
        </w:rPr>
        <w:t>X</w:t>
      </w:r>
      <w:r w:rsidRPr="00F16EBC">
        <w:rPr>
          <w:rFonts w:ascii="Arial" w:hAnsi="Arial" w:cs="Arial"/>
          <w:color w:val="000000"/>
          <w:sz w:val="20"/>
          <w:szCs w:val="20"/>
          <w:vertAlign w:val="subscript"/>
          <w:lang w:val="en-US"/>
        </w:rPr>
        <w:t>flu</w:t>
      </w:r>
      <w:proofErr w:type="spellEnd"/>
      <w:r w:rsidRPr="00F16EBC">
        <w:rPr>
          <w:rFonts w:ascii="Arial" w:hAnsi="Arial" w:cs="Arial"/>
          <w:color w:val="000000"/>
          <w:sz w:val="20"/>
          <w:szCs w:val="20"/>
          <w:lang w:val="en-US"/>
        </w:rPr>
        <w:t xml:space="preserve"> represents </w:t>
      </w:r>
      <w:r>
        <w:rPr>
          <w:rFonts w:ascii="Arial" w:hAnsi="Arial" w:cs="Arial"/>
          <w:color w:val="000000"/>
          <w:sz w:val="20"/>
          <w:szCs w:val="20"/>
          <w:lang w:val="en-US"/>
        </w:rPr>
        <w:t xml:space="preserve">the lag or moving average of </w:t>
      </w:r>
      <w:r w:rsidRPr="00F16EBC">
        <w:rPr>
          <w:rFonts w:ascii="Arial" w:hAnsi="Arial" w:cs="Arial"/>
          <w:color w:val="000000"/>
          <w:sz w:val="20"/>
          <w:szCs w:val="20"/>
          <w:lang w:val="en-US"/>
        </w:rPr>
        <w:t>influenza activity</w:t>
      </w:r>
      <w:r>
        <w:rPr>
          <w:rFonts w:ascii="Arial" w:hAnsi="Arial" w:cs="Arial"/>
          <w:color w:val="000000"/>
          <w:sz w:val="20"/>
          <w:szCs w:val="20"/>
          <w:lang w:val="en-US"/>
        </w:rPr>
        <w:t xml:space="preserve"> indicator as explained below, and </w:t>
      </w:r>
      <w:proofErr w:type="spellStart"/>
      <w:r>
        <w:rPr>
          <w:rFonts w:ascii="Arial" w:hAnsi="Arial" w:cs="Arial"/>
          <w:color w:val="000000"/>
          <w:sz w:val="20"/>
          <w:szCs w:val="20"/>
          <w:lang w:val="en-US"/>
        </w:rPr>
        <w:t>Year_i</w:t>
      </w:r>
      <w:proofErr w:type="spellEnd"/>
      <w:r>
        <w:rPr>
          <w:rFonts w:ascii="Arial" w:hAnsi="Arial" w:cs="Arial"/>
          <w:color w:val="000000"/>
          <w:sz w:val="20"/>
          <w:szCs w:val="20"/>
          <w:lang w:val="en-US"/>
        </w:rPr>
        <w:t xml:space="preserve"> is a dummy variable representing each of the respiratory year studied, </w:t>
      </w:r>
      <w:proofErr w:type="spellStart"/>
      <w:r>
        <w:rPr>
          <w:rFonts w:ascii="Arial" w:hAnsi="Arial" w:cs="Arial"/>
          <w:color w:val="000000"/>
          <w:sz w:val="20"/>
          <w:szCs w:val="20"/>
          <w:lang w:val="en-US"/>
        </w:rPr>
        <w:t>i</w:t>
      </w:r>
      <w:proofErr w:type="spellEnd"/>
      <w:r>
        <w:rPr>
          <w:rFonts w:ascii="Arial" w:hAnsi="Arial" w:cs="Arial"/>
          <w:color w:val="000000"/>
          <w:sz w:val="20"/>
          <w:szCs w:val="20"/>
          <w:lang w:val="en-US"/>
        </w:rPr>
        <w:t>=1…13</w:t>
      </w:r>
      <w:r w:rsidRPr="00F16EBC">
        <w:rPr>
          <w:rFonts w:ascii="Arial" w:hAnsi="Arial" w:cs="Arial"/>
          <w:color w:val="000000"/>
          <w:sz w:val="20"/>
          <w:szCs w:val="20"/>
          <w:lang w:val="en-US"/>
        </w:rPr>
        <w:t xml:space="preserve">. Specifically, in the models using viral activity data, </w:t>
      </w:r>
      <w:proofErr w:type="spellStart"/>
      <w:r w:rsidRPr="00F16EBC">
        <w:rPr>
          <w:rFonts w:ascii="Arial" w:hAnsi="Arial" w:cs="Arial"/>
          <w:color w:val="000000"/>
          <w:sz w:val="20"/>
          <w:szCs w:val="20"/>
          <w:lang w:val="en-US"/>
        </w:rPr>
        <w:t>X</w:t>
      </w:r>
      <w:r w:rsidRPr="00622DCE">
        <w:rPr>
          <w:rFonts w:ascii="Arial" w:hAnsi="Arial" w:cs="Arial"/>
          <w:color w:val="000000"/>
          <w:sz w:val="20"/>
          <w:szCs w:val="20"/>
          <w:vertAlign w:val="subscript"/>
          <w:lang w:val="en-US"/>
        </w:rPr>
        <w:t>flu</w:t>
      </w:r>
      <w:proofErr w:type="spellEnd"/>
      <w:r>
        <w:rPr>
          <w:rFonts w:ascii="Arial" w:hAnsi="Arial" w:cs="Arial"/>
          <w:color w:val="000000"/>
          <w:sz w:val="20"/>
          <w:szCs w:val="20"/>
          <w:vertAlign w:val="subscript"/>
          <w:lang w:val="en-US"/>
        </w:rPr>
        <w:t>(t)</w:t>
      </w:r>
      <w:r w:rsidRPr="00622DCE">
        <w:rPr>
          <w:rFonts w:ascii="Arial" w:hAnsi="Arial" w:cs="Arial"/>
          <w:color w:val="000000"/>
          <w:sz w:val="20"/>
          <w:szCs w:val="20"/>
          <w:vertAlign w:val="subscript"/>
          <w:lang w:val="en-US"/>
        </w:rPr>
        <w:t xml:space="preserve"> </w:t>
      </w:r>
      <w:r w:rsidRPr="00F16EBC">
        <w:rPr>
          <w:rFonts w:ascii="Arial" w:hAnsi="Arial" w:cs="Arial"/>
          <w:color w:val="000000"/>
          <w:sz w:val="20"/>
          <w:szCs w:val="20"/>
          <w:lang w:val="en-US"/>
        </w:rPr>
        <w:t xml:space="preserve">corresponds to the weekly proportion of respiratory specimens testing positive for each influenza subtype. In models </w:t>
      </w:r>
      <w:r w:rsidRPr="00F16EBC">
        <w:rPr>
          <w:rFonts w:ascii="Arial" w:hAnsi="Arial" w:cs="Arial"/>
          <w:color w:val="000000"/>
          <w:sz w:val="20"/>
          <w:szCs w:val="20"/>
          <w:lang w:val="en-US"/>
        </w:rPr>
        <w:lastRenderedPageBreak/>
        <w:t xml:space="preserve">using ILI morbidity data, </w:t>
      </w:r>
      <w:proofErr w:type="spellStart"/>
      <w:r w:rsidRPr="00F16EBC">
        <w:rPr>
          <w:rFonts w:ascii="Arial" w:hAnsi="Arial" w:cs="Arial"/>
          <w:color w:val="000000"/>
          <w:sz w:val="20"/>
          <w:szCs w:val="20"/>
          <w:lang w:val="en-US"/>
        </w:rPr>
        <w:t>X</w:t>
      </w:r>
      <w:r w:rsidRPr="00F16EBC">
        <w:rPr>
          <w:rFonts w:ascii="Arial" w:hAnsi="Arial" w:cs="Arial"/>
          <w:color w:val="000000"/>
          <w:sz w:val="20"/>
          <w:szCs w:val="20"/>
          <w:vertAlign w:val="subscript"/>
          <w:lang w:val="en-US"/>
        </w:rPr>
        <w:t>flu</w:t>
      </w:r>
      <w:proofErr w:type="spellEnd"/>
      <w:r w:rsidRPr="00F16EBC">
        <w:rPr>
          <w:rFonts w:ascii="Arial" w:hAnsi="Arial" w:cs="Arial"/>
          <w:color w:val="000000"/>
          <w:sz w:val="20"/>
          <w:szCs w:val="20"/>
          <w:vertAlign w:val="subscript"/>
          <w:lang w:val="en-US"/>
        </w:rPr>
        <w:t xml:space="preserve"> </w:t>
      </w:r>
      <w:r w:rsidRPr="00F16EBC">
        <w:rPr>
          <w:rFonts w:ascii="Arial" w:hAnsi="Arial" w:cs="Arial"/>
          <w:color w:val="000000"/>
          <w:sz w:val="20"/>
          <w:szCs w:val="20"/>
          <w:lang w:val="en-US"/>
        </w:rPr>
        <w:t xml:space="preserve">corresponds to </w:t>
      </w:r>
      <w:r>
        <w:rPr>
          <w:rFonts w:ascii="Arial" w:hAnsi="Arial" w:cs="Arial"/>
          <w:color w:val="000000"/>
          <w:sz w:val="20"/>
          <w:szCs w:val="20"/>
          <w:lang w:val="en-US"/>
        </w:rPr>
        <w:t xml:space="preserve">the </w:t>
      </w:r>
      <w:r w:rsidRPr="00F16EBC">
        <w:rPr>
          <w:rFonts w:ascii="Arial" w:hAnsi="Arial" w:cs="Arial"/>
          <w:color w:val="000000"/>
          <w:sz w:val="20"/>
          <w:szCs w:val="20"/>
          <w:lang w:val="en-US"/>
        </w:rPr>
        <w:t>w</w:t>
      </w:r>
      <w:r w:rsidRPr="00F16EBC">
        <w:rPr>
          <w:rFonts w:ascii="Arial" w:hAnsi="Arial" w:cs="Arial"/>
          <w:sz w:val="20"/>
          <w:szCs w:val="20"/>
          <w:lang w:val="en-US"/>
        </w:rPr>
        <w:t>eekly</w:t>
      </w:r>
      <w:r w:rsidRPr="00F16EBC">
        <w:rPr>
          <w:rFonts w:ascii="WarnockPro-Regular" w:hAnsi="WarnockPro-Regular" w:cs="WarnockPro-Regular"/>
          <w:sz w:val="20"/>
          <w:szCs w:val="20"/>
          <w:lang w:val="en-US"/>
        </w:rPr>
        <w:t xml:space="preserve"> ILI incidence</w:t>
      </w:r>
      <w:r>
        <w:rPr>
          <w:rFonts w:ascii="WarnockPro-Regular" w:hAnsi="WarnockPro-Regular" w:cs="WarnockPro-Regular"/>
          <w:sz w:val="20"/>
          <w:szCs w:val="20"/>
          <w:lang w:val="en-US"/>
        </w:rPr>
        <w:t>, ILI(t)</w:t>
      </w:r>
      <w:r w:rsidRPr="00F16EBC">
        <w:rPr>
          <w:rFonts w:ascii="Arial" w:hAnsi="Arial" w:cs="Arial"/>
          <w:color w:val="000000"/>
          <w:sz w:val="20"/>
          <w:szCs w:val="20"/>
          <w:lang w:val="en-US"/>
        </w:rPr>
        <w:t>.</w:t>
      </w:r>
      <w:r>
        <w:rPr>
          <w:rFonts w:ascii="Arial" w:hAnsi="Arial" w:cs="Arial"/>
          <w:color w:val="000000"/>
          <w:sz w:val="20"/>
          <w:szCs w:val="20"/>
          <w:lang w:val="en-US"/>
        </w:rPr>
        <w:t xml:space="preserve"> </w:t>
      </w:r>
      <w:r w:rsidRPr="00F16EBC">
        <w:rPr>
          <w:rFonts w:ascii="Arial" w:hAnsi="Arial" w:cs="Arial"/>
          <w:color w:val="000000"/>
          <w:sz w:val="20"/>
          <w:szCs w:val="20"/>
          <w:lang w:val="en-US"/>
        </w:rPr>
        <w:t>In models</w:t>
      </w:r>
      <w:r>
        <w:rPr>
          <w:rFonts w:ascii="Arial" w:hAnsi="Arial" w:cs="Arial"/>
          <w:color w:val="000000"/>
          <w:sz w:val="20"/>
          <w:szCs w:val="20"/>
          <w:lang w:val="en-US"/>
        </w:rPr>
        <w:t xml:space="preserve"> combining influenza morbidity and viral surveillance</w:t>
      </w:r>
      <w:r w:rsidRPr="00F16EBC">
        <w:rPr>
          <w:rFonts w:ascii="Arial" w:hAnsi="Arial" w:cs="Arial"/>
          <w:color w:val="000000"/>
          <w:sz w:val="20"/>
          <w:szCs w:val="20"/>
          <w:lang w:val="en-US"/>
        </w:rPr>
        <w:t xml:space="preserve">, </w:t>
      </w:r>
      <w:proofErr w:type="spellStart"/>
      <w:r w:rsidRPr="00F16EBC">
        <w:rPr>
          <w:rFonts w:ascii="Arial" w:hAnsi="Arial" w:cs="Arial"/>
          <w:color w:val="000000"/>
          <w:sz w:val="20"/>
          <w:szCs w:val="20"/>
          <w:lang w:val="en-US"/>
        </w:rPr>
        <w:t>X</w:t>
      </w:r>
      <w:r w:rsidRPr="00F16EBC">
        <w:rPr>
          <w:rFonts w:ascii="Arial" w:hAnsi="Arial" w:cs="Arial"/>
          <w:color w:val="000000"/>
          <w:sz w:val="20"/>
          <w:szCs w:val="20"/>
          <w:vertAlign w:val="subscript"/>
          <w:lang w:val="en-US"/>
        </w:rPr>
        <w:t>flu</w:t>
      </w:r>
      <w:proofErr w:type="spellEnd"/>
      <w:r>
        <w:rPr>
          <w:rFonts w:ascii="Arial" w:hAnsi="Arial" w:cs="Arial"/>
          <w:color w:val="000000"/>
          <w:sz w:val="20"/>
          <w:szCs w:val="20"/>
          <w:vertAlign w:val="subscript"/>
          <w:lang w:val="en-US"/>
        </w:rPr>
        <w:t>(t)</w:t>
      </w:r>
      <w:r w:rsidRPr="00F16EBC">
        <w:rPr>
          <w:rFonts w:ascii="Arial" w:hAnsi="Arial" w:cs="Arial"/>
          <w:color w:val="000000"/>
          <w:sz w:val="20"/>
          <w:szCs w:val="20"/>
          <w:vertAlign w:val="subscript"/>
          <w:lang w:val="en-US"/>
        </w:rPr>
        <w:t xml:space="preserve"> </w:t>
      </w:r>
      <w:r w:rsidRPr="00F16EBC">
        <w:rPr>
          <w:rFonts w:ascii="Arial" w:hAnsi="Arial" w:cs="Arial"/>
          <w:color w:val="000000"/>
          <w:sz w:val="20"/>
          <w:szCs w:val="20"/>
          <w:lang w:val="en-US"/>
        </w:rPr>
        <w:t xml:space="preserve">corresponds to the incidence of </w:t>
      </w:r>
      <w:r>
        <w:rPr>
          <w:rFonts w:ascii="Arial" w:hAnsi="Arial" w:cs="Arial"/>
          <w:color w:val="000000"/>
          <w:sz w:val="20"/>
          <w:szCs w:val="20"/>
          <w:lang w:val="en-US"/>
        </w:rPr>
        <w:t xml:space="preserve"> ILI associated with</w:t>
      </w:r>
      <w:r w:rsidRPr="00F16EBC">
        <w:rPr>
          <w:rFonts w:ascii="Arial" w:hAnsi="Arial" w:cs="Arial"/>
          <w:color w:val="000000"/>
          <w:sz w:val="20"/>
          <w:szCs w:val="20"/>
          <w:lang w:val="en-US"/>
        </w:rPr>
        <w:t xml:space="preserve"> each influenza subtype, </w:t>
      </w:r>
      <w:r>
        <w:rPr>
          <w:rFonts w:ascii="Arial" w:hAnsi="Arial" w:cs="Arial"/>
          <w:color w:val="000000"/>
          <w:sz w:val="20"/>
          <w:szCs w:val="20"/>
          <w:lang w:val="en-US"/>
        </w:rPr>
        <w:t>ILI(t)*</w:t>
      </w:r>
      <w:proofErr w:type="spellStart"/>
      <w:r>
        <w:rPr>
          <w:rFonts w:ascii="Arial" w:hAnsi="Arial" w:cs="Arial"/>
          <w:color w:val="000000"/>
          <w:sz w:val="20"/>
          <w:szCs w:val="20"/>
          <w:lang w:val="en-US"/>
        </w:rPr>
        <w:t>weekly_percent_positive_subtype</w:t>
      </w:r>
      <w:proofErr w:type="spellEnd"/>
      <w:r>
        <w:rPr>
          <w:rFonts w:ascii="Arial" w:hAnsi="Arial" w:cs="Arial"/>
          <w:color w:val="000000"/>
          <w:sz w:val="20"/>
          <w:szCs w:val="20"/>
          <w:lang w:val="en-US"/>
        </w:rPr>
        <w:t xml:space="preserve">(t)) </w:t>
      </w:r>
      <w:r w:rsidRPr="00F16EBC">
        <w:rPr>
          <w:rFonts w:ascii="Arial" w:hAnsi="Arial" w:cs="Arial"/>
          <w:color w:val="000000"/>
          <w:sz w:val="20"/>
          <w:szCs w:val="20"/>
          <w:lang w:val="en-US"/>
        </w:rPr>
        <w:t xml:space="preserve">as described in </w:t>
      </w:r>
      <w:r>
        <w:rPr>
          <w:rFonts w:ascii="Arial" w:hAnsi="Arial" w:cs="Arial"/>
          <w:color w:val="000000"/>
          <w:sz w:val="20"/>
          <w:szCs w:val="20"/>
          <w:lang w:val="en-US"/>
        </w:rPr>
        <w:fldChar w:fldCharType="begin"/>
      </w:r>
      <w:r>
        <w:rPr>
          <w:rFonts w:ascii="Arial" w:hAnsi="Arial" w:cs="Arial"/>
          <w:color w:val="000000"/>
          <w:sz w:val="20"/>
          <w:szCs w:val="20"/>
          <w:lang w:val="en-US"/>
        </w:rPr>
        <w:instrText xml:space="preserve"> ADDIN EN.CITE &lt;EndNote&gt;&lt;Cite&gt;&lt;Author&gt;Goldstein&lt;/Author&gt;&lt;RecNum&gt;138&lt;/RecNum&gt;&lt;record&gt;&lt;rec-number&gt;138&lt;/rec-number&gt;&lt;ref-type name="Journal Article"&gt;17&lt;/ref-type&gt;&lt;contributors&gt;&lt;authors&gt;&lt;author&gt;Goldstein, E.&lt;/author&gt;&lt;author&gt;Cobey, S.&lt;/author&gt;&lt;author&gt;Takahashi, S.&lt;/author&gt;&lt;author&gt;Miller, J. C.&lt;/author&gt;&lt;author&gt;Lipsitch, M.&lt;/author&gt;&lt;/authors&gt;&lt;/contributors&gt;&lt;auth-address&gt;Center for Communicable Disease Dynamics, Department of Epidemiology, Harvard School of Public Health, Boston, Massachusetts, United States of America. egoldste@hsph.harvard.edu&lt;/auth-address&gt;&lt;titles&gt;&lt;title&gt;Predicting the epidemic sizes of influenza A/H1N1, A/H3N2, and B: a statistical method&lt;/title&gt;&lt;secondary-title&gt;PLoS Med&lt;/secondary-title&gt;&lt;/titles&gt;&lt;periodical&gt;&lt;full-title&gt;PLoS Med&lt;/full-title&gt;&lt;/periodical&gt;&lt;pages&gt;e1001051&lt;/pages&gt;&lt;volume&gt;8&lt;/volume&gt;&lt;number&gt;7&lt;/number&gt;&lt;keywords&gt;&lt;keyword&gt;Centers for Disease Control and Prevention (U.S.)&lt;/keyword&gt;&lt;keyword&gt;Epidemics/*statistics &amp;amp; numerical data&lt;/keyword&gt;&lt;keyword&gt;Forecasting&lt;/keyword&gt;&lt;keyword&gt;Humans&lt;/keyword&gt;&lt;keyword&gt;Incidence&lt;/keyword&gt;&lt;keyword&gt;Influenza A Virus, H1N1 Subtype/pathogenicity&lt;/keyword&gt;&lt;keyword&gt;Influenza A Virus, H3N2 Subtype/pathogenicity&lt;/keyword&gt;&lt;keyword&gt;Influenza B virus/pathogenicity&lt;/keyword&gt;&lt;keyword&gt;Influenza, Human/*epidemiology/virology&lt;/keyword&gt;&lt;keyword&gt;*Models, Statistical&lt;/keyword&gt;&lt;keyword&gt;Population Surveillance/*methods&lt;/keyword&gt;&lt;keyword&gt;Seasons&lt;/keyword&gt;&lt;keyword&gt;United States/epidemiology&lt;/keyword&gt;&lt;/keywords&gt;&lt;dates&gt;&lt;pub-dates&gt;&lt;date&gt;Jul&lt;/date&gt;&lt;/pub-dates&gt;&lt;/dates&gt;&lt;accession-num&gt;21750666&lt;/accession-num&gt;&lt;urls&gt;&lt;related-urls&gt;&lt;url&gt;http://www.ncbi.nlm.nih.gov/entrez/query.fcgi?cmd=Retrieve&amp;amp;db=PubMed&amp;amp;dopt=Citation&amp;amp;list_uids=21750666 &lt;/url&gt;&lt;/related-urls&gt;&lt;/urls&gt;&lt;/record&gt;&lt;/Cite&gt;&lt;/EndNote&gt;</w:instrText>
      </w:r>
      <w:r>
        <w:rPr>
          <w:rFonts w:ascii="Arial" w:hAnsi="Arial" w:cs="Arial"/>
          <w:color w:val="000000"/>
          <w:sz w:val="20"/>
          <w:szCs w:val="20"/>
          <w:lang w:val="en-US"/>
        </w:rPr>
        <w:fldChar w:fldCharType="separate"/>
      </w:r>
      <w:r w:rsidRPr="00F16EBC">
        <w:rPr>
          <w:rFonts w:ascii="Arial" w:hAnsi="Arial" w:cs="Arial"/>
          <w:noProof/>
          <w:color w:val="000000"/>
          <w:sz w:val="20"/>
          <w:szCs w:val="20"/>
          <w:lang w:val="en-US"/>
        </w:rPr>
        <w:t>[</w:t>
      </w:r>
      <w:hyperlink w:anchor="_ENREF_24" w:tooltip="Goldstein,  #124" w:history="1">
        <w:r w:rsidRPr="00F16EBC">
          <w:rPr>
            <w:rFonts w:ascii="Arial" w:hAnsi="Arial" w:cs="Arial"/>
            <w:noProof/>
            <w:color w:val="000000"/>
            <w:sz w:val="20"/>
            <w:szCs w:val="20"/>
            <w:lang w:val="en-US"/>
          </w:rPr>
          <w:t>24</w:t>
        </w:r>
      </w:hyperlink>
      <w:r w:rsidRPr="00F16EBC">
        <w:rPr>
          <w:rFonts w:ascii="Arial" w:hAnsi="Arial" w:cs="Arial"/>
          <w:noProof/>
          <w:color w:val="000000"/>
          <w:sz w:val="20"/>
          <w:szCs w:val="20"/>
          <w:lang w:val="en-US"/>
        </w:rPr>
        <w:t>]</w:t>
      </w:r>
      <w:r>
        <w:rPr>
          <w:rFonts w:ascii="Arial" w:hAnsi="Arial" w:cs="Arial"/>
          <w:color w:val="000000"/>
          <w:sz w:val="20"/>
          <w:szCs w:val="20"/>
          <w:lang w:val="en-US"/>
        </w:rPr>
        <w:fldChar w:fldCharType="end"/>
      </w:r>
      <w:r w:rsidRPr="00F16EBC">
        <w:rPr>
          <w:rFonts w:ascii="Arial" w:hAnsi="Arial" w:cs="Arial"/>
          <w:color w:val="000000"/>
          <w:sz w:val="20"/>
          <w:szCs w:val="20"/>
          <w:lang w:val="en-US"/>
        </w:rPr>
        <w:t>. Parameters (</w:t>
      </w:r>
      <w:r w:rsidRPr="00F16EBC">
        <w:rPr>
          <w:rFonts w:ascii="Arial" w:hAnsi="Arial" w:cs="Arial"/>
          <w:sz w:val="20"/>
          <w:szCs w:val="20"/>
        </w:rPr>
        <w:t>β</w:t>
      </w:r>
      <w:r w:rsidRPr="00F16EBC">
        <w:rPr>
          <w:rFonts w:ascii="Arial" w:hAnsi="Arial" w:cs="Arial"/>
          <w:sz w:val="20"/>
          <w:szCs w:val="20"/>
          <w:vertAlign w:val="subscript"/>
          <w:lang w:val="en-US"/>
        </w:rPr>
        <w:t>1-</w:t>
      </w:r>
      <w:r w:rsidRPr="00F16EBC">
        <w:rPr>
          <w:rFonts w:ascii="Arial" w:hAnsi="Arial" w:cs="Arial"/>
          <w:color w:val="000000"/>
          <w:sz w:val="20"/>
          <w:szCs w:val="20"/>
          <w:lang w:val="en-US"/>
        </w:rPr>
        <w:t xml:space="preserve"> </w:t>
      </w:r>
      <w:r w:rsidRPr="00F16EBC">
        <w:rPr>
          <w:rFonts w:ascii="Arial" w:hAnsi="Arial" w:cs="Arial"/>
          <w:sz w:val="20"/>
          <w:szCs w:val="20"/>
        </w:rPr>
        <w:t>β</w:t>
      </w:r>
      <w:r>
        <w:rPr>
          <w:rFonts w:ascii="Arial" w:hAnsi="Arial" w:cs="Arial"/>
          <w:sz w:val="20"/>
          <w:szCs w:val="20"/>
          <w:vertAlign w:val="subscript"/>
          <w:lang w:val="en-US"/>
        </w:rPr>
        <w:t>18</w:t>
      </w:r>
      <w:r w:rsidRPr="00F16EBC">
        <w:rPr>
          <w:rFonts w:ascii="Arial" w:hAnsi="Arial" w:cs="Arial"/>
          <w:sz w:val="20"/>
          <w:szCs w:val="20"/>
          <w:lang w:val="en-US"/>
        </w:rPr>
        <w:t xml:space="preserve">) </w:t>
      </w:r>
      <w:r w:rsidRPr="00F16EBC">
        <w:rPr>
          <w:rFonts w:ascii="Arial" w:hAnsi="Arial" w:cs="Arial"/>
          <w:color w:val="000000"/>
          <w:sz w:val="20"/>
          <w:szCs w:val="20"/>
          <w:lang w:val="en-US"/>
        </w:rPr>
        <w:t>were estimated using the maximum likelihood method.</w:t>
      </w:r>
    </w:p>
    <w:p w:rsidR="00DD528C" w:rsidRDefault="00DD528C" w:rsidP="001A2260">
      <w:pPr>
        <w:spacing w:line="480" w:lineRule="auto"/>
        <w:rPr>
          <w:rFonts w:ascii="Arial" w:hAnsi="Arial" w:cs="Arial"/>
          <w:color w:val="000000"/>
          <w:sz w:val="20"/>
          <w:szCs w:val="20"/>
          <w:lang w:val="en-US"/>
        </w:rPr>
      </w:pPr>
      <w:r>
        <w:rPr>
          <w:rFonts w:ascii="Arial" w:hAnsi="Arial" w:cs="Arial"/>
          <w:color w:val="000000"/>
          <w:sz w:val="20"/>
          <w:szCs w:val="20"/>
          <w:lang w:val="en-US"/>
        </w:rPr>
        <w:t>We tried various lags and moving averages of influenza activity proxies to account for the delay between infection and death, Specifically, if flu(t) is a proxy for influenza activity at week t (</w:t>
      </w:r>
      <w:proofErr w:type="spellStart"/>
      <w:r>
        <w:rPr>
          <w:rFonts w:ascii="Arial" w:hAnsi="Arial" w:cs="Arial"/>
          <w:color w:val="000000"/>
          <w:sz w:val="20"/>
          <w:szCs w:val="20"/>
          <w:lang w:val="en-US"/>
        </w:rPr>
        <w:t>ie</w:t>
      </w:r>
      <w:proofErr w:type="spellEnd"/>
      <w:r>
        <w:rPr>
          <w:rFonts w:ascii="Arial" w:hAnsi="Arial" w:cs="Arial"/>
          <w:color w:val="000000"/>
          <w:sz w:val="20"/>
          <w:szCs w:val="20"/>
          <w:lang w:val="en-US"/>
        </w:rPr>
        <w:t>, flu(t)= ILI(t),  flu(t)=</w:t>
      </w:r>
      <w:proofErr w:type="spellStart"/>
      <w:r>
        <w:rPr>
          <w:rFonts w:ascii="Arial" w:hAnsi="Arial" w:cs="Arial"/>
          <w:color w:val="000000"/>
          <w:sz w:val="20"/>
          <w:szCs w:val="20"/>
          <w:lang w:val="en-US"/>
        </w:rPr>
        <w:t>weekly_virus_percent_positive</w:t>
      </w:r>
      <w:proofErr w:type="spellEnd"/>
      <w:r>
        <w:rPr>
          <w:rFonts w:ascii="Arial" w:hAnsi="Arial" w:cs="Arial"/>
          <w:color w:val="000000"/>
          <w:sz w:val="20"/>
          <w:szCs w:val="20"/>
          <w:lang w:val="en-US"/>
        </w:rPr>
        <w:t>(t), or  flu(t)=ILI(t)*</w:t>
      </w:r>
      <w:proofErr w:type="spellStart"/>
      <w:r>
        <w:rPr>
          <w:rFonts w:ascii="Arial" w:hAnsi="Arial" w:cs="Arial"/>
          <w:color w:val="000000"/>
          <w:sz w:val="20"/>
          <w:szCs w:val="20"/>
          <w:lang w:val="en-US"/>
        </w:rPr>
        <w:t>weekly_percent_positive_subtype</w:t>
      </w:r>
      <w:proofErr w:type="spellEnd"/>
      <w:r>
        <w:rPr>
          <w:rFonts w:ascii="Arial" w:hAnsi="Arial" w:cs="Arial"/>
          <w:color w:val="000000"/>
          <w:sz w:val="20"/>
          <w:szCs w:val="20"/>
          <w:lang w:val="en-US"/>
        </w:rPr>
        <w:t>(t)), we tried:</w:t>
      </w:r>
    </w:p>
    <w:p w:rsidR="00DD528C" w:rsidRPr="00515AAD" w:rsidRDefault="00DD528C" w:rsidP="001A2260">
      <w:pPr>
        <w:spacing w:line="480" w:lineRule="auto"/>
        <w:rPr>
          <w:rFonts w:ascii="Arial" w:hAnsi="Arial" w:cs="Arial"/>
          <w:color w:val="000000"/>
          <w:sz w:val="20"/>
          <w:szCs w:val="20"/>
          <w:lang w:val="en-US"/>
        </w:rPr>
      </w:pPr>
      <w:r w:rsidRPr="00AD00AA">
        <w:rPr>
          <w:rFonts w:ascii="Arial" w:hAnsi="Arial" w:cs="Arial"/>
          <w:color w:val="000000"/>
          <w:sz w:val="20"/>
          <w:szCs w:val="20"/>
          <w:lang w:val="en-US"/>
        </w:rPr>
        <w:t>a) 0-3 week lags, following</w:t>
      </w:r>
      <w:r w:rsidRPr="00BE7C74">
        <w:rPr>
          <w:rFonts w:ascii="Arial" w:hAnsi="Arial" w:cs="Arial"/>
          <w:color w:val="000000"/>
          <w:sz w:val="20"/>
          <w:szCs w:val="20"/>
          <w:lang w:val="en-US"/>
        </w:rPr>
        <w:t> </w:t>
      </w:r>
      <w:r w:rsidRPr="00AD00AA">
        <w:rPr>
          <w:rFonts w:ascii="Arial" w:hAnsi="Arial" w:cs="Arial"/>
          <w:color w:val="000000"/>
          <w:sz w:val="20"/>
          <w:szCs w:val="20"/>
          <w:lang w:val="en-US"/>
        </w:rPr>
        <w:t>:</w:t>
      </w:r>
    </w:p>
    <w:p w:rsidR="00DD528C" w:rsidRPr="00AD00AA" w:rsidRDefault="00DD528C" w:rsidP="001A2260">
      <w:pPr>
        <w:spacing w:line="480" w:lineRule="auto"/>
        <w:rPr>
          <w:rFonts w:ascii="Arial" w:hAnsi="Arial" w:cs="Arial"/>
          <w:color w:val="000000"/>
          <w:sz w:val="20"/>
          <w:szCs w:val="20"/>
          <w:lang w:val="en-US"/>
        </w:rPr>
      </w:pPr>
      <w:proofErr w:type="spellStart"/>
      <w:r w:rsidRPr="00515AAD">
        <w:rPr>
          <w:rFonts w:ascii="Arial" w:hAnsi="Arial" w:cs="Arial"/>
          <w:color w:val="000000"/>
          <w:sz w:val="20"/>
          <w:szCs w:val="20"/>
          <w:lang w:val="en-US"/>
        </w:rPr>
        <w:t>X_flu</w:t>
      </w:r>
      <w:proofErr w:type="spellEnd"/>
      <w:r w:rsidRPr="00515AAD">
        <w:rPr>
          <w:rFonts w:ascii="Arial" w:hAnsi="Arial" w:cs="Arial"/>
          <w:color w:val="000000"/>
          <w:sz w:val="20"/>
          <w:szCs w:val="20"/>
          <w:lang w:val="en-US"/>
        </w:rPr>
        <w:t>(t)=flu(</w:t>
      </w:r>
      <w:r>
        <w:rPr>
          <w:rFonts w:ascii="Arial" w:hAnsi="Arial" w:cs="Arial"/>
          <w:color w:val="000000"/>
          <w:sz w:val="20"/>
          <w:szCs w:val="20"/>
          <w:lang w:val="en-US"/>
        </w:rPr>
        <w:t xml:space="preserve">t), </w:t>
      </w:r>
      <w:proofErr w:type="spellStart"/>
      <w:r w:rsidRPr="00AD00AA">
        <w:rPr>
          <w:rFonts w:ascii="Arial" w:hAnsi="Arial" w:cs="Arial"/>
          <w:color w:val="000000"/>
          <w:sz w:val="20"/>
          <w:szCs w:val="20"/>
          <w:lang w:val="en-US"/>
        </w:rPr>
        <w:t>X_flu</w:t>
      </w:r>
      <w:proofErr w:type="spellEnd"/>
      <w:r w:rsidRPr="00AD00AA">
        <w:rPr>
          <w:rFonts w:ascii="Arial" w:hAnsi="Arial" w:cs="Arial"/>
          <w:color w:val="000000"/>
          <w:sz w:val="20"/>
          <w:szCs w:val="20"/>
          <w:lang w:val="en-US"/>
        </w:rPr>
        <w:t xml:space="preserve">(t)=flu(t-1), </w:t>
      </w:r>
      <w:proofErr w:type="spellStart"/>
      <w:r w:rsidRPr="00AD00AA">
        <w:rPr>
          <w:rFonts w:ascii="Arial" w:hAnsi="Arial" w:cs="Arial"/>
          <w:color w:val="000000"/>
          <w:sz w:val="20"/>
          <w:szCs w:val="20"/>
          <w:lang w:val="en-US"/>
        </w:rPr>
        <w:t>X_flu</w:t>
      </w:r>
      <w:proofErr w:type="spellEnd"/>
      <w:r w:rsidRPr="00AD00AA">
        <w:rPr>
          <w:rFonts w:ascii="Arial" w:hAnsi="Arial" w:cs="Arial"/>
          <w:color w:val="000000"/>
          <w:sz w:val="20"/>
          <w:szCs w:val="20"/>
          <w:lang w:val="en-US"/>
        </w:rPr>
        <w:t xml:space="preserve">(t)=flu(t-2),  </w:t>
      </w:r>
      <w:proofErr w:type="spellStart"/>
      <w:r w:rsidRPr="00AD00AA">
        <w:rPr>
          <w:rFonts w:ascii="Arial" w:hAnsi="Arial" w:cs="Arial"/>
          <w:color w:val="000000"/>
          <w:sz w:val="20"/>
          <w:szCs w:val="20"/>
          <w:lang w:val="en-US"/>
        </w:rPr>
        <w:t>X_flu</w:t>
      </w:r>
      <w:proofErr w:type="spellEnd"/>
      <w:r w:rsidRPr="00AD00AA">
        <w:rPr>
          <w:rFonts w:ascii="Arial" w:hAnsi="Arial" w:cs="Arial"/>
          <w:color w:val="000000"/>
          <w:sz w:val="20"/>
          <w:szCs w:val="20"/>
          <w:lang w:val="en-US"/>
        </w:rPr>
        <w:t>(t)=flu(t-3)</w:t>
      </w:r>
    </w:p>
    <w:p w:rsidR="00DD528C" w:rsidRPr="00364C2C" w:rsidRDefault="00DD528C" w:rsidP="001A2260">
      <w:pPr>
        <w:spacing w:line="480" w:lineRule="auto"/>
        <w:rPr>
          <w:rFonts w:ascii="Arial" w:hAnsi="Arial" w:cs="Arial"/>
          <w:color w:val="000000"/>
          <w:sz w:val="20"/>
          <w:szCs w:val="20"/>
        </w:rPr>
      </w:pPr>
      <w:r w:rsidRPr="00AD00AA">
        <w:rPr>
          <w:rFonts w:ascii="Arial" w:hAnsi="Arial" w:cs="Arial"/>
          <w:color w:val="000000"/>
          <w:sz w:val="20"/>
          <w:szCs w:val="20"/>
        </w:rPr>
        <w:t xml:space="preserve">b) </w:t>
      </w:r>
      <w:proofErr w:type="spellStart"/>
      <w:r w:rsidRPr="00AD00AA">
        <w:rPr>
          <w:rFonts w:ascii="Arial" w:hAnsi="Arial" w:cs="Arial"/>
          <w:color w:val="000000"/>
          <w:sz w:val="20"/>
          <w:szCs w:val="20"/>
        </w:rPr>
        <w:t>moving</w:t>
      </w:r>
      <w:proofErr w:type="spellEnd"/>
      <w:r w:rsidRPr="00AD00AA">
        <w:rPr>
          <w:rFonts w:ascii="Arial" w:hAnsi="Arial" w:cs="Arial"/>
          <w:color w:val="000000"/>
          <w:sz w:val="20"/>
          <w:szCs w:val="20"/>
        </w:rPr>
        <w:t xml:space="preserve"> </w:t>
      </w:r>
      <w:proofErr w:type="spellStart"/>
      <w:r w:rsidRPr="00AD00AA">
        <w:rPr>
          <w:rFonts w:ascii="Arial" w:hAnsi="Arial" w:cs="Arial"/>
          <w:color w:val="000000"/>
          <w:sz w:val="20"/>
          <w:szCs w:val="20"/>
        </w:rPr>
        <w:t>averages</w:t>
      </w:r>
      <w:proofErr w:type="spellEnd"/>
      <w:r w:rsidRPr="00364C2C">
        <w:rPr>
          <w:rFonts w:ascii="Arial" w:hAnsi="Arial" w:cs="Arial"/>
          <w:color w:val="000000"/>
          <w:sz w:val="20"/>
          <w:szCs w:val="20"/>
        </w:rPr>
        <w:t>:</w:t>
      </w:r>
    </w:p>
    <w:p w:rsidR="00DD528C" w:rsidRPr="00364C2C" w:rsidRDefault="00DD528C" w:rsidP="001A2260">
      <w:pPr>
        <w:spacing w:line="480" w:lineRule="auto"/>
        <w:rPr>
          <w:rFonts w:ascii="Arial" w:hAnsi="Arial" w:cs="Arial"/>
          <w:color w:val="000000"/>
          <w:sz w:val="20"/>
          <w:szCs w:val="20"/>
        </w:rPr>
      </w:pPr>
      <w:proofErr w:type="spellStart"/>
      <w:r w:rsidRPr="00364C2C">
        <w:rPr>
          <w:rFonts w:ascii="Arial" w:hAnsi="Arial" w:cs="Arial"/>
          <w:color w:val="000000"/>
          <w:sz w:val="20"/>
          <w:szCs w:val="20"/>
        </w:rPr>
        <w:t>X_flu</w:t>
      </w:r>
      <w:proofErr w:type="spellEnd"/>
      <w:r w:rsidRPr="00364C2C">
        <w:rPr>
          <w:rFonts w:ascii="Arial" w:hAnsi="Arial" w:cs="Arial"/>
          <w:color w:val="000000"/>
          <w:sz w:val="20"/>
          <w:szCs w:val="20"/>
        </w:rPr>
        <w:t>(t)=</w:t>
      </w:r>
      <w:r>
        <w:rPr>
          <w:rFonts w:ascii="Arial" w:hAnsi="Arial" w:cs="Arial"/>
          <w:color w:val="000000"/>
          <w:sz w:val="20"/>
          <w:szCs w:val="20"/>
        </w:rPr>
        <w:t>1/3(</w:t>
      </w:r>
      <w:proofErr w:type="spellStart"/>
      <w:r w:rsidRPr="00364C2C">
        <w:rPr>
          <w:rFonts w:ascii="Arial" w:hAnsi="Arial" w:cs="Arial"/>
          <w:color w:val="000000"/>
          <w:sz w:val="20"/>
          <w:szCs w:val="20"/>
        </w:rPr>
        <w:t>flu</w:t>
      </w:r>
      <w:proofErr w:type="spellEnd"/>
      <w:r w:rsidRPr="00364C2C">
        <w:rPr>
          <w:rFonts w:ascii="Arial" w:hAnsi="Arial" w:cs="Arial"/>
          <w:color w:val="000000"/>
          <w:sz w:val="20"/>
          <w:szCs w:val="20"/>
        </w:rPr>
        <w:t>(t</w:t>
      </w:r>
      <w:r>
        <w:rPr>
          <w:rFonts w:ascii="Arial" w:hAnsi="Arial" w:cs="Arial"/>
          <w:color w:val="000000"/>
          <w:sz w:val="20"/>
          <w:szCs w:val="20"/>
        </w:rPr>
        <w:t>-1</w:t>
      </w:r>
      <w:r w:rsidRPr="00364C2C">
        <w:rPr>
          <w:rFonts w:ascii="Arial" w:hAnsi="Arial" w:cs="Arial"/>
          <w:color w:val="000000"/>
          <w:sz w:val="20"/>
          <w:szCs w:val="20"/>
        </w:rPr>
        <w:t>)</w:t>
      </w:r>
      <w:r>
        <w:rPr>
          <w:rFonts w:ascii="Arial" w:hAnsi="Arial" w:cs="Arial"/>
          <w:color w:val="000000"/>
          <w:sz w:val="20"/>
          <w:szCs w:val="20"/>
        </w:rPr>
        <w:t xml:space="preserve">+ </w:t>
      </w:r>
      <w:proofErr w:type="spellStart"/>
      <w:r w:rsidRPr="00364C2C">
        <w:rPr>
          <w:rFonts w:ascii="Arial" w:hAnsi="Arial" w:cs="Arial"/>
          <w:color w:val="000000"/>
          <w:sz w:val="20"/>
          <w:szCs w:val="20"/>
        </w:rPr>
        <w:t>flu</w:t>
      </w:r>
      <w:proofErr w:type="spellEnd"/>
      <w:r w:rsidRPr="00364C2C">
        <w:rPr>
          <w:rFonts w:ascii="Arial" w:hAnsi="Arial" w:cs="Arial"/>
          <w:color w:val="000000"/>
          <w:sz w:val="20"/>
          <w:szCs w:val="20"/>
        </w:rPr>
        <w:t>(t)</w:t>
      </w:r>
      <w:r>
        <w:rPr>
          <w:rFonts w:ascii="Arial" w:hAnsi="Arial" w:cs="Arial"/>
          <w:color w:val="000000"/>
          <w:sz w:val="20"/>
          <w:szCs w:val="20"/>
        </w:rPr>
        <w:t>+</w:t>
      </w:r>
      <w:proofErr w:type="spellStart"/>
      <w:r>
        <w:rPr>
          <w:rFonts w:ascii="Arial" w:hAnsi="Arial" w:cs="Arial"/>
          <w:color w:val="000000"/>
          <w:sz w:val="20"/>
          <w:szCs w:val="20"/>
        </w:rPr>
        <w:t>flu</w:t>
      </w:r>
      <w:proofErr w:type="spellEnd"/>
      <w:r>
        <w:rPr>
          <w:rFonts w:ascii="Arial" w:hAnsi="Arial" w:cs="Arial"/>
          <w:color w:val="000000"/>
          <w:sz w:val="20"/>
          <w:szCs w:val="20"/>
        </w:rPr>
        <w:t>(t+1))</w:t>
      </w:r>
    </w:p>
    <w:p w:rsidR="00DD528C" w:rsidRPr="00364C2C" w:rsidRDefault="00DD528C" w:rsidP="00364C2C">
      <w:pPr>
        <w:spacing w:line="480" w:lineRule="auto"/>
        <w:rPr>
          <w:rFonts w:ascii="Arial" w:hAnsi="Arial" w:cs="Arial"/>
          <w:color w:val="000000"/>
          <w:sz w:val="20"/>
          <w:szCs w:val="20"/>
        </w:rPr>
      </w:pPr>
      <w:proofErr w:type="spellStart"/>
      <w:r w:rsidRPr="00364C2C">
        <w:rPr>
          <w:rFonts w:ascii="Arial" w:hAnsi="Arial" w:cs="Arial"/>
          <w:color w:val="000000"/>
          <w:sz w:val="20"/>
          <w:szCs w:val="20"/>
        </w:rPr>
        <w:t>X_flu</w:t>
      </w:r>
      <w:proofErr w:type="spellEnd"/>
      <w:r w:rsidRPr="00364C2C">
        <w:rPr>
          <w:rFonts w:ascii="Arial" w:hAnsi="Arial" w:cs="Arial"/>
          <w:color w:val="000000"/>
          <w:sz w:val="20"/>
          <w:szCs w:val="20"/>
        </w:rPr>
        <w:t>(t)=</w:t>
      </w:r>
      <w:r>
        <w:rPr>
          <w:rFonts w:ascii="Arial" w:hAnsi="Arial" w:cs="Arial"/>
          <w:color w:val="000000"/>
          <w:sz w:val="20"/>
          <w:szCs w:val="20"/>
        </w:rPr>
        <w:t>1/3(</w:t>
      </w:r>
      <w:proofErr w:type="spellStart"/>
      <w:r w:rsidRPr="00364C2C">
        <w:rPr>
          <w:rFonts w:ascii="Arial" w:hAnsi="Arial" w:cs="Arial"/>
          <w:color w:val="000000"/>
          <w:sz w:val="20"/>
          <w:szCs w:val="20"/>
        </w:rPr>
        <w:t>flu</w:t>
      </w:r>
      <w:proofErr w:type="spellEnd"/>
      <w:r w:rsidRPr="00364C2C">
        <w:rPr>
          <w:rFonts w:ascii="Arial" w:hAnsi="Arial" w:cs="Arial"/>
          <w:color w:val="000000"/>
          <w:sz w:val="20"/>
          <w:szCs w:val="20"/>
        </w:rPr>
        <w:t>(t</w:t>
      </w:r>
      <w:r>
        <w:rPr>
          <w:rFonts w:ascii="Arial" w:hAnsi="Arial" w:cs="Arial"/>
          <w:color w:val="000000"/>
          <w:sz w:val="20"/>
          <w:szCs w:val="20"/>
        </w:rPr>
        <w:t>-2</w:t>
      </w:r>
      <w:r w:rsidRPr="00364C2C">
        <w:rPr>
          <w:rFonts w:ascii="Arial" w:hAnsi="Arial" w:cs="Arial"/>
          <w:color w:val="000000"/>
          <w:sz w:val="20"/>
          <w:szCs w:val="20"/>
        </w:rPr>
        <w:t>)</w:t>
      </w:r>
      <w:r>
        <w:rPr>
          <w:rFonts w:ascii="Arial" w:hAnsi="Arial" w:cs="Arial"/>
          <w:color w:val="000000"/>
          <w:sz w:val="20"/>
          <w:szCs w:val="20"/>
        </w:rPr>
        <w:t xml:space="preserve">+ </w:t>
      </w:r>
      <w:proofErr w:type="spellStart"/>
      <w:r w:rsidRPr="00364C2C">
        <w:rPr>
          <w:rFonts w:ascii="Arial" w:hAnsi="Arial" w:cs="Arial"/>
          <w:color w:val="000000"/>
          <w:sz w:val="20"/>
          <w:szCs w:val="20"/>
        </w:rPr>
        <w:t>flu</w:t>
      </w:r>
      <w:proofErr w:type="spellEnd"/>
      <w:r w:rsidRPr="00364C2C">
        <w:rPr>
          <w:rFonts w:ascii="Arial" w:hAnsi="Arial" w:cs="Arial"/>
          <w:color w:val="000000"/>
          <w:sz w:val="20"/>
          <w:szCs w:val="20"/>
        </w:rPr>
        <w:t>(t</w:t>
      </w:r>
      <w:r>
        <w:rPr>
          <w:rFonts w:ascii="Arial" w:hAnsi="Arial" w:cs="Arial"/>
          <w:color w:val="000000"/>
          <w:sz w:val="20"/>
          <w:szCs w:val="20"/>
        </w:rPr>
        <w:t>-1</w:t>
      </w:r>
      <w:r w:rsidRPr="00364C2C">
        <w:rPr>
          <w:rFonts w:ascii="Arial" w:hAnsi="Arial" w:cs="Arial"/>
          <w:color w:val="000000"/>
          <w:sz w:val="20"/>
          <w:szCs w:val="20"/>
        </w:rPr>
        <w:t>)</w:t>
      </w:r>
      <w:r>
        <w:rPr>
          <w:rFonts w:ascii="Arial" w:hAnsi="Arial" w:cs="Arial"/>
          <w:color w:val="000000"/>
          <w:sz w:val="20"/>
          <w:szCs w:val="20"/>
        </w:rPr>
        <w:t>+</w:t>
      </w:r>
      <w:proofErr w:type="spellStart"/>
      <w:r>
        <w:rPr>
          <w:rFonts w:ascii="Arial" w:hAnsi="Arial" w:cs="Arial"/>
          <w:color w:val="000000"/>
          <w:sz w:val="20"/>
          <w:szCs w:val="20"/>
        </w:rPr>
        <w:t>flu</w:t>
      </w:r>
      <w:proofErr w:type="spellEnd"/>
      <w:r>
        <w:rPr>
          <w:rFonts w:ascii="Arial" w:hAnsi="Arial" w:cs="Arial"/>
          <w:color w:val="000000"/>
          <w:sz w:val="20"/>
          <w:szCs w:val="20"/>
        </w:rPr>
        <w:t>(t))</w:t>
      </w:r>
    </w:p>
    <w:p w:rsidR="00DD528C" w:rsidRPr="00AD00AA" w:rsidRDefault="00DD528C" w:rsidP="001A2260">
      <w:pPr>
        <w:spacing w:line="480" w:lineRule="auto"/>
        <w:rPr>
          <w:rFonts w:ascii="Arial" w:hAnsi="Arial" w:cs="Arial"/>
          <w:color w:val="000000"/>
          <w:sz w:val="20"/>
          <w:szCs w:val="20"/>
        </w:rPr>
      </w:pPr>
    </w:p>
    <w:p w:rsidR="00DD528C" w:rsidRDefault="00DD528C" w:rsidP="001A2260">
      <w:pPr>
        <w:autoSpaceDE w:val="0"/>
        <w:autoSpaceDN w:val="0"/>
        <w:adjustRightInd w:val="0"/>
        <w:spacing w:line="480" w:lineRule="auto"/>
        <w:rPr>
          <w:rFonts w:ascii="Arial" w:hAnsi="Arial" w:cs="Arial"/>
          <w:color w:val="000000"/>
          <w:sz w:val="20"/>
          <w:szCs w:val="20"/>
          <w:lang w:val="en-US"/>
        </w:rPr>
      </w:pPr>
      <w:r>
        <w:rPr>
          <w:rFonts w:ascii="Arial" w:hAnsi="Arial" w:cs="Arial"/>
          <w:color w:val="000000"/>
          <w:sz w:val="20"/>
          <w:szCs w:val="20"/>
          <w:lang w:val="en-US"/>
        </w:rPr>
        <w:t xml:space="preserve">Selection of the most statistically meaningful proxy for influenza activity was based on fitting 18 models (3 proxies for influenza activity *  6 lag and moving average options) to all-age respiratory deaths and comparing </w:t>
      </w:r>
      <w:proofErr w:type="spellStart"/>
      <w:r>
        <w:rPr>
          <w:rFonts w:ascii="Arial" w:hAnsi="Arial" w:cs="Arial"/>
          <w:color w:val="000000"/>
          <w:sz w:val="20"/>
          <w:szCs w:val="20"/>
          <w:lang w:val="en-US"/>
        </w:rPr>
        <w:t>Aikake</w:t>
      </w:r>
      <w:proofErr w:type="spellEnd"/>
      <w:r>
        <w:rPr>
          <w:rFonts w:ascii="Arial" w:hAnsi="Arial" w:cs="Arial"/>
          <w:color w:val="000000"/>
          <w:sz w:val="20"/>
          <w:szCs w:val="20"/>
          <w:lang w:val="en-US"/>
        </w:rPr>
        <w:t xml:space="preserve"> values. W</w:t>
      </w:r>
      <w:r w:rsidRPr="00C55D43">
        <w:rPr>
          <w:rFonts w:ascii="Arial" w:hAnsi="Arial" w:cs="Arial"/>
          <w:color w:val="000000"/>
          <w:sz w:val="20"/>
          <w:szCs w:val="20"/>
          <w:lang w:val="en-US"/>
        </w:rPr>
        <w:t xml:space="preserve">e obtained </w:t>
      </w:r>
      <w:r>
        <w:rPr>
          <w:rFonts w:ascii="Arial" w:hAnsi="Arial" w:cs="Arial"/>
          <w:color w:val="000000"/>
          <w:sz w:val="20"/>
          <w:szCs w:val="20"/>
          <w:lang w:val="en-US"/>
        </w:rPr>
        <w:t xml:space="preserve">the smallest </w:t>
      </w:r>
      <w:r w:rsidRPr="00C55D43">
        <w:rPr>
          <w:rFonts w:ascii="Arial" w:hAnsi="Arial" w:cs="Arial"/>
          <w:color w:val="000000"/>
          <w:sz w:val="20"/>
          <w:szCs w:val="20"/>
          <w:lang w:val="en-US"/>
        </w:rPr>
        <w:t xml:space="preserve">AIC values </w:t>
      </w:r>
      <w:r>
        <w:rPr>
          <w:rFonts w:ascii="Arial" w:hAnsi="Arial" w:cs="Arial"/>
          <w:color w:val="000000"/>
          <w:sz w:val="20"/>
          <w:szCs w:val="20"/>
          <w:lang w:val="en-US"/>
        </w:rPr>
        <w:t>for a moving average of ILI(t-2), ILI(t-1) and ILI(t) with an AIC of</w:t>
      </w:r>
      <w:r w:rsidRPr="00C55D43">
        <w:rPr>
          <w:rFonts w:ascii="Arial" w:hAnsi="Arial" w:cs="Arial"/>
          <w:color w:val="000000"/>
          <w:sz w:val="20"/>
          <w:szCs w:val="20"/>
          <w:lang w:val="en-US"/>
        </w:rPr>
        <w:t xml:space="preserve"> 4,175</w:t>
      </w:r>
      <w:r>
        <w:rPr>
          <w:rFonts w:ascii="Arial" w:hAnsi="Arial" w:cs="Arial"/>
          <w:color w:val="000000"/>
          <w:sz w:val="20"/>
          <w:szCs w:val="20"/>
          <w:lang w:val="en-US"/>
        </w:rPr>
        <w:t xml:space="preserve">. For reference, the best model using </w:t>
      </w:r>
      <w:r w:rsidRPr="00C55D43">
        <w:rPr>
          <w:rFonts w:ascii="Arial" w:hAnsi="Arial" w:cs="Arial"/>
          <w:color w:val="000000"/>
          <w:sz w:val="20"/>
          <w:szCs w:val="20"/>
          <w:lang w:val="en-US"/>
        </w:rPr>
        <w:t xml:space="preserve">weekly influenza </w:t>
      </w:r>
      <w:r w:rsidRPr="00F16EBC">
        <w:rPr>
          <w:rFonts w:ascii="Arial" w:hAnsi="Arial" w:cs="Arial"/>
          <w:color w:val="000000"/>
          <w:sz w:val="20"/>
          <w:szCs w:val="20"/>
          <w:lang w:val="en-US"/>
        </w:rPr>
        <w:t>virus percent positive</w:t>
      </w:r>
      <w:r>
        <w:rPr>
          <w:rFonts w:ascii="Arial" w:hAnsi="Arial" w:cs="Arial"/>
          <w:color w:val="000000"/>
          <w:sz w:val="20"/>
          <w:szCs w:val="20"/>
          <w:lang w:val="en-US"/>
        </w:rPr>
        <w:t xml:space="preserve"> provided an AIC of</w:t>
      </w:r>
      <w:r w:rsidRPr="00C55D43">
        <w:rPr>
          <w:rFonts w:ascii="Arial" w:hAnsi="Arial" w:cs="Arial"/>
          <w:color w:val="000000"/>
          <w:sz w:val="20"/>
          <w:szCs w:val="20"/>
          <w:lang w:val="en-US"/>
        </w:rPr>
        <w:t xml:space="preserve"> 4,338</w:t>
      </w:r>
      <w:r>
        <w:rPr>
          <w:rFonts w:ascii="Arial" w:hAnsi="Arial" w:cs="Arial"/>
          <w:color w:val="000000"/>
          <w:sz w:val="20"/>
          <w:szCs w:val="20"/>
          <w:lang w:val="en-US"/>
        </w:rPr>
        <w:t>, and the best model using a combination of ILI and virus positive provided an AIC of</w:t>
      </w:r>
      <w:r w:rsidRPr="00F16EBC">
        <w:rPr>
          <w:rFonts w:ascii="Arial" w:hAnsi="Arial" w:cs="Arial"/>
          <w:color w:val="000000"/>
          <w:sz w:val="20"/>
          <w:szCs w:val="20"/>
          <w:lang w:val="en-US"/>
        </w:rPr>
        <w:t xml:space="preserve"> </w:t>
      </w:r>
      <w:r>
        <w:rPr>
          <w:rFonts w:ascii="Arial" w:hAnsi="Arial" w:cs="Arial"/>
          <w:color w:val="000000"/>
          <w:sz w:val="20"/>
          <w:szCs w:val="20"/>
          <w:lang w:val="en-US"/>
        </w:rPr>
        <w:t>4,565</w:t>
      </w:r>
      <w:r w:rsidRPr="00F16EBC">
        <w:rPr>
          <w:rFonts w:ascii="Arial" w:hAnsi="Arial" w:cs="Arial"/>
          <w:color w:val="000000"/>
          <w:sz w:val="20"/>
          <w:szCs w:val="20"/>
          <w:lang w:val="en-US"/>
        </w:rPr>
        <w:t xml:space="preserve">. </w:t>
      </w:r>
      <w:r>
        <w:rPr>
          <w:rFonts w:ascii="Arial" w:hAnsi="Arial" w:cs="Arial"/>
          <w:color w:val="000000"/>
          <w:sz w:val="20"/>
          <w:szCs w:val="20"/>
          <w:lang w:val="en-US"/>
        </w:rPr>
        <w:t>We also tried models with and without dummies for individual years; dummies for years were consistently better based on AIC.</w:t>
      </w:r>
    </w:p>
    <w:p w:rsidR="00DD528C" w:rsidRPr="00F16EBC" w:rsidRDefault="00DD528C" w:rsidP="00DD199A">
      <w:pPr>
        <w:autoSpaceDE w:val="0"/>
        <w:autoSpaceDN w:val="0"/>
        <w:adjustRightInd w:val="0"/>
        <w:spacing w:line="480" w:lineRule="auto"/>
        <w:rPr>
          <w:rFonts w:ascii="Arial" w:hAnsi="Arial" w:cs="Arial"/>
          <w:color w:val="000000"/>
          <w:sz w:val="20"/>
          <w:szCs w:val="20"/>
          <w:lang w:val="en-US"/>
        </w:rPr>
      </w:pPr>
      <w:r>
        <w:rPr>
          <w:rFonts w:ascii="Arial" w:hAnsi="Arial" w:cs="Arial"/>
          <w:color w:val="000000"/>
          <w:sz w:val="20"/>
          <w:szCs w:val="20"/>
          <w:lang w:val="en-US"/>
        </w:rPr>
        <w:t>Once it was determined that models with ILI and yearly dummies were best</w:t>
      </w:r>
      <w:r w:rsidRPr="00F16EBC">
        <w:rPr>
          <w:rFonts w:ascii="Arial" w:hAnsi="Arial" w:cs="Arial"/>
          <w:color w:val="000000"/>
          <w:sz w:val="20"/>
          <w:szCs w:val="20"/>
          <w:lang w:val="en-US"/>
        </w:rPr>
        <w:t xml:space="preserve">, we used a stepwise selection method to identify significant </w:t>
      </w:r>
      <w:r>
        <w:rPr>
          <w:rFonts w:ascii="Arial" w:hAnsi="Arial" w:cs="Arial"/>
          <w:color w:val="000000"/>
          <w:sz w:val="20"/>
          <w:szCs w:val="20"/>
          <w:lang w:val="en-US"/>
        </w:rPr>
        <w:t>trend and seasonal terms</w:t>
      </w:r>
      <w:r w:rsidRPr="00F16EBC">
        <w:rPr>
          <w:rFonts w:ascii="Arial" w:hAnsi="Arial" w:cs="Arial"/>
          <w:color w:val="000000"/>
          <w:sz w:val="20"/>
          <w:szCs w:val="20"/>
          <w:lang w:val="en-US"/>
        </w:rPr>
        <w:t xml:space="preserve"> in </w:t>
      </w:r>
      <w:r>
        <w:rPr>
          <w:rFonts w:ascii="Arial" w:hAnsi="Arial" w:cs="Arial"/>
          <w:color w:val="000000"/>
          <w:sz w:val="20"/>
          <w:szCs w:val="20"/>
          <w:lang w:val="en-US"/>
        </w:rPr>
        <w:t>ILI models,</w:t>
      </w:r>
      <w:r w:rsidRPr="00F16EBC">
        <w:rPr>
          <w:rFonts w:ascii="Arial" w:hAnsi="Arial" w:cs="Arial"/>
          <w:color w:val="000000"/>
          <w:sz w:val="20"/>
          <w:szCs w:val="20"/>
          <w:lang w:val="en-US"/>
        </w:rPr>
        <w:t xml:space="preserve"> </w:t>
      </w:r>
      <w:r>
        <w:rPr>
          <w:rFonts w:ascii="Arial" w:hAnsi="Arial" w:cs="Arial"/>
          <w:color w:val="000000"/>
          <w:sz w:val="20"/>
          <w:szCs w:val="20"/>
          <w:lang w:val="en-US"/>
        </w:rPr>
        <w:t xml:space="preserve">separately </w:t>
      </w:r>
      <w:r w:rsidRPr="00F16EBC">
        <w:rPr>
          <w:rFonts w:ascii="Arial" w:hAnsi="Arial" w:cs="Arial"/>
          <w:color w:val="000000"/>
          <w:sz w:val="20"/>
          <w:szCs w:val="20"/>
          <w:lang w:val="en-US"/>
        </w:rPr>
        <w:t xml:space="preserve">for each age group and cause of death. Only terms with a p-value &lt;0.05 were included in final models. </w:t>
      </w:r>
      <w:r>
        <w:rPr>
          <w:rFonts w:ascii="Arial" w:hAnsi="Arial" w:cs="Arial"/>
          <w:color w:val="000000"/>
          <w:sz w:val="20"/>
          <w:szCs w:val="20"/>
          <w:lang w:val="en-US"/>
        </w:rPr>
        <w:t>Model fits were good, with c</w:t>
      </w:r>
      <w:r w:rsidRPr="00F16EBC">
        <w:rPr>
          <w:rFonts w:ascii="Arial" w:hAnsi="Arial" w:cs="Arial"/>
          <w:color w:val="000000"/>
          <w:sz w:val="20"/>
          <w:szCs w:val="20"/>
          <w:lang w:val="en-US"/>
        </w:rPr>
        <w:t>orrelation between predicted and obs</w:t>
      </w:r>
      <w:r>
        <w:rPr>
          <w:rFonts w:ascii="Arial" w:hAnsi="Arial" w:cs="Arial"/>
          <w:color w:val="000000"/>
          <w:sz w:val="20"/>
          <w:szCs w:val="20"/>
          <w:lang w:val="en-US"/>
        </w:rPr>
        <w:t>erved values rangin</w:t>
      </w:r>
      <w:r w:rsidRPr="00547121">
        <w:rPr>
          <w:rFonts w:ascii="Arial" w:hAnsi="Arial" w:cs="Arial"/>
          <w:color w:val="000000"/>
          <w:sz w:val="20"/>
          <w:szCs w:val="20"/>
          <w:lang w:val="en-US"/>
        </w:rPr>
        <w:t>g between 0.56-0.93 (</w:t>
      </w:r>
      <w:r w:rsidRPr="00547121">
        <w:rPr>
          <w:rFonts w:ascii="Arial" w:hAnsi="Arial" w:cs="Arial"/>
          <w:sz w:val="20"/>
          <w:szCs w:val="20"/>
          <w:lang w:val="en-GB"/>
        </w:rPr>
        <w:t>figure</w:t>
      </w:r>
      <w:r w:rsidRPr="00F16EBC">
        <w:rPr>
          <w:rFonts w:ascii="Arial" w:hAnsi="Arial" w:cs="Arial"/>
          <w:sz w:val="20"/>
          <w:szCs w:val="20"/>
          <w:lang w:val="en-GB"/>
        </w:rPr>
        <w:t xml:space="preserve"> 2, figure S1)</w:t>
      </w:r>
      <w:r w:rsidRPr="00F16EBC">
        <w:rPr>
          <w:rFonts w:ascii="Arial" w:hAnsi="Arial" w:cs="Arial"/>
          <w:color w:val="000000"/>
          <w:sz w:val="20"/>
          <w:szCs w:val="20"/>
          <w:lang w:val="en-US"/>
        </w:rPr>
        <w:t xml:space="preserve">. </w:t>
      </w:r>
    </w:p>
    <w:p w:rsidR="00DD528C" w:rsidRPr="00F16EBC" w:rsidRDefault="00DD528C" w:rsidP="001A2260">
      <w:pPr>
        <w:autoSpaceDE w:val="0"/>
        <w:autoSpaceDN w:val="0"/>
        <w:adjustRightInd w:val="0"/>
        <w:spacing w:line="480" w:lineRule="auto"/>
        <w:rPr>
          <w:rFonts w:ascii="Arial" w:hAnsi="Arial" w:cs="Arial"/>
          <w:color w:val="000000"/>
          <w:sz w:val="20"/>
          <w:szCs w:val="20"/>
          <w:lang w:val="en-US"/>
        </w:rPr>
      </w:pPr>
    </w:p>
    <w:p w:rsidR="00DD528C" w:rsidRDefault="00DD528C" w:rsidP="001A2260">
      <w:pPr>
        <w:autoSpaceDE w:val="0"/>
        <w:autoSpaceDN w:val="0"/>
        <w:adjustRightInd w:val="0"/>
        <w:spacing w:line="480" w:lineRule="auto"/>
        <w:rPr>
          <w:rFonts w:ascii="Arial" w:hAnsi="Arial" w:cs="Arial"/>
          <w:color w:val="000000"/>
          <w:sz w:val="20"/>
          <w:szCs w:val="20"/>
          <w:lang w:val="en-US"/>
        </w:rPr>
      </w:pPr>
      <w:r w:rsidRPr="00F16EBC">
        <w:rPr>
          <w:rFonts w:ascii="Arial" w:hAnsi="Arial" w:cs="Arial"/>
          <w:color w:val="000000"/>
          <w:sz w:val="20"/>
          <w:szCs w:val="20"/>
          <w:lang w:val="en-US"/>
        </w:rPr>
        <w:t>Baseline mortality was predicted by setting influenza activity indicators to zero</w:t>
      </w:r>
      <w:r>
        <w:rPr>
          <w:rFonts w:ascii="Arial" w:hAnsi="Arial" w:cs="Arial"/>
          <w:color w:val="000000"/>
          <w:sz w:val="20"/>
          <w:szCs w:val="20"/>
          <w:lang w:val="en-US"/>
        </w:rPr>
        <w:t>, following:</w:t>
      </w:r>
    </w:p>
    <w:p w:rsidR="00DD528C" w:rsidRPr="00AD00AA" w:rsidRDefault="00DD528C" w:rsidP="001A2260">
      <w:pPr>
        <w:autoSpaceDE w:val="0"/>
        <w:autoSpaceDN w:val="0"/>
        <w:adjustRightInd w:val="0"/>
        <w:spacing w:line="480" w:lineRule="auto"/>
        <w:rPr>
          <w:rFonts w:ascii="Arial" w:hAnsi="Arial" w:cs="Arial"/>
          <w:sz w:val="20"/>
          <w:szCs w:val="20"/>
          <w:vertAlign w:val="subscript"/>
        </w:rPr>
      </w:pPr>
      <w:r w:rsidRPr="00AD00AA">
        <w:rPr>
          <w:rFonts w:ascii="Arial" w:hAnsi="Arial" w:cs="Arial"/>
          <w:sz w:val="20"/>
          <w:szCs w:val="20"/>
        </w:rPr>
        <w:lastRenderedPageBreak/>
        <w:t xml:space="preserve">Baseline(t)=  </w:t>
      </w:r>
      <w:r w:rsidRPr="00F16EBC">
        <w:rPr>
          <w:rFonts w:ascii="Arial" w:hAnsi="Arial" w:cs="Arial"/>
          <w:sz w:val="20"/>
          <w:szCs w:val="20"/>
        </w:rPr>
        <w:t>β</w:t>
      </w:r>
      <w:r w:rsidRPr="00AD00AA">
        <w:rPr>
          <w:rFonts w:ascii="Arial" w:hAnsi="Arial" w:cs="Arial"/>
          <w:sz w:val="20"/>
          <w:szCs w:val="20"/>
          <w:vertAlign w:val="subscript"/>
        </w:rPr>
        <w:t xml:space="preserve">0 </w:t>
      </w:r>
      <w:r w:rsidRPr="00AD00AA">
        <w:rPr>
          <w:rFonts w:ascii="Arial" w:hAnsi="Arial" w:cs="Arial"/>
          <w:sz w:val="20"/>
          <w:szCs w:val="20"/>
        </w:rPr>
        <w:t xml:space="preserve">+  </w:t>
      </w:r>
      <w:r w:rsidRPr="00F16EBC">
        <w:rPr>
          <w:rFonts w:ascii="Arial" w:hAnsi="Arial" w:cs="Arial"/>
          <w:sz w:val="20"/>
          <w:szCs w:val="20"/>
        </w:rPr>
        <w:t>β</w:t>
      </w:r>
      <w:r w:rsidRPr="00AD00AA">
        <w:rPr>
          <w:rFonts w:ascii="Arial" w:hAnsi="Arial" w:cs="Arial"/>
          <w:sz w:val="20"/>
          <w:szCs w:val="20"/>
          <w:vertAlign w:val="subscript"/>
        </w:rPr>
        <w:t>2*</w:t>
      </w:r>
      <w:r w:rsidRPr="00AD00AA">
        <w:rPr>
          <w:rFonts w:ascii="Arial" w:hAnsi="Arial" w:cs="Arial"/>
          <w:sz w:val="20"/>
          <w:szCs w:val="20"/>
        </w:rPr>
        <w:t>t</w:t>
      </w:r>
      <w:r w:rsidRPr="00AD00AA">
        <w:rPr>
          <w:rFonts w:ascii="Arial" w:hAnsi="Arial" w:cs="Arial"/>
          <w:sz w:val="20"/>
          <w:szCs w:val="20"/>
          <w:vertAlign w:val="subscript"/>
        </w:rPr>
        <w:t xml:space="preserve"> </w:t>
      </w:r>
      <w:r w:rsidRPr="00AD00AA">
        <w:rPr>
          <w:rFonts w:ascii="Arial" w:hAnsi="Arial" w:cs="Arial"/>
          <w:sz w:val="20"/>
          <w:szCs w:val="20"/>
        </w:rPr>
        <w:t xml:space="preserve">+ </w:t>
      </w:r>
      <w:r w:rsidRPr="00F16EBC">
        <w:rPr>
          <w:rFonts w:ascii="Arial" w:hAnsi="Arial" w:cs="Arial"/>
          <w:sz w:val="20"/>
          <w:szCs w:val="20"/>
        </w:rPr>
        <w:t>β</w:t>
      </w:r>
      <w:r w:rsidRPr="00AD00AA">
        <w:rPr>
          <w:rFonts w:ascii="Arial" w:hAnsi="Arial" w:cs="Arial"/>
          <w:sz w:val="20"/>
          <w:szCs w:val="20"/>
          <w:vertAlign w:val="subscript"/>
        </w:rPr>
        <w:t>3*</w:t>
      </w:r>
      <w:r w:rsidRPr="00AD00AA">
        <w:rPr>
          <w:rFonts w:ascii="Arial" w:hAnsi="Arial" w:cs="Arial"/>
          <w:sz w:val="20"/>
          <w:szCs w:val="20"/>
        </w:rPr>
        <w:t>t</w:t>
      </w:r>
      <w:r w:rsidRPr="00AD00AA">
        <w:rPr>
          <w:rFonts w:ascii="Arial" w:hAnsi="Arial" w:cs="Arial"/>
          <w:sz w:val="20"/>
          <w:szCs w:val="20"/>
          <w:vertAlign w:val="superscript"/>
        </w:rPr>
        <w:t>2</w:t>
      </w:r>
      <w:r w:rsidRPr="00AD00AA">
        <w:rPr>
          <w:rFonts w:ascii="Arial" w:hAnsi="Arial" w:cs="Arial"/>
          <w:sz w:val="20"/>
          <w:szCs w:val="20"/>
        </w:rPr>
        <w:t xml:space="preserve"> +</w:t>
      </w:r>
      <w:r w:rsidRPr="00AD00AA">
        <w:rPr>
          <w:rFonts w:ascii="Arial" w:hAnsi="Arial" w:cs="Arial"/>
          <w:sz w:val="20"/>
          <w:szCs w:val="20"/>
          <w:vertAlign w:val="subscript"/>
        </w:rPr>
        <w:t xml:space="preserve"> </w:t>
      </w:r>
      <w:r w:rsidRPr="00AD00AA">
        <w:rPr>
          <w:rFonts w:ascii="Arial" w:hAnsi="Arial" w:cs="Arial"/>
          <w:sz w:val="20"/>
          <w:szCs w:val="20"/>
        </w:rPr>
        <w:t xml:space="preserve"> </w:t>
      </w:r>
      <w:r w:rsidRPr="00F16EBC">
        <w:rPr>
          <w:rFonts w:ascii="Arial" w:hAnsi="Arial" w:cs="Arial"/>
          <w:sz w:val="20"/>
          <w:szCs w:val="20"/>
        </w:rPr>
        <w:t>β</w:t>
      </w:r>
      <w:r w:rsidRPr="00AD00AA">
        <w:rPr>
          <w:rFonts w:ascii="Arial" w:hAnsi="Arial" w:cs="Arial"/>
          <w:sz w:val="20"/>
          <w:szCs w:val="20"/>
          <w:vertAlign w:val="subscript"/>
        </w:rPr>
        <w:t xml:space="preserve">4 </w:t>
      </w:r>
      <w:r w:rsidRPr="00AD00AA">
        <w:rPr>
          <w:rFonts w:ascii="Arial" w:hAnsi="Arial" w:cs="Arial"/>
          <w:sz w:val="20"/>
          <w:szCs w:val="20"/>
        </w:rPr>
        <w:t>t</w:t>
      </w:r>
      <w:r w:rsidRPr="00AD00AA">
        <w:rPr>
          <w:rFonts w:ascii="Arial" w:hAnsi="Arial" w:cs="Arial"/>
          <w:sz w:val="20"/>
          <w:szCs w:val="20"/>
          <w:vertAlign w:val="superscript"/>
        </w:rPr>
        <w:t>3</w:t>
      </w:r>
      <w:r w:rsidRPr="00AD00AA">
        <w:rPr>
          <w:rFonts w:ascii="Arial" w:hAnsi="Arial" w:cs="Arial"/>
          <w:sz w:val="20"/>
          <w:szCs w:val="20"/>
        </w:rPr>
        <w:t xml:space="preserve"> +</w:t>
      </w:r>
      <w:r w:rsidRPr="00AD00AA">
        <w:rPr>
          <w:rFonts w:ascii="Arial" w:hAnsi="Arial" w:cs="Arial"/>
          <w:sz w:val="20"/>
          <w:szCs w:val="20"/>
          <w:vertAlign w:val="subscript"/>
        </w:rPr>
        <w:t xml:space="preserve"> </w:t>
      </w:r>
      <w:r w:rsidRPr="00AD00AA">
        <w:rPr>
          <w:rFonts w:ascii="Arial" w:hAnsi="Arial" w:cs="Arial"/>
          <w:sz w:val="20"/>
          <w:szCs w:val="20"/>
        </w:rPr>
        <w:t xml:space="preserve"> </w:t>
      </w:r>
      <w:r w:rsidRPr="00F16EBC">
        <w:rPr>
          <w:rFonts w:ascii="Arial" w:hAnsi="Arial" w:cs="Arial"/>
          <w:sz w:val="20"/>
          <w:szCs w:val="20"/>
        </w:rPr>
        <w:t>β</w:t>
      </w:r>
      <w:r w:rsidRPr="00AD00AA">
        <w:rPr>
          <w:rFonts w:ascii="Arial" w:hAnsi="Arial" w:cs="Arial"/>
          <w:sz w:val="20"/>
          <w:szCs w:val="20"/>
          <w:vertAlign w:val="subscript"/>
        </w:rPr>
        <w:t>5*</w:t>
      </w:r>
      <w:r w:rsidRPr="00AD00AA">
        <w:rPr>
          <w:rFonts w:ascii="Arial" w:hAnsi="Arial" w:cs="Arial"/>
          <w:sz w:val="20"/>
          <w:szCs w:val="20"/>
        </w:rPr>
        <w:t>sin(2*Pi*t/52.17)</w:t>
      </w:r>
      <w:r w:rsidRPr="00AD00AA">
        <w:rPr>
          <w:rFonts w:ascii="Arial" w:hAnsi="Arial" w:cs="Arial"/>
          <w:sz w:val="20"/>
          <w:szCs w:val="20"/>
          <w:vertAlign w:val="subscript"/>
        </w:rPr>
        <w:t xml:space="preserve"> </w:t>
      </w:r>
      <w:r w:rsidRPr="00AD00AA">
        <w:rPr>
          <w:rFonts w:ascii="Arial" w:hAnsi="Arial" w:cs="Arial"/>
          <w:sz w:val="20"/>
          <w:szCs w:val="20"/>
        </w:rPr>
        <w:t xml:space="preserve">+ </w:t>
      </w:r>
      <w:r w:rsidRPr="00F16EBC">
        <w:rPr>
          <w:rFonts w:ascii="Arial" w:hAnsi="Arial" w:cs="Arial"/>
          <w:sz w:val="20"/>
          <w:szCs w:val="20"/>
        </w:rPr>
        <w:t>β</w:t>
      </w:r>
      <w:r w:rsidRPr="00AD00AA">
        <w:rPr>
          <w:rFonts w:ascii="Arial" w:hAnsi="Arial" w:cs="Arial"/>
          <w:sz w:val="20"/>
          <w:szCs w:val="20"/>
          <w:vertAlign w:val="subscript"/>
        </w:rPr>
        <w:t>6*</w:t>
      </w:r>
      <w:r w:rsidRPr="00AD00AA">
        <w:rPr>
          <w:rFonts w:ascii="Arial" w:hAnsi="Arial" w:cs="Arial"/>
          <w:sz w:val="20"/>
          <w:szCs w:val="20"/>
        </w:rPr>
        <w:t>cos(2*Pi*t/52.17)</w:t>
      </w:r>
      <w:r w:rsidRPr="00AD00AA">
        <w:rPr>
          <w:rFonts w:ascii="Arial" w:hAnsi="Arial" w:cs="Arial"/>
          <w:sz w:val="20"/>
          <w:szCs w:val="20"/>
          <w:vertAlign w:val="subscript"/>
        </w:rPr>
        <w:t xml:space="preserve"> </w:t>
      </w:r>
      <w:r w:rsidRPr="00AD00AA">
        <w:rPr>
          <w:rFonts w:ascii="Arial" w:hAnsi="Arial" w:cs="Arial"/>
          <w:sz w:val="20"/>
          <w:szCs w:val="20"/>
        </w:rPr>
        <w:t xml:space="preserve"> +</w:t>
      </w:r>
      <w:r w:rsidRPr="00AD00AA">
        <w:rPr>
          <w:rFonts w:ascii="Arial" w:hAnsi="Arial" w:cs="Arial"/>
          <w:sz w:val="20"/>
          <w:szCs w:val="20"/>
          <w:vertAlign w:val="subscript"/>
        </w:rPr>
        <w:t xml:space="preserve"> </w:t>
      </w:r>
      <w:r w:rsidRPr="00AD00AA">
        <w:rPr>
          <w:rFonts w:ascii="Arial" w:hAnsi="Arial" w:cs="Arial"/>
          <w:sz w:val="20"/>
          <w:szCs w:val="20"/>
        </w:rPr>
        <w:t xml:space="preserve"> </w:t>
      </w:r>
      <w:r w:rsidRPr="00F16EBC">
        <w:rPr>
          <w:rFonts w:ascii="Arial" w:hAnsi="Arial" w:cs="Arial"/>
          <w:sz w:val="20"/>
          <w:szCs w:val="20"/>
        </w:rPr>
        <w:t>β</w:t>
      </w:r>
      <w:r w:rsidRPr="00AD00AA">
        <w:rPr>
          <w:rFonts w:ascii="Arial" w:hAnsi="Arial" w:cs="Arial"/>
          <w:sz w:val="20"/>
          <w:szCs w:val="20"/>
          <w:vertAlign w:val="subscript"/>
        </w:rPr>
        <w:t>7*</w:t>
      </w:r>
      <w:r w:rsidRPr="00AD00AA">
        <w:rPr>
          <w:rFonts w:ascii="Arial" w:hAnsi="Arial" w:cs="Arial"/>
          <w:sz w:val="20"/>
          <w:szCs w:val="20"/>
        </w:rPr>
        <w:t>sin(3*Pi*t/52.17)</w:t>
      </w:r>
      <w:r w:rsidRPr="00AD00AA">
        <w:rPr>
          <w:rFonts w:ascii="Arial" w:hAnsi="Arial" w:cs="Arial"/>
          <w:sz w:val="20"/>
          <w:szCs w:val="20"/>
          <w:vertAlign w:val="subscript"/>
        </w:rPr>
        <w:t xml:space="preserve"> </w:t>
      </w:r>
      <w:r w:rsidRPr="00AD00AA">
        <w:rPr>
          <w:rFonts w:ascii="Arial" w:hAnsi="Arial" w:cs="Arial"/>
          <w:sz w:val="20"/>
          <w:szCs w:val="20"/>
        </w:rPr>
        <w:t xml:space="preserve">+ </w:t>
      </w:r>
      <w:r w:rsidRPr="00F16EBC">
        <w:rPr>
          <w:rFonts w:ascii="Arial" w:hAnsi="Arial" w:cs="Arial"/>
          <w:sz w:val="20"/>
          <w:szCs w:val="20"/>
        </w:rPr>
        <w:t>β</w:t>
      </w:r>
      <w:r w:rsidRPr="00AD00AA">
        <w:rPr>
          <w:rFonts w:ascii="Arial" w:hAnsi="Arial" w:cs="Arial"/>
          <w:sz w:val="20"/>
          <w:szCs w:val="20"/>
          <w:vertAlign w:val="subscript"/>
        </w:rPr>
        <w:t>8*</w:t>
      </w:r>
      <w:r w:rsidRPr="00AD00AA">
        <w:rPr>
          <w:rFonts w:ascii="Arial" w:hAnsi="Arial" w:cs="Arial"/>
          <w:sz w:val="20"/>
          <w:szCs w:val="20"/>
        </w:rPr>
        <w:t>cos(3*Pi*t/52.17)</w:t>
      </w:r>
      <w:r w:rsidRPr="00AD00AA">
        <w:rPr>
          <w:rFonts w:ascii="Arial" w:hAnsi="Arial" w:cs="Arial"/>
          <w:sz w:val="20"/>
          <w:szCs w:val="20"/>
          <w:vertAlign w:val="subscript"/>
        </w:rPr>
        <w:t xml:space="preserve"> </w:t>
      </w:r>
      <w:r w:rsidRPr="00AD00AA">
        <w:rPr>
          <w:rFonts w:ascii="Arial" w:hAnsi="Arial" w:cs="Arial"/>
          <w:sz w:val="20"/>
          <w:szCs w:val="20"/>
        </w:rPr>
        <w:t xml:space="preserve"> + </w:t>
      </w:r>
      <w:r w:rsidRPr="00F16EBC">
        <w:rPr>
          <w:rFonts w:ascii="Arial" w:hAnsi="Arial" w:cs="Arial"/>
          <w:sz w:val="20"/>
          <w:szCs w:val="20"/>
        </w:rPr>
        <w:t>β</w:t>
      </w:r>
      <w:r w:rsidRPr="00AD00AA">
        <w:rPr>
          <w:rFonts w:ascii="Arial" w:hAnsi="Arial" w:cs="Arial"/>
          <w:sz w:val="20"/>
          <w:szCs w:val="20"/>
          <w:vertAlign w:val="subscript"/>
        </w:rPr>
        <w:t>9*</w:t>
      </w:r>
      <w:r w:rsidRPr="00AD00AA">
        <w:rPr>
          <w:rFonts w:ascii="Arial" w:hAnsi="Arial" w:cs="Arial"/>
          <w:sz w:val="20"/>
          <w:szCs w:val="20"/>
        </w:rPr>
        <w:t>sin(4*Pi*t/52.17)</w:t>
      </w:r>
      <w:r w:rsidRPr="00AD00AA">
        <w:rPr>
          <w:rFonts w:ascii="Arial" w:hAnsi="Arial" w:cs="Arial"/>
          <w:sz w:val="20"/>
          <w:szCs w:val="20"/>
          <w:vertAlign w:val="subscript"/>
        </w:rPr>
        <w:t xml:space="preserve"> </w:t>
      </w:r>
      <w:r w:rsidRPr="00AD00AA">
        <w:rPr>
          <w:rFonts w:ascii="Arial" w:hAnsi="Arial" w:cs="Arial"/>
          <w:sz w:val="20"/>
          <w:szCs w:val="20"/>
        </w:rPr>
        <w:t xml:space="preserve">+ </w:t>
      </w:r>
      <w:r w:rsidRPr="00F16EBC">
        <w:rPr>
          <w:rFonts w:ascii="Arial" w:hAnsi="Arial" w:cs="Arial"/>
          <w:sz w:val="20"/>
          <w:szCs w:val="20"/>
        </w:rPr>
        <w:t>β</w:t>
      </w:r>
      <w:r w:rsidRPr="00AD00AA">
        <w:rPr>
          <w:rFonts w:ascii="Arial" w:hAnsi="Arial" w:cs="Arial"/>
          <w:sz w:val="20"/>
          <w:szCs w:val="20"/>
          <w:vertAlign w:val="subscript"/>
        </w:rPr>
        <w:t>10*</w:t>
      </w:r>
      <w:r w:rsidRPr="00AD00AA">
        <w:rPr>
          <w:rFonts w:ascii="Arial" w:hAnsi="Arial" w:cs="Arial"/>
          <w:sz w:val="20"/>
          <w:szCs w:val="20"/>
        </w:rPr>
        <w:t>cos(4*Pi*t/52.17)</w:t>
      </w:r>
      <w:r w:rsidRPr="00AD00AA">
        <w:rPr>
          <w:rFonts w:ascii="Arial" w:hAnsi="Arial" w:cs="Arial"/>
          <w:sz w:val="20"/>
          <w:szCs w:val="20"/>
          <w:vertAlign w:val="subscript"/>
        </w:rPr>
        <w:t xml:space="preserve"> </w:t>
      </w:r>
      <w:r w:rsidRPr="00AD00AA">
        <w:rPr>
          <w:rFonts w:ascii="Arial" w:hAnsi="Arial" w:cs="Arial"/>
          <w:sz w:val="20"/>
          <w:szCs w:val="20"/>
        </w:rPr>
        <w:t>) +</w:t>
      </w:r>
      <w:r w:rsidRPr="00AD00AA">
        <w:rPr>
          <w:rFonts w:ascii="Arial" w:hAnsi="Arial" w:cs="Arial"/>
          <w:sz w:val="20"/>
          <w:szCs w:val="20"/>
          <w:vertAlign w:val="subscript"/>
        </w:rPr>
        <w:t xml:space="preserve"> </w:t>
      </w:r>
      <w:r w:rsidRPr="00AD00AA">
        <w:rPr>
          <w:rFonts w:ascii="Arial" w:hAnsi="Arial" w:cs="Arial"/>
          <w:sz w:val="20"/>
          <w:szCs w:val="20"/>
        </w:rPr>
        <w:t xml:space="preserve"> </w:t>
      </w:r>
      <w:r w:rsidRPr="00F16EBC">
        <w:rPr>
          <w:rFonts w:ascii="Arial" w:hAnsi="Arial" w:cs="Arial"/>
          <w:sz w:val="20"/>
          <w:szCs w:val="20"/>
        </w:rPr>
        <w:t>β</w:t>
      </w:r>
      <w:r w:rsidRPr="00AD00AA">
        <w:rPr>
          <w:rFonts w:ascii="Arial" w:hAnsi="Arial" w:cs="Arial"/>
          <w:sz w:val="20"/>
          <w:szCs w:val="20"/>
          <w:vertAlign w:val="subscript"/>
        </w:rPr>
        <w:t>11*</w:t>
      </w:r>
      <w:r w:rsidRPr="00AD00AA">
        <w:rPr>
          <w:rFonts w:ascii="Arial" w:hAnsi="Arial" w:cs="Arial"/>
          <w:sz w:val="20"/>
          <w:szCs w:val="20"/>
        </w:rPr>
        <w:t>sin(6*Pi*t/52.17)</w:t>
      </w:r>
      <w:r w:rsidRPr="00AD00AA">
        <w:rPr>
          <w:rFonts w:ascii="Arial" w:hAnsi="Arial" w:cs="Arial"/>
          <w:sz w:val="20"/>
          <w:szCs w:val="20"/>
          <w:vertAlign w:val="subscript"/>
        </w:rPr>
        <w:t xml:space="preserve"> </w:t>
      </w:r>
      <w:r w:rsidRPr="00AD00AA">
        <w:rPr>
          <w:rFonts w:ascii="Arial" w:hAnsi="Arial" w:cs="Arial"/>
          <w:sz w:val="20"/>
          <w:szCs w:val="20"/>
        </w:rPr>
        <w:t xml:space="preserve">+ </w:t>
      </w:r>
      <w:r w:rsidRPr="00F16EBC">
        <w:rPr>
          <w:rFonts w:ascii="Arial" w:hAnsi="Arial" w:cs="Arial"/>
          <w:sz w:val="20"/>
          <w:szCs w:val="20"/>
        </w:rPr>
        <w:t>β</w:t>
      </w:r>
      <w:r w:rsidRPr="00AD00AA">
        <w:rPr>
          <w:rFonts w:ascii="Arial" w:hAnsi="Arial" w:cs="Arial"/>
          <w:sz w:val="20"/>
          <w:szCs w:val="20"/>
          <w:vertAlign w:val="subscript"/>
        </w:rPr>
        <w:t>12*</w:t>
      </w:r>
      <w:r w:rsidRPr="00AD00AA">
        <w:rPr>
          <w:rFonts w:ascii="Arial" w:hAnsi="Arial" w:cs="Arial"/>
          <w:sz w:val="20"/>
          <w:szCs w:val="20"/>
        </w:rPr>
        <w:t>cos(6*Pi*t/52.17)</w:t>
      </w:r>
      <w:r w:rsidRPr="00AD00AA">
        <w:rPr>
          <w:rFonts w:ascii="Arial" w:hAnsi="Arial" w:cs="Arial"/>
          <w:sz w:val="20"/>
          <w:szCs w:val="20"/>
          <w:vertAlign w:val="subscript"/>
        </w:rPr>
        <w:t xml:space="preserve"> </w:t>
      </w:r>
      <w:r w:rsidRPr="00AD00AA">
        <w:rPr>
          <w:rFonts w:ascii="Arial" w:hAnsi="Arial" w:cs="Arial"/>
          <w:sz w:val="20"/>
          <w:szCs w:val="20"/>
        </w:rPr>
        <w:t xml:space="preserve"> +</w:t>
      </w:r>
      <w:r w:rsidRPr="00AD00AA">
        <w:rPr>
          <w:rFonts w:ascii="Arial" w:hAnsi="Arial" w:cs="Arial"/>
          <w:sz w:val="20"/>
          <w:szCs w:val="20"/>
          <w:vertAlign w:val="subscript"/>
        </w:rPr>
        <w:t xml:space="preserve"> </w:t>
      </w:r>
      <w:r w:rsidRPr="00AD00AA">
        <w:rPr>
          <w:rFonts w:ascii="Arial" w:hAnsi="Arial" w:cs="Arial"/>
          <w:sz w:val="20"/>
          <w:szCs w:val="20"/>
        </w:rPr>
        <w:t xml:space="preserve"> </w:t>
      </w:r>
      <w:r w:rsidRPr="00F16EBC">
        <w:rPr>
          <w:rFonts w:ascii="Arial" w:hAnsi="Arial" w:cs="Arial"/>
          <w:sz w:val="20"/>
          <w:szCs w:val="20"/>
        </w:rPr>
        <w:t>β</w:t>
      </w:r>
      <w:r w:rsidRPr="00AD00AA">
        <w:rPr>
          <w:rFonts w:ascii="Arial" w:hAnsi="Arial" w:cs="Arial"/>
          <w:sz w:val="20"/>
          <w:szCs w:val="20"/>
          <w:vertAlign w:val="subscript"/>
        </w:rPr>
        <w:t>13*</w:t>
      </w:r>
      <w:r w:rsidRPr="00AD00AA">
        <w:rPr>
          <w:rFonts w:ascii="Arial" w:hAnsi="Arial" w:cs="Arial"/>
          <w:sz w:val="20"/>
          <w:szCs w:val="20"/>
        </w:rPr>
        <w:t>sin(8*Pi*t/52.17)</w:t>
      </w:r>
      <w:r w:rsidRPr="00AD00AA">
        <w:rPr>
          <w:rFonts w:ascii="Arial" w:hAnsi="Arial" w:cs="Arial"/>
          <w:sz w:val="20"/>
          <w:szCs w:val="20"/>
          <w:vertAlign w:val="subscript"/>
        </w:rPr>
        <w:t xml:space="preserve"> </w:t>
      </w:r>
      <w:r w:rsidRPr="00AD00AA">
        <w:rPr>
          <w:rFonts w:ascii="Arial" w:hAnsi="Arial" w:cs="Arial"/>
          <w:sz w:val="20"/>
          <w:szCs w:val="20"/>
        </w:rPr>
        <w:t xml:space="preserve">+ </w:t>
      </w:r>
      <w:r w:rsidRPr="00F16EBC">
        <w:rPr>
          <w:rFonts w:ascii="Arial" w:hAnsi="Arial" w:cs="Arial"/>
          <w:sz w:val="20"/>
          <w:szCs w:val="20"/>
        </w:rPr>
        <w:t>β</w:t>
      </w:r>
      <w:r w:rsidRPr="00AD00AA">
        <w:rPr>
          <w:rFonts w:ascii="Arial" w:hAnsi="Arial" w:cs="Arial"/>
          <w:sz w:val="20"/>
          <w:szCs w:val="20"/>
          <w:vertAlign w:val="subscript"/>
        </w:rPr>
        <w:t>14*</w:t>
      </w:r>
      <w:r w:rsidRPr="00AD00AA">
        <w:rPr>
          <w:rFonts w:ascii="Arial" w:hAnsi="Arial" w:cs="Arial"/>
          <w:sz w:val="20"/>
          <w:szCs w:val="20"/>
        </w:rPr>
        <w:t>cos(8*Pi*t/52.17)</w:t>
      </w:r>
      <w:r w:rsidRPr="00AD00AA">
        <w:rPr>
          <w:rFonts w:ascii="Arial" w:hAnsi="Arial" w:cs="Arial"/>
          <w:sz w:val="20"/>
          <w:szCs w:val="20"/>
          <w:vertAlign w:val="subscript"/>
        </w:rPr>
        <w:t xml:space="preserve"> </w:t>
      </w:r>
      <w:r w:rsidRPr="00AD00AA">
        <w:rPr>
          <w:rFonts w:ascii="Arial" w:hAnsi="Arial" w:cs="Arial"/>
          <w:sz w:val="20"/>
          <w:szCs w:val="20"/>
        </w:rPr>
        <w:t xml:space="preserve"> +</w:t>
      </w:r>
      <w:r w:rsidRPr="00AD00AA">
        <w:rPr>
          <w:rFonts w:ascii="Arial" w:hAnsi="Arial" w:cs="Arial"/>
          <w:sz w:val="20"/>
          <w:szCs w:val="20"/>
          <w:vertAlign w:val="subscript"/>
        </w:rPr>
        <w:t xml:space="preserve"> </w:t>
      </w:r>
      <w:r w:rsidRPr="00AD00AA">
        <w:rPr>
          <w:rFonts w:ascii="Arial" w:hAnsi="Arial" w:cs="Arial"/>
          <w:sz w:val="20"/>
          <w:szCs w:val="20"/>
        </w:rPr>
        <w:t xml:space="preserve"> </w:t>
      </w:r>
      <w:r w:rsidRPr="00F16EBC">
        <w:rPr>
          <w:rFonts w:ascii="Arial" w:hAnsi="Arial" w:cs="Arial"/>
          <w:sz w:val="20"/>
          <w:szCs w:val="20"/>
        </w:rPr>
        <w:t>β</w:t>
      </w:r>
      <w:r w:rsidRPr="00AD00AA">
        <w:rPr>
          <w:rFonts w:ascii="Arial" w:hAnsi="Arial" w:cs="Arial"/>
          <w:sz w:val="20"/>
          <w:szCs w:val="20"/>
          <w:vertAlign w:val="subscript"/>
        </w:rPr>
        <w:t>15*</w:t>
      </w:r>
      <w:r w:rsidRPr="00AD00AA">
        <w:rPr>
          <w:rFonts w:ascii="Arial" w:hAnsi="Arial" w:cs="Arial"/>
          <w:sz w:val="20"/>
          <w:szCs w:val="20"/>
        </w:rPr>
        <w:t>sin(10*Pi*t/52.17)</w:t>
      </w:r>
      <w:r w:rsidRPr="00AD00AA">
        <w:rPr>
          <w:rFonts w:ascii="Arial" w:hAnsi="Arial" w:cs="Arial"/>
          <w:sz w:val="20"/>
          <w:szCs w:val="20"/>
          <w:vertAlign w:val="subscript"/>
        </w:rPr>
        <w:t xml:space="preserve"> </w:t>
      </w:r>
      <w:r w:rsidRPr="00AD00AA">
        <w:rPr>
          <w:rFonts w:ascii="Arial" w:hAnsi="Arial" w:cs="Arial"/>
          <w:sz w:val="20"/>
          <w:szCs w:val="20"/>
        </w:rPr>
        <w:t xml:space="preserve">+ </w:t>
      </w:r>
      <w:r w:rsidRPr="00F16EBC">
        <w:rPr>
          <w:rFonts w:ascii="Arial" w:hAnsi="Arial" w:cs="Arial"/>
          <w:sz w:val="20"/>
          <w:szCs w:val="20"/>
        </w:rPr>
        <w:t>β</w:t>
      </w:r>
      <w:r w:rsidRPr="00AD00AA">
        <w:rPr>
          <w:rFonts w:ascii="Arial" w:hAnsi="Arial" w:cs="Arial"/>
          <w:sz w:val="20"/>
          <w:szCs w:val="20"/>
          <w:vertAlign w:val="subscript"/>
        </w:rPr>
        <w:t>16*</w:t>
      </w:r>
      <w:r w:rsidRPr="00AD00AA">
        <w:rPr>
          <w:rFonts w:ascii="Arial" w:hAnsi="Arial" w:cs="Arial"/>
          <w:sz w:val="20"/>
          <w:szCs w:val="20"/>
        </w:rPr>
        <w:t>cos(10*Pi*t/52.17)</w:t>
      </w:r>
      <w:r w:rsidRPr="00AD00AA">
        <w:rPr>
          <w:rFonts w:ascii="Arial" w:hAnsi="Arial" w:cs="Arial"/>
          <w:sz w:val="20"/>
          <w:szCs w:val="20"/>
          <w:vertAlign w:val="subscript"/>
        </w:rPr>
        <w:t xml:space="preserve"> </w:t>
      </w:r>
      <w:r w:rsidRPr="00AD00AA">
        <w:rPr>
          <w:rFonts w:ascii="Arial" w:hAnsi="Arial" w:cs="Arial"/>
          <w:sz w:val="20"/>
          <w:szCs w:val="20"/>
        </w:rPr>
        <w:t xml:space="preserve"> + </w:t>
      </w:r>
      <w:r w:rsidRPr="00F16EBC">
        <w:rPr>
          <w:rFonts w:ascii="Arial" w:hAnsi="Arial" w:cs="Arial"/>
          <w:sz w:val="20"/>
          <w:szCs w:val="20"/>
        </w:rPr>
        <w:t>β</w:t>
      </w:r>
      <w:r w:rsidRPr="00AD00AA">
        <w:rPr>
          <w:rFonts w:ascii="Arial" w:hAnsi="Arial" w:cs="Arial"/>
          <w:sz w:val="20"/>
          <w:szCs w:val="20"/>
          <w:vertAlign w:val="subscript"/>
        </w:rPr>
        <w:t>17*</w:t>
      </w:r>
      <w:r w:rsidRPr="00AD00AA">
        <w:rPr>
          <w:rFonts w:ascii="Arial" w:hAnsi="Arial" w:cs="Arial"/>
          <w:sz w:val="20"/>
          <w:szCs w:val="20"/>
        </w:rPr>
        <w:t>sin(12*Pi*t/52.17)</w:t>
      </w:r>
      <w:r w:rsidRPr="00AD00AA">
        <w:rPr>
          <w:rFonts w:ascii="Arial" w:hAnsi="Arial" w:cs="Arial"/>
          <w:sz w:val="20"/>
          <w:szCs w:val="20"/>
          <w:vertAlign w:val="subscript"/>
        </w:rPr>
        <w:t xml:space="preserve"> </w:t>
      </w:r>
      <w:r w:rsidRPr="00AD00AA">
        <w:rPr>
          <w:rFonts w:ascii="Arial" w:hAnsi="Arial" w:cs="Arial"/>
          <w:sz w:val="20"/>
          <w:szCs w:val="20"/>
        </w:rPr>
        <w:t xml:space="preserve">+ </w:t>
      </w:r>
      <w:r w:rsidRPr="00F16EBC">
        <w:rPr>
          <w:rFonts w:ascii="Arial" w:hAnsi="Arial" w:cs="Arial"/>
          <w:sz w:val="20"/>
          <w:szCs w:val="20"/>
        </w:rPr>
        <w:t>β</w:t>
      </w:r>
      <w:r w:rsidRPr="00AD00AA">
        <w:rPr>
          <w:rFonts w:ascii="Arial" w:hAnsi="Arial" w:cs="Arial"/>
          <w:sz w:val="20"/>
          <w:szCs w:val="20"/>
          <w:vertAlign w:val="subscript"/>
        </w:rPr>
        <w:t>18*</w:t>
      </w:r>
      <w:r w:rsidRPr="00AD00AA">
        <w:rPr>
          <w:rFonts w:ascii="Arial" w:hAnsi="Arial" w:cs="Arial"/>
          <w:sz w:val="20"/>
          <w:szCs w:val="20"/>
        </w:rPr>
        <w:t>cos(12*Pi*t/52.17)</w:t>
      </w:r>
      <w:r w:rsidRPr="00AD00AA">
        <w:rPr>
          <w:rFonts w:ascii="Arial" w:hAnsi="Arial" w:cs="Arial"/>
          <w:sz w:val="20"/>
          <w:szCs w:val="20"/>
          <w:vertAlign w:val="subscript"/>
        </w:rPr>
        <w:t xml:space="preserve"> </w:t>
      </w:r>
    </w:p>
    <w:p w:rsidR="00DD528C" w:rsidRDefault="00DD528C" w:rsidP="001A2260">
      <w:pPr>
        <w:autoSpaceDE w:val="0"/>
        <w:autoSpaceDN w:val="0"/>
        <w:adjustRightInd w:val="0"/>
        <w:spacing w:line="480" w:lineRule="auto"/>
        <w:rPr>
          <w:rFonts w:ascii="Arial" w:hAnsi="Arial" w:cs="Arial"/>
          <w:sz w:val="20"/>
          <w:szCs w:val="20"/>
          <w:lang w:val="en-US"/>
        </w:rPr>
      </w:pPr>
      <w:r>
        <w:rPr>
          <w:rFonts w:ascii="Arial" w:hAnsi="Arial" w:cs="Arial"/>
          <w:sz w:val="20"/>
          <w:szCs w:val="20"/>
          <w:lang w:val="en-US"/>
        </w:rPr>
        <w:t xml:space="preserve">Note that the baseline model only comprised significant trend and seasonal terms selected from the stepwise selection of age- and cause-specific models; we provide here the full equation for reference. </w:t>
      </w:r>
      <w:r w:rsidRPr="00F16EBC">
        <w:rPr>
          <w:rFonts w:ascii="Arial" w:hAnsi="Arial" w:cs="Arial"/>
          <w:sz w:val="20"/>
          <w:szCs w:val="20"/>
          <w:lang w:val="en-US"/>
        </w:rPr>
        <w:t xml:space="preserve">The number of excess deaths due to influenza was defined as the difference between predicted number of deaths and baseline number of deaths. The seasonal number of excess deaths due to influenza was summed for each respiratory season. All respiratory seasons ran from July to June, except for the pandemic season which ran from </w:t>
      </w:r>
      <w:r w:rsidRPr="00411D61">
        <w:rPr>
          <w:rFonts w:ascii="Arial" w:hAnsi="Arial" w:cs="Arial"/>
          <w:sz w:val="20"/>
          <w:szCs w:val="20"/>
          <w:lang w:val="en-US"/>
        </w:rPr>
        <w:t xml:space="preserve">May  2009 to </w:t>
      </w:r>
      <w:r w:rsidRPr="00AD00AA">
        <w:rPr>
          <w:rFonts w:ascii="Arial" w:hAnsi="Arial" w:cs="Arial"/>
          <w:sz w:val="20"/>
          <w:szCs w:val="20"/>
          <w:lang w:val="en-US"/>
        </w:rPr>
        <w:t>May</w:t>
      </w:r>
      <w:r w:rsidRPr="00411D61">
        <w:rPr>
          <w:rFonts w:ascii="Arial" w:hAnsi="Arial" w:cs="Arial"/>
          <w:sz w:val="20"/>
          <w:szCs w:val="20"/>
          <w:lang w:val="en-US"/>
        </w:rPr>
        <w:t xml:space="preserve"> 2010,</w:t>
      </w:r>
      <w:r>
        <w:rPr>
          <w:rFonts w:ascii="Arial" w:hAnsi="Arial" w:cs="Arial"/>
          <w:sz w:val="20"/>
          <w:szCs w:val="20"/>
          <w:lang w:val="en-US"/>
        </w:rPr>
        <w:t xml:space="preserve"> and hence included a full 12-month period during which influenza was not always active</w:t>
      </w:r>
      <w:r w:rsidRPr="00F16EBC">
        <w:rPr>
          <w:rFonts w:ascii="Arial" w:hAnsi="Arial" w:cs="Arial"/>
          <w:sz w:val="20"/>
          <w:szCs w:val="20"/>
          <w:lang w:val="en-US"/>
        </w:rPr>
        <w:t xml:space="preserve">. </w:t>
      </w:r>
      <w:r>
        <w:rPr>
          <w:rFonts w:ascii="Arial" w:hAnsi="Arial" w:cs="Arial"/>
          <w:sz w:val="20"/>
          <w:szCs w:val="20"/>
          <w:lang w:val="en-US"/>
        </w:rPr>
        <w:t>Since the A/H1N1 pandemic virus circulated sporadically before September 2009 and after February 2009, we conducted a sensitivity analysis considering a shorter pandemic season running from September 2009 to February 2010. We obtained mortality estimates within 2% of estimates derived under the longer pandemic period.</w:t>
      </w:r>
    </w:p>
    <w:p w:rsidR="00DD528C" w:rsidRDefault="00DD528C" w:rsidP="001A2260">
      <w:pPr>
        <w:autoSpaceDE w:val="0"/>
        <w:autoSpaceDN w:val="0"/>
        <w:adjustRightInd w:val="0"/>
        <w:spacing w:line="480" w:lineRule="auto"/>
        <w:rPr>
          <w:rFonts w:ascii="Arial" w:hAnsi="Arial" w:cs="Arial"/>
          <w:sz w:val="20"/>
          <w:szCs w:val="20"/>
          <w:lang w:val="en-US"/>
        </w:rPr>
      </w:pPr>
      <w:r w:rsidRPr="00F16EBC">
        <w:rPr>
          <w:rFonts w:ascii="Arial" w:hAnsi="Arial" w:cs="Arial"/>
          <w:sz w:val="20"/>
          <w:szCs w:val="20"/>
          <w:lang w:val="en-US"/>
        </w:rPr>
        <w:t>Age-standardized seasonal excess mortality rates per 100,000 due to influenza were calculated, using the population of 2009 as reference</w:t>
      </w:r>
      <w:r>
        <w:rPr>
          <w:rFonts w:ascii="Arial" w:hAnsi="Arial" w:cs="Arial"/>
          <w:sz w:val="20"/>
          <w:szCs w:val="20"/>
          <w:lang w:val="en-US"/>
        </w:rPr>
        <w:t>, so that we could compare different seasons with different population age structure</w:t>
      </w:r>
      <w:r w:rsidRPr="00F16EBC">
        <w:rPr>
          <w:rFonts w:ascii="Arial" w:hAnsi="Arial" w:cs="Arial"/>
          <w:sz w:val="20"/>
          <w:szCs w:val="20"/>
          <w:lang w:val="en-US"/>
        </w:rPr>
        <w:t xml:space="preserve">. </w:t>
      </w:r>
      <w:r>
        <w:rPr>
          <w:rFonts w:ascii="Arial" w:hAnsi="Arial" w:cs="Arial"/>
          <w:sz w:val="20"/>
          <w:szCs w:val="20"/>
          <w:lang w:val="en-US"/>
        </w:rPr>
        <w:t xml:space="preserve">Confidence intervals for seasonal excess mortality estimates were calculated based on the variance of regression parameter estimates. </w:t>
      </w:r>
    </w:p>
    <w:p w:rsidR="00DD528C" w:rsidRPr="00F16EBC" w:rsidRDefault="00DD528C" w:rsidP="001A2260">
      <w:pPr>
        <w:autoSpaceDE w:val="0"/>
        <w:autoSpaceDN w:val="0"/>
        <w:adjustRightInd w:val="0"/>
        <w:spacing w:line="480" w:lineRule="auto"/>
        <w:rPr>
          <w:rFonts w:ascii="Arial" w:hAnsi="Arial" w:cs="Arial"/>
          <w:sz w:val="20"/>
          <w:szCs w:val="20"/>
          <w:lang w:val="en-US"/>
        </w:rPr>
      </w:pPr>
      <w:r>
        <w:rPr>
          <w:rFonts w:ascii="Arial" w:hAnsi="Arial" w:cs="Arial"/>
          <w:sz w:val="20"/>
          <w:szCs w:val="20"/>
          <w:lang w:val="en-US"/>
        </w:rPr>
        <w:t>We also calculated the proportion of death attributable to influenza, separately for each season, mortality, outcome and age group. For instance for respiratory deaths in the A/H1N1 pandemic season, we divided the number of influenza-associated excess respiratory deaths derived by the Poisson model for May 2009-May 2010, by the total number of respiratory deaths during May 2009-May 2010.</w:t>
      </w:r>
    </w:p>
    <w:p w:rsidR="00DD528C" w:rsidRPr="00AD00AA" w:rsidRDefault="00DD528C" w:rsidP="001A2260">
      <w:pPr>
        <w:spacing w:line="480" w:lineRule="auto"/>
        <w:rPr>
          <w:rFonts w:ascii="Arial" w:hAnsi="Arial" w:cs="Arial"/>
          <w:color w:val="000000"/>
          <w:sz w:val="20"/>
          <w:szCs w:val="20"/>
          <w:lang w:val="en-US"/>
        </w:rPr>
      </w:pPr>
      <w:r w:rsidRPr="00F16EBC">
        <w:rPr>
          <w:rFonts w:ascii="Arial" w:hAnsi="Arial" w:cs="Arial"/>
          <w:sz w:val="20"/>
          <w:szCs w:val="20"/>
          <w:lang w:val="en-GB"/>
        </w:rPr>
        <w:t xml:space="preserve">We conducted supplementary analysis considering 10 different age groups </w:t>
      </w:r>
      <w:r w:rsidRPr="00F16EBC">
        <w:rPr>
          <w:rFonts w:ascii="Arial" w:hAnsi="Arial" w:cs="Arial"/>
          <w:sz w:val="20"/>
          <w:szCs w:val="20"/>
          <w:lang w:val="en-US"/>
        </w:rPr>
        <w:t xml:space="preserve">(0-4, 5-14, 15-24, 25-34, 35-44, 45-54, 55-64, 65-74, 75-84, ≥85 </w:t>
      </w:r>
      <w:proofErr w:type="spellStart"/>
      <w:r w:rsidRPr="00F16EBC">
        <w:rPr>
          <w:rFonts w:ascii="Arial" w:hAnsi="Arial" w:cs="Arial"/>
          <w:sz w:val="20"/>
          <w:szCs w:val="20"/>
          <w:lang w:val="en-US"/>
        </w:rPr>
        <w:t>yrs</w:t>
      </w:r>
      <w:proofErr w:type="spellEnd"/>
      <w:r w:rsidRPr="00F16EBC">
        <w:rPr>
          <w:rFonts w:ascii="Arial" w:hAnsi="Arial" w:cs="Arial"/>
          <w:sz w:val="20"/>
          <w:szCs w:val="20"/>
          <w:lang w:val="en-US"/>
        </w:rPr>
        <w:t>)</w:t>
      </w:r>
      <w:r w:rsidRPr="00F16EBC">
        <w:rPr>
          <w:rFonts w:ascii="Arial" w:hAnsi="Arial" w:cs="Arial"/>
          <w:color w:val="000000"/>
          <w:sz w:val="20"/>
          <w:szCs w:val="20"/>
          <w:lang w:val="en-GB"/>
        </w:rPr>
        <w:t>.</w:t>
      </w:r>
      <w:r>
        <w:rPr>
          <w:rFonts w:ascii="Arial" w:hAnsi="Arial" w:cs="Arial"/>
          <w:color w:val="000000"/>
          <w:sz w:val="20"/>
          <w:szCs w:val="20"/>
          <w:lang w:val="en-GB"/>
        </w:rPr>
        <w:t xml:space="preserve"> We also tried Poisson models with identity links rather than log link; estimates were </w:t>
      </w:r>
      <w:r w:rsidRPr="001460FF">
        <w:rPr>
          <w:rFonts w:ascii="Arial" w:hAnsi="Arial" w:cs="Arial"/>
          <w:color w:val="000000"/>
          <w:sz w:val="20"/>
          <w:szCs w:val="20"/>
          <w:lang w:val="en-GB"/>
        </w:rPr>
        <w:t xml:space="preserve">within </w:t>
      </w:r>
      <w:r w:rsidRPr="00BF1BE2">
        <w:rPr>
          <w:rFonts w:ascii="Arial" w:hAnsi="Arial" w:cs="Arial"/>
          <w:color w:val="000000"/>
          <w:sz w:val="20"/>
          <w:szCs w:val="20"/>
          <w:lang w:val="en-GB"/>
        </w:rPr>
        <w:t>3</w:t>
      </w:r>
      <w:r w:rsidRPr="00AD00AA">
        <w:rPr>
          <w:rFonts w:ascii="Arial" w:hAnsi="Arial" w:cs="Arial"/>
          <w:sz w:val="20"/>
          <w:szCs w:val="20"/>
          <w:lang w:val="en-US"/>
        </w:rPr>
        <w:t>% of each</w:t>
      </w:r>
      <w:r>
        <w:rPr>
          <w:lang w:val="en-US"/>
        </w:rPr>
        <w:t xml:space="preserve"> other</w:t>
      </w:r>
      <w:r w:rsidRPr="00AD00AA">
        <w:rPr>
          <w:lang w:val="en-US"/>
        </w:rPr>
        <w:t xml:space="preserve">. </w:t>
      </w:r>
    </w:p>
    <w:p w:rsidR="00DD528C" w:rsidRDefault="00DD528C" w:rsidP="001A2260">
      <w:pPr>
        <w:rPr>
          <w:rFonts w:ascii="Arial" w:hAnsi="Arial" w:cs="Arial"/>
          <w:sz w:val="20"/>
          <w:szCs w:val="20"/>
          <w:lang w:val="en-GB"/>
        </w:rPr>
      </w:pPr>
      <w:r w:rsidRPr="00F16EBC">
        <w:rPr>
          <w:rFonts w:ascii="Arial" w:hAnsi="Arial" w:cs="Arial"/>
          <w:sz w:val="20"/>
          <w:szCs w:val="20"/>
          <w:lang w:val="en-GB"/>
        </w:rPr>
        <w:t xml:space="preserve">SAS software version 9.2 (SAS Institute, Inc., Cary, NC) </w:t>
      </w:r>
      <w:proofErr w:type="spellStart"/>
      <w:r>
        <w:rPr>
          <w:rFonts w:ascii="Arial" w:hAnsi="Arial" w:cs="Arial"/>
          <w:sz w:val="20"/>
          <w:szCs w:val="20"/>
          <w:lang w:val="en-GB"/>
        </w:rPr>
        <w:t>proc</w:t>
      </w:r>
      <w:proofErr w:type="spellEnd"/>
      <w:r>
        <w:rPr>
          <w:rFonts w:ascii="Arial" w:hAnsi="Arial" w:cs="Arial"/>
          <w:sz w:val="20"/>
          <w:szCs w:val="20"/>
          <w:lang w:val="en-GB"/>
        </w:rPr>
        <w:t xml:space="preserve"> </w:t>
      </w:r>
      <w:proofErr w:type="spellStart"/>
      <w:r>
        <w:rPr>
          <w:rFonts w:ascii="Arial" w:hAnsi="Arial" w:cs="Arial"/>
          <w:sz w:val="20"/>
          <w:szCs w:val="20"/>
          <w:lang w:val="en-GB"/>
        </w:rPr>
        <w:t>Genmod</w:t>
      </w:r>
      <w:proofErr w:type="spellEnd"/>
      <w:r>
        <w:rPr>
          <w:rFonts w:ascii="Arial" w:hAnsi="Arial" w:cs="Arial"/>
          <w:sz w:val="20"/>
          <w:szCs w:val="20"/>
          <w:lang w:val="en-GB"/>
        </w:rPr>
        <w:t xml:space="preserve"> </w:t>
      </w:r>
      <w:r w:rsidRPr="00F16EBC">
        <w:rPr>
          <w:rFonts w:ascii="Arial" w:hAnsi="Arial" w:cs="Arial"/>
          <w:sz w:val="20"/>
          <w:szCs w:val="20"/>
          <w:lang w:val="en-GB"/>
        </w:rPr>
        <w:t xml:space="preserve">was used for all analyses. </w:t>
      </w:r>
    </w:p>
    <w:p w:rsidR="00DD528C" w:rsidRPr="00AD00AA" w:rsidRDefault="00DD528C" w:rsidP="001A2260">
      <w:pPr>
        <w:rPr>
          <w:rFonts w:ascii="Arial" w:hAnsi="Arial" w:cs="Arial"/>
          <w:i/>
          <w:sz w:val="20"/>
          <w:szCs w:val="20"/>
          <w:lang w:val="en-US"/>
        </w:rPr>
      </w:pPr>
      <w:proofErr w:type="spellStart"/>
      <w:r w:rsidRPr="00AD00AA">
        <w:rPr>
          <w:rFonts w:ascii="Arial" w:hAnsi="Arial" w:cs="Arial"/>
          <w:b/>
          <w:bCs/>
          <w:i/>
          <w:sz w:val="20"/>
          <w:szCs w:val="20"/>
          <w:lang w:val="en-US"/>
        </w:rPr>
        <w:t>Serfling</w:t>
      </w:r>
      <w:proofErr w:type="spellEnd"/>
      <w:r w:rsidRPr="00AD00AA">
        <w:rPr>
          <w:rFonts w:ascii="Arial" w:hAnsi="Arial" w:cs="Arial"/>
          <w:b/>
          <w:bCs/>
          <w:i/>
          <w:sz w:val="20"/>
          <w:szCs w:val="20"/>
          <w:lang w:val="en-US"/>
        </w:rPr>
        <w:t xml:space="preserve"> method</w:t>
      </w:r>
    </w:p>
    <w:p w:rsidR="00DD528C" w:rsidRDefault="00DD528C" w:rsidP="001A2260">
      <w:pPr>
        <w:autoSpaceDE w:val="0"/>
        <w:autoSpaceDN w:val="0"/>
        <w:adjustRightInd w:val="0"/>
        <w:spacing w:line="480" w:lineRule="auto"/>
        <w:rPr>
          <w:rFonts w:ascii="Arial" w:hAnsi="Arial" w:cs="Arial"/>
          <w:sz w:val="20"/>
          <w:szCs w:val="20"/>
          <w:lang w:val="en-GB"/>
        </w:rPr>
      </w:pPr>
      <w:r>
        <w:rPr>
          <w:rFonts w:ascii="Arial" w:hAnsi="Arial" w:cs="Arial"/>
          <w:sz w:val="20"/>
          <w:szCs w:val="20"/>
          <w:lang w:val="en-GB"/>
        </w:rPr>
        <w:lastRenderedPageBreak/>
        <w:t xml:space="preserve">The </w:t>
      </w:r>
      <w:proofErr w:type="spellStart"/>
      <w:r w:rsidRPr="00F16EBC">
        <w:rPr>
          <w:rFonts w:ascii="Arial" w:hAnsi="Arial" w:cs="Arial"/>
          <w:sz w:val="20"/>
          <w:szCs w:val="20"/>
          <w:lang w:val="en-GB"/>
        </w:rPr>
        <w:t>Serfling</w:t>
      </w:r>
      <w:proofErr w:type="spellEnd"/>
      <w:r w:rsidRPr="00F16EBC">
        <w:rPr>
          <w:rFonts w:ascii="Arial" w:hAnsi="Arial" w:cs="Arial"/>
          <w:sz w:val="20"/>
          <w:szCs w:val="20"/>
          <w:lang w:val="en-GB"/>
        </w:rPr>
        <w:t xml:space="preserve"> approach </w:t>
      </w:r>
      <w:r>
        <w:rPr>
          <w:rFonts w:ascii="Arial" w:hAnsi="Arial" w:cs="Arial"/>
          <w:sz w:val="20"/>
          <w:szCs w:val="20"/>
          <w:lang w:val="en-GB"/>
        </w:rPr>
        <w:t xml:space="preserve">is a traditional seasonal linear regression model to estimate excess mortality in the absence of information on influenza activity [14]. The model represents the expected level of mortality in the absence of mortality, hence a “baseline”.  </w:t>
      </w:r>
    </w:p>
    <w:p w:rsidR="00DD528C" w:rsidRDefault="00DD528C" w:rsidP="00AD00AA">
      <w:pPr>
        <w:spacing w:line="480" w:lineRule="auto"/>
        <w:ind w:firstLine="720"/>
        <w:rPr>
          <w:rFonts w:ascii="Arial" w:hAnsi="Arial" w:cs="Arial"/>
          <w:sz w:val="20"/>
          <w:szCs w:val="20"/>
          <w:lang w:val="en-GB"/>
        </w:rPr>
      </w:pPr>
      <w:r>
        <w:rPr>
          <w:rFonts w:ascii="Arial" w:hAnsi="Arial" w:cs="Arial"/>
          <w:sz w:val="20"/>
          <w:szCs w:val="20"/>
          <w:lang w:val="en-GB"/>
        </w:rPr>
        <w:t xml:space="preserve">We first defined influenza epidemic weeks by applying a </w:t>
      </w:r>
      <w:proofErr w:type="spellStart"/>
      <w:r>
        <w:rPr>
          <w:rFonts w:ascii="Arial" w:hAnsi="Arial" w:cs="Arial"/>
          <w:sz w:val="20"/>
          <w:szCs w:val="20"/>
          <w:lang w:val="en-GB"/>
        </w:rPr>
        <w:t>Serfling</w:t>
      </w:r>
      <w:proofErr w:type="spellEnd"/>
      <w:r>
        <w:rPr>
          <w:rFonts w:ascii="Arial" w:hAnsi="Arial" w:cs="Arial"/>
          <w:sz w:val="20"/>
          <w:szCs w:val="20"/>
          <w:lang w:val="en-GB"/>
        </w:rPr>
        <w:t xml:space="preserve"> model</w:t>
      </w:r>
      <w:r w:rsidRPr="00F16EBC">
        <w:rPr>
          <w:rFonts w:ascii="Arial" w:hAnsi="Arial" w:cs="Arial"/>
          <w:sz w:val="20"/>
          <w:szCs w:val="20"/>
          <w:lang w:val="en-GB"/>
        </w:rPr>
        <w:t xml:space="preserve"> to weekly </w:t>
      </w:r>
      <w:r>
        <w:rPr>
          <w:rFonts w:ascii="Arial" w:hAnsi="Arial" w:cs="Arial"/>
          <w:sz w:val="20"/>
          <w:szCs w:val="20"/>
          <w:lang w:val="en-GB"/>
        </w:rPr>
        <w:t xml:space="preserve">all-age </w:t>
      </w:r>
      <w:r w:rsidRPr="00F16EBC">
        <w:rPr>
          <w:rFonts w:ascii="Arial" w:hAnsi="Arial" w:cs="Arial"/>
          <w:sz w:val="20"/>
          <w:szCs w:val="20"/>
          <w:lang w:val="en-GB"/>
        </w:rPr>
        <w:t>mortality rates specifically attributed to influenza, excluding values for the period December to April</w:t>
      </w:r>
      <w:r>
        <w:rPr>
          <w:rFonts w:ascii="Arial" w:hAnsi="Arial" w:cs="Arial"/>
          <w:sz w:val="20"/>
          <w:szCs w:val="20"/>
          <w:lang w:val="en-GB"/>
        </w:rPr>
        <w:t xml:space="preserve"> [14,17] following:</w:t>
      </w:r>
    </w:p>
    <w:p w:rsidR="00DD528C" w:rsidRDefault="00DD528C" w:rsidP="004001FE">
      <w:pPr>
        <w:autoSpaceDE w:val="0"/>
        <w:autoSpaceDN w:val="0"/>
        <w:adjustRightInd w:val="0"/>
        <w:spacing w:line="480" w:lineRule="auto"/>
        <w:rPr>
          <w:rFonts w:ascii="Arial" w:hAnsi="Arial" w:cs="Arial"/>
          <w:sz w:val="20"/>
          <w:szCs w:val="20"/>
          <w:lang w:val="en-GB"/>
        </w:rPr>
      </w:pPr>
      <w:r w:rsidRPr="004001FE">
        <w:rPr>
          <w:rFonts w:ascii="Arial" w:hAnsi="Arial" w:cs="Arial"/>
          <w:sz w:val="20"/>
          <w:szCs w:val="20"/>
          <w:lang w:val="en-US"/>
        </w:rPr>
        <w:t>E(</w:t>
      </w:r>
      <w:proofErr w:type="spellStart"/>
      <w:r w:rsidRPr="004001FE">
        <w:rPr>
          <w:rFonts w:ascii="Arial" w:hAnsi="Arial" w:cs="Arial"/>
          <w:sz w:val="20"/>
          <w:szCs w:val="20"/>
          <w:lang w:val="en-US"/>
        </w:rPr>
        <w:t>Y</w:t>
      </w:r>
      <w:r w:rsidRPr="004001FE">
        <w:rPr>
          <w:rFonts w:ascii="Arial" w:hAnsi="Arial" w:cs="Arial"/>
          <w:i/>
          <w:iCs/>
          <w:sz w:val="20"/>
          <w:szCs w:val="20"/>
          <w:vertAlign w:val="subscript"/>
          <w:lang w:val="en-US"/>
        </w:rPr>
        <w:t>t</w:t>
      </w:r>
      <w:proofErr w:type="spellEnd"/>
      <w:r w:rsidRPr="004001FE">
        <w:rPr>
          <w:rFonts w:ascii="Arial" w:hAnsi="Arial" w:cs="Arial"/>
          <w:sz w:val="20"/>
          <w:szCs w:val="20"/>
          <w:lang w:val="en-US"/>
        </w:rPr>
        <w:t xml:space="preserve">) =  </w:t>
      </w:r>
      <w:r w:rsidRPr="00F16EBC">
        <w:rPr>
          <w:rFonts w:ascii="Arial" w:hAnsi="Arial" w:cs="Arial"/>
          <w:sz w:val="20"/>
          <w:szCs w:val="20"/>
        </w:rPr>
        <w:t>β</w:t>
      </w:r>
      <w:r w:rsidRPr="004001FE">
        <w:rPr>
          <w:rFonts w:ascii="Arial" w:hAnsi="Arial" w:cs="Arial"/>
          <w:sz w:val="20"/>
          <w:szCs w:val="20"/>
          <w:vertAlign w:val="subscript"/>
          <w:lang w:val="en-US"/>
        </w:rPr>
        <w:t xml:space="preserve">0 </w:t>
      </w:r>
      <w:r w:rsidRPr="004001FE">
        <w:rPr>
          <w:rFonts w:ascii="Arial" w:hAnsi="Arial" w:cs="Arial"/>
          <w:sz w:val="20"/>
          <w:szCs w:val="20"/>
          <w:lang w:val="en-US"/>
        </w:rPr>
        <w:t xml:space="preserve">+  </w:t>
      </w:r>
      <w:r w:rsidRPr="00F16EBC">
        <w:rPr>
          <w:rFonts w:ascii="Arial" w:hAnsi="Arial" w:cs="Arial"/>
          <w:sz w:val="20"/>
          <w:szCs w:val="20"/>
        </w:rPr>
        <w:t>β</w:t>
      </w:r>
      <w:r w:rsidRPr="004001FE">
        <w:rPr>
          <w:rFonts w:ascii="Arial" w:hAnsi="Arial" w:cs="Arial"/>
          <w:sz w:val="20"/>
          <w:szCs w:val="20"/>
          <w:vertAlign w:val="subscript"/>
          <w:lang w:val="en-US"/>
        </w:rPr>
        <w:t>1*</w:t>
      </w:r>
      <w:r w:rsidRPr="004001FE">
        <w:rPr>
          <w:rFonts w:ascii="Arial" w:hAnsi="Arial" w:cs="Arial"/>
          <w:sz w:val="20"/>
          <w:szCs w:val="20"/>
          <w:lang w:val="en-US"/>
        </w:rPr>
        <w:t>t</w:t>
      </w:r>
      <w:r w:rsidRPr="004001FE">
        <w:rPr>
          <w:rFonts w:ascii="Arial" w:hAnsi="Arial" w:cs="Arial"/>
          <w:sz w:val="20"/>
          <w:szCs w:val="20"/>
          <w:vertAlign w:val="subscript"/>
          <w:lang w:val="en-US"/>
        </w:rPr>
        <w:t xml:space="preserve"> </w:t>
      </w:r>
      <w:r w:rsidRPr="004001FE">
        <w:rPr>
          <w:rFonts w:ascii="Arial" w:hAnsi="Arial" w:cs="Arial"/>
          <w:sz w:val="20"/>
          <w:szCs w:val="20"/>
          <w:lang w:val="en-US"/>
        </w:rPr>
        <w:t xml:space="preserve">+ </w:t>
      </w:r>
      <w:r w:rsidRPr="00F16EBC">
        <w:rPr>
          <w:rFonts w:ascii="Arial" w:hAnsi="Arial" w:cs="Arial"/>
          <w:sz w:val="20"/>
          <w:szCs w:val="20"/>
        </w:rPr>
        <w:t>β</w:t>
      </w:r>
      <w:r w:rsidRPr="004001FE">
        <w:rPr>
          <w:rFonts w:ascii="Arial" w:hAnsi="Arial" w:cs="Arial"/>
          <w:sz w:val="20"/>
          <w:szCs w:val="20"/>
          <w:vertAlign w:val="subscript"/>
          <w:lang w:val="en-US"/>
        </w:rPr>
        <w:t>2*</w:t>
      </w:r>
      <w:r w:rsidRPr="004001FE">
        <w:rPr>
          <w:rFonts w:ascii="Arial" w:hAnsi="Arial" w:cs="Arial"/>
          <w:sz w:val="20"/>
          <w:szCs w:val="20"/>
          <w:lang w:val="en-US"/>
        </w:rPr>
        <w:t>t</w:t>
      </w:r>
      <w:r w:rsidRPr="004001FE">
        <w:rPr>
          <w:rFonts w:ascii="Arial" w:hAnsi="Arial" w:cs="Arial"/>
          <w:sz w:val="20"/>
          <w:szCs w:val="20"/>
          <w:vertAlign w:val="superscript"/>
          <w:lang w:val="en-US"/>
        </w:rPr>
        <w:t>2</w:t>
      </w:r>
      <w:r w:rsidRPr="004001FE">
        <w:rPr>
          <w:rFonts w:ascii="Arial" w:hAnsi="Arial" w:cs="Arial"/>
          <w:sz w:val="20"/>
          <w:szCs w:val="20"/>
          <w:lang w:val="en-US"/>
        </w:rPr>
        <w:t xml:space="preserve"> +</w:t>
      </w:r>
      <w:r w:rsidRPr="004001FE">
        <w:rPr>
          <w:rFonts w:ascii="Arial" w:hAnsi="Arial" w:cs="Arial"/>
          <w:sz w:val="20"/>
          <w:szCs w:val="20"/>
          <w:vertAlign w:val="subscript"/>
          <w:lang w:val="en-US"/>
        </w:rPr>
        <w:t xml:space="preserve"> </w:t>
      </w:r>
      <w:r w:rsidRPr="004001FE">
        <w:rPr>
          <w:rFonts w:ascii="Arial" w:hAnsi="Arial" w:cs="Arial"/>
          <w:sz w:val="20"/>
          <w:szCs w:val="20"/>
          <w:lang w:val="en-US"/>
        </w:rPr>
        <w:t xml:space="preserve"> </w:t>
      </w:r>
      <w:r w:rsidRPr="00F16EBC">
        <w:rPr>
          <w:rFonts w:ascii="Arial" w:hAnsi="Arial" w:cs="Arial"/>
          <w:sz w:val="20"/>
          <w:szCs w:val="20"/>
        </w:rPr>
        <w:t>β</w:t>
      </w:r>
      <w:r w:rsidRPr="004001FE">
        <w:rPr>
          <w:rFonts w:ascii="Arial" w:hAnsi="Arial" w:cs="Arial"/>
          <w:sz w:val="20"/>
          <w:szCs w:val="20"/>
          <w:vertAlign w:val="subscript"/>
          <w:lang w:val="en-US"/>
        </w:rPr>
        <w:t xml:space="preserve">3 </w:t>
      </w:r>
      <w:r w:rsidRPr="004001FE">
        <w:rPr>
          <w:rFonts w:ascii="Arial" w:hAnsi="Arial" w:cs="Arial"/>
          <w:sz w:val="20"/>
          <w:szCs w:val="20"/>
          <w:lang w:val="en-US"/>
        </w:rPr>
        <w:t>t</w:t>
      </w:r>
      <w:r w:rsidRPr="004001FE">
        <w:rPr>
          <w:rFonts w:ascii="Arial" w:hAnsi="Arial" w:cs="Arial"/>
          <w:sz w:val="20"/>
          <w:szCs w:val="20"/>
          <w:vertAlign w:val="superscript"/>
          <w:lang w:val="en-US"/>
        </w:rPr>
        <w:t>3</w:t>
      </w:r>
      <w:r w:rsidRPr="004001FE">
        <w:rPr>
          <w:rFonts w:ascii="Arial" w:hAnsi="Arial" w:cs="Arial"/>
          <w:sz w:val="20"/>
          <w:szCs w:val="20"/>
          <w:lang w:val="en-US"/>
        </w:rPr>
        <w:t xml:space="preserve"> +</w:t>
      </w:r>
      <w:r w:rsidRPr="004001FE">
        <w:rPr>
          <w:rFonts w:ascii="Arial" w:hAnsi="Arial" w:cs="Arial"/>
          <w:sz w:val="20"/>
          <w:szCs w:val="20"/>
          <w:vertAlign w:val="subscript"/>
          <w:lang w:val="en-US"/>
        </w:rPr>
        <w:t xml:space="preserve"> </w:t>
      </w:r>
      <w:r w:rsidRPr="004001FE">
        <w:rPr>
          <w:rFonts w:ascii="Arial" w:hAnsi="Arial" w:cs="Arial"/>
          <w:sz w:val="20"/>
          <w:szCs w:val="20"/>
          <w:lang w:val="en-US"/>
        </w:rPr>
        <w:t xml:space="preserve"> </w:t>
      </w:r>
      <w:r w:rsidRPr="00F16EBC">
        <w:rPr>
          <w:rFonts w:ascii="Arial" w:hAnsi="Arial" w:cs="Arial"/>
          <w:sz w:val="20"/>
          <w:szCs w:val="20"/>
        </w:rPr>
        <w:t>β</w:t>
      </w:r>
      <w:r w:rsidRPr="004001FE">
        <w:rPr>
          <w:rFonts w:ascii="Arial" w:hAnsi="Arial" w:cs="Arial"/>
          <w:sz w:val="20"/>
          <w:szCs w:val="20"/>
          <w:vertAlign w:val="subscript"/>
          <w:lang w:val="en-US"/>
        </w:rPr>
        <w:t>4*</w:t>
      </w:r>
      <w:r w:rsidRPr="004001FE">
        <w:rPr>
          <w:rFonts w:ascii="Arial" w:hAnsi="Arial" w:cs="Arial"/>
          <w:sz w:val="20"/>
          <w:szCs w:val="20"/>
          <w:lang w:val="en-US"/>
        </w:rPr>
        <w:t>sin(2*Pi*t/52.17)</w:t>
      </w:r>
      <w:r w:rsidRPr="004001FE">
        <w:rPr>
          <w:rFonts w:ascii="Arial" w:hAnsi="Arial" w:cs="Arial"/>
          <w:sz w:val="20"/>
          <w:szCs w:val="20"/>
          <w:vertAlign w:val="subscript"/>
          <w:lang w:val="en-US"/>
        </w:rPr>
        <w:t xml:space="preserve"> </w:t>
      </w:r>
      <w:r w:rsidRPr="004001FE">
        <w:rPr>
          <w:rFonts w:ascii="Arial" w:hAnsi="Arial" w:cs="Arial"/>
          <w:sz w:val="20"/>
          <w:szCs w:val="20"/>
          <w:lang w:val="en-US"/>
        </w:rPr>
        <w:t xml:space="preserve">+ </w:t>
      </w:r>
      <w:r w:rsidRPr="00F16EBC">
        <w:rPr>
          <w:rFonts w:ascii="Arial" w:hAnsi="Arial" w:cs="Arial"/>
          <w:sz w:val="20"/>
          <w:szCs w:val="20"/>
        </w:rPr>
        <w:t>β</w:t>
      </w:r>
      <w:r w:rsidRPr="004001FE">
        <w:rPr>
          <w:rFonts w:ascii="Arial" w:hAnsi="Arial" w:cs="Arial"/>
          <w:sz w:val="20"/>
          <w:szCs w:val="20"/>
          <w:vertAlign w:val="subscript"/>
          <w:lang w:val="en-US"/>
        </w:rPr>
        <w:t>5*</w:t>
      </w:r>
      <w:proofErr w:type="spellStart"/>
      <w:r w:rsidRPr="004001FE">
        <w:rPr>
          <w:rFonts w:ascii="Arial" w:hAnsi="Arial" w:cs="Arial"/>
          <w:sz w:val="20"/>
          <w:szCs w:val="20"/>
          <w:lang w:val="en-US"/>
        </w:rPr>
        <w:t>cos</w:t>
      </w:r>
      <w:proofErr w:type="spellEnd"/>
      <w:r w:rsidRPr="004001FE">
        <w:rPr>
          <w:rFonts w:ascii="Arial" w:hAnsi="Arial" w:cs="Arial"/>
          <w:sz w:val="20"/>
          <w:szCs w:val="20"/>
          <w:lang w:val="en-US"/>
        </w:rPr>
        <w:t>(2*Pi*t/52.17)</w:t>
      </w:r>
      <w:r w:rsidRPr="004001FE">
        <w:rPr>
          <w:rFonts w:ascii="Arial" w:hAnsi="Arial" w:cs="Arial"/>
          <w:sz w:val="20"/>
          <w:szCs w:val="20"/>
          <w:vertAlign w:val="subscript"/>
          <w:lang w:val="en-US"/>
        </w:rPr>
        <w:t xml:space="preserve"> </w:t>
      </w:r>
      <w:r>
        <w:rPr>
          <w:rFonts w:ascii="Arial" w:hAnsi="Arial" w:cs="Arial"/>
          <w:color w:val="000000"/>
          <w:sz w:val="20"/>
          <w:szCs w:val="20"/>
          <w:lang w:val="en-US"/>
        </w:rPr>
        <w:t>w</w:t>
      </w:r>
      <w:r w:rsidRPr="00F16EBC">
        <w:rPr>
          <w:rFonts w:ascii="Arial" w:hAnsi="Arial" w:cs="Arial"/>
          <w:color w:val="000000"/>
          <w:sz w:val="20"/>
          <w:szCs w:val="20"/>
          <w:lang w:val="en-US"/>
        </w:rPr>
        <w:t xml:space="preserve">here </w:t>
      </w:r>
      <w:proofErr w:type="spellStart"/>
      <w:r w:rsidRPr="00F16EBC">
        <w:rPr>
          <w:rFonts w:ascii="Arial" w:hAnsi="Arial" w:cs="Arial"/>
          <w:color w:val="000000"/>
          <w:sz w:val="20"/>
          <w:szCs w:val="20"/>
          <w:lang w:val="en-US"/>
        </w:rPr>
        <w:t>Y</w:t>
      </w:r>
      <w:r w:rsidRPr="00F16EBC">
        <w:rPr>
          <w:rFonts w:ascii="Arial" w:hAnsi="Arial" w:cs="Arial"/>
          <w:color w:val="000000"/>
          <w:sz w:val="20"/>
          <w:szCs w:val="20"/>
          <w:vertAlign w:val="subscript"/>
          <w:lang w:val="en-US"/>
        </w:rPr>
        <w:t>t</w:t>
      </w:r>
      <w:proofErr w:type="spellEnd"/>
      <w:r w:rsidRPr="00F16EBC">
        <w:rPr>
          <w:rFonts w:ascii="Arial" w:hAnsi="Arial" w:cs="Arial"/>
          <w:color w:val="000000"/>
          <w:sz w:val="20"/>
          <w:szCs w:val="20"/>
          <w:lang w:val="en-US"/>
        </w:rPr>
        <w:t xml:space="preserve"> represents weekly number of </w:t>
      </w:r>
      <w:r>
        <w:rPr>
          <w:rFonts w:ascii="Arial" w:hAnsi="Arial" w:cs="Arial"/>
          <w:color w:val="000000"/>
          <w:sz w:val="20"/>
          <w:szCs w:val="20"/>
          <w:lang w:val="en-US"/>
        </w:rPr>
        <w:t>flu-specific</w:t>
      </w:r>
      <w:r w:rsidRPr="00F16EBC">
        <w:rPr>
          <w:rFonts w:ascii="Arial" w:hAnsi="Arial" w:cs="Arial"/>
          <w:color w:val="000000"/>
          <w:sz w:val="20"/>
          <w:szCs w:val="20"/>
          <w:lang w:val="en-US"/>
        </w:rPr>
        <w:t xml:space="preserve"> deaths </w:t>
      </w:r>
      <w:r>
        <w:rPr>
          <w:rFonts w:ascii="Arial" w:hAnsi="Arial" w:cs="Arial"/>
          <w:color w:val="000000"/>
          <w:sz w:val="20"/>
          <w:szCs w:val="20"/>
          <w:lang w:val="en-US"/>
        </w:rPr>
        <w:t xml:space="preserve">at week t, t. </w:t>
      </w:r>
      <w:r w:rsidRPr="00F16EBC">
        <w:rPr>
          <w:rFonts w:ascii="Arial" w:hAnsi="Arial" w:cs="Arial"/>
          <w:color w:val="000000"/>
          <w:sz w:val="20"/>
          <w:szCs w:val="20"/>
          <w:lang w:val="en-US"/>
        </w:rPr>
        <w:t>t</w:t>
      </w:r>
      <w:r w:rsidRPr="0098736D">
        <w:rPr>
          <w:rFonts w:ascii="Arial" w:hAnsi="Arial" w:cs="Arial"/>
          <w:color w:val="000000"/>
          <w:sz w:val="20"/>
          <w:szCs w:val="20"/>
          <w:vertAlign w:val="superscript"/>
          <w:lang w:val="en-US"/>
        </w:rPr>
        <w:t>2</w:t>
      </w:r>
      <w:r w:rsidRPr="00F16EBC">
        <w:rPr>
          <w:rFonts w:ascii="Arial" w:hAnsi="Arial" w:cs="Arial"/>
          <w:color w:val="000000"/>
          <w:sz w:val="20"/>
          <w:szCs w:val="20"/>
          <w:lang w:val="en-US"/>
        </w:rPr>
        <w:t xml:space="preserve"> and t</w:t>
      </w:r>
      <w:r w:rsidRPr="0098736D">
        <w:rPr>
          <w:rFonts w:ascii="Arial" w:hAnsi="Arial" w:cs="Arial"/>
          <w:color w:val="000000"/>
          <w:sz w:val="20"/>
          <w:szCs w:val="20"/>
          <w:vertAlign w:val="superscript"/>
          <w:lang w:val="en-US"/>
        </w:rPr>
        <w:t>3</w:t>
      </w:r>
      <w:r w:rsidRPr="00F16EBC">
        <w:rPr>
          <w:rFonts w:ascii="Arial" w:hAnsi="Arial" w:cs="Arial"/>
          <w:color w:val="000000"/>
          <w:sz w:val="20"/>
          <w:szCs w:val="20"/>
          <w:lang w:val="en-US"/>
        </w:rPr>
        <w:t xml:space="preserve"> are </w:t>
      </w:r>
      <w:r>
        <w:rPr>
          <w:rFonts w:ascii="Arial" w:hAnsi="Arial" w:cs="Arial"/>
          <w:color w:val="000000"/>
          <w:sz w:val="20"/>
          <w:szCs w:val="20"/>
          <w:lang w:val="en-US"/>
        </w:rPr>
        <w:t xml:space="preserve">linear, quadratic and cubic </w:t>
      </w:r>
      <w:r w:rsidRPr="00F16EBC">
        <w:rPr>
          <w:rFonts w:ascii="Arial" w:hAnsi="Arial" w:cs="Arial"/>
          <w:color w:val="000000"/>
          <w:sz w:val="20"/>
          <w:szCs w:val="20"/>
          <w:lang w:val="en-US"/>
        </w:rPr>
        <w:t>terms for time trend</w:t>
      </w:r>
      <w:r>
        <w:rPr>
          <w:rFonts w:ascii="Arial" w:hAnsi="Arial" w:cs="Arial"/>
          <w:color w:val="000000"/>
          <w:sz w:val="20"/>
          <w:szCs w:val="20"/>
          <w:lang w:val="en-US"/>
        </w:rPr>
        <w:t>s</w:t>
      </w:r>
      <w:r w:rsidRPr="00F16EBC">
        <w:rPr>
          <w:rFonts w:ascii="Arial" w:hAnsi="Arial" w:cs="Arial"/>
          <w:color w:val="000000"/>
          <w:sz w:val="20"/>
          <w:szCs w:val="20"/>
          <w:lang w:val="en-US"/>
        </w:rPr>
        <w:t xml:space="preserve">, sin and </w:t>
      </w:r>
      <w:proofErr w:type="spellStart"/>
      <w:r w:rsidRPr="00F16EBC">
        <w:rPr>
          <w:rFonts w:ascii="Arial" w:hAnsi="Arial" w:cs="Arial"/>
          <w:color w:val="000000"/>
          <w:sz w:val="20"/>
          <w:szCs w:val="20"/>
          <w:lang w:val="en-US"/>
        </w:rPr>
        <w:t>cos</w:t>
      </w:r>
      <w:proofErr w:type="spellEnd"/>
      <w:r w:rsidRPr="00F16EBC">
        <w:rPr>
          <w:rFonts w:ascii="Arial" w:hAnsi="Arial" w:cs="Arial"/>
          <w:color w:val="000000"/>
          <w:sz w:val="20"/>
          <w:szCs w:val="20"/>
          <w:lang w:val="en-US"/>
        </w:rPr>
        <w:t xml:space="preserve"> are harmonic terms representing</w:t>
      </w:r>
      <w:r>
        <w:rPr>
          <w:rFonts w:ascii="Arial" w:hAnsi="Arial" w:cs="Arial"/>
          <w:color w:val="000000"/>
          <w:sz w:val="20"/>
          <w:szCs w:val="20"/>
          <w:lang w:val="en-US"/>
        </w:rPr>
        <w:t xml:space="preserve"> annual periodicity</w:t>
      </w:r>
      <w:r w:rsidRPr="00F16EBC">
        <w:rPr>
          <w:rFonts w:ascii="Arial" w:hAnsi="Arial" w:cs="Arial"/>
          <w:color w:val="000000"/>
          <w:sz w:val="20"/>
          <w:szCs w:val="20"/>
          <w:lang w:val="en-US"/>
        </w:rPr>
        <w:t>,</w:t>
      </w:r>
    </w:p>
    <w:p w:rsidR="00DD528C" w:rsidRDefault="00DD528C" w:rsidP="00AD00AA">
      <w:pPr>
        <w:autoSpaceDE w:val="0"/>
        <w:autoSpaceDN w:val="0"/>
        <w:adjustRightInd w:val="0"/>
        <w:spacing w:line="480" w:lineRule="auto"/>
        <w:rPr>
          <w:rFonts w:ascii="Arial" w:hAnsi="Arial" w:cs="Arial"/>
          <w:sz w:val="20"/>
          <w:szCs w:val="20"/>
          <w:lang w:val="en-GB"/>
        </w:rPr>
      </w:pPr>
      <w:r w:rsidRPr="00F16EBC">
        <w:rPr>
          <w:rFonts w:ascii="Arial" w:hAnsi="Arial" w:cs="Arial"/>
          <w:sz w:val="20"/>
          <w:szCs w:val="20"/>
          <w:lang w:val="en-GB"/>
        </w:rPr>
        <w:t xml:space="preserve">A week was considered as epidemic if </w:t>
      </w:r>
      <w:r>
        <w:rPr>
          <w:rFonts w:ascii="Arial" w:hAnsi="Arial" w:cs="Arial"/>
          <w:sz w:val="20"/>
          <w:szCs w:val="20"/>
          <w:lang w:val="en-GB"/>
        </w:rPr>
        <w:t xml:space="preserve">the observed </w:t>
      </w:r>
      <w:r w:rsidRPr="00F16EBC">
        <w:rPr>
          <w:rFonts w:ascii="Arial" w:hAnsi="Arial" w:cs="Arial"/>
          <w:sz w:val="20"/>
          <w:szCs w:val="20"/>
          <w:lang w:val="en-GB"/>
        </w:rPr>
        <w:t xml:space="preserve">influenza mortality rate exceeded the upper 95% </w:t>
      </w:r>
      <w:r>
        <w:rPr>
          <w:rFonts w:ascii="Arial" w:hAnsi="Arial" w:cs="Arial"/>
          <w:sz w:val="20"/>
          <w:szCs w:val="20"/>
          <w:lang w:val="en-GB"/>
        </w:rPr>
        <w:t>limit of the prediction interval</w:t>
      </w:r>
      <w:r w:rsidRPr="00F16EBC">
        <w:rPr>
          <w:rFonts w:ascii="Arial" w:hAnsi="Arial" w:cs="Arial"/>
          <w:sz w:val="20"/>
          <w:szCs w:val="20"/>
          <w:lang w:val="en-GB"/>
        </w:rPr>
        <w:t xml:space="preserve"> </w:t>
      </w:r>
      <w:r>
        <w:rPr>
          <w:rFonts w:ascii="Arial" w:hAnsi="Arial" w:cs="Arial"/>
          <w:sz w:val="20"/>
          <w:szCs w:val="20"/>
          <w:lang w:val="en-GB"/>
        </w:rPr>
        <w:t>,calculated as predicted baseline + 1.96 standard deviation</w:t>
      </w:r>
      <w:r w:rsidRPr="00F16EBC">
        <w:rPr>
          <w:rFonts w:ascii="Arial" w:hAnsi="Arial" w:cs="Arial"/>
          <w:sz w:val="20"/>
          <w:szCs w:val="20"/>
          <w:lang w:val="en-GB"/>
        </w:rPr>
        <w:t>. Next,</w:t>
      </w:r>
      <w:r>
        <w:rPr>
          <w:rFonts w:ascii="Arial" w:hAnsi="Arial" w:cs="Arial"/>
          <w:sz w:val="20"/>
          <w:szCs w:val="20"/>
          <w:lang w:val="en-GB"/>
        </w:rPr>
        <w:t xml:space="preserve"> we applied a similar</w:t>
      </w:r>
      <w:r w:rsidRPr="00F16EBC">
        <w:rPr>
          <w:rFonts w:ascii="Arial" w:hAnsi="Arial" w:cs="Arial"/>
          <w:sz w:val="20"/>
          <w:szCs w:val="20"/>
          <w:lang w:val="en-GB"/>
        </w:rPr>
        <w:t xml:space="preserve"> </w:t>
      </w:r>
      <w:r>
        <w:rPr>
          <w:rFonts w:ascii="Arial" w:hAnsi="Arial" w:cs="Arial"/>
          <w:sz w:val="20"/>
          <w:szCs w:val="20"/>
          <w:lang w:val="en-GB"/>
        </w:rPr>
        <w:t>model</w:t>
      </w:r>
      <w:r w:rsidRPr="00F16EBC">
        <w:rPr>
          <w:rFonts w:ascii="Arial" w:hAnsi="Arial" w:cs="Arial"/>
          <w:sz w:val="20"/>
          <w:szCs w:val="20"/>
          <w:lang w:val="en-GB"/>
        </w:rPr>
        <w:t xml:space="preserve"> </w:t>
      </w:r>
      <w:r>
        <w:rPr>
          <w:rFonts w:ascii="Arial" w:hAnsi="Arial" w:cs="Arial"/>
          <w:sz w:val="20"/>
          <w:szCs w:val="20"/>
          <w:lang w:val="en-GB"/>
        </w:rPr>
        <w:t>to</w:t>
      </w:r>
      <w:r w:rsidRPr="00F16EBC">
        <w:rPr>
          <w:rFonts w:ascii="Arial" w:hAnsi="Arial" w:cs="Arial"/>
          <w:sz w:val="20"/>
          <w:szCs w:val="20"/>
          <w:lang w:val="en-GB"/>
        </w:rPr>
        <w:t xml:space="preserve"> each age group and cause of death</w:t>
      </w:r>
      <w:r>
        <w:rPr>
          <w:rFonts w:ascii="Arial" w:hAnsi="Arial" w:cs="Arial"/>
          <w:sz w:val="20"/>
          <w:szCs w:val="20"/>
          <w:lang w:val="en-GB"/>
        </w:rPr>
        <w:t>, after</w:t>
      </w:r>
      <w:r w:rsidRPr="00F16EBC">
        <w:rPr>
          <w:rFonts w:ascii="Arial" w:hAnsi="Arial" w:cs="Arial"/>
          <w:sz w:val="20"/>
          <w:szCs w:val="20"/>
          <w:lang w:val="en-GB"/>
        </w:rPr>
        <w:t xml:space="preserve">, </w:t>
      </w:r>
      <w:r>
        <w:rPr>
          <w:rFonts w:ascii="Arial" w:hAnsi="Arial" w:cs="Arial"/>
          <w:sz w:val="20"/>
          <w:szCs w:val="20"/>
          <w:lang w:val="en-GB"/>
        </w:rPr>
        <w:t>setting values for</w:t>
      </w:r>
      <w:r w:rsidRPr="00F16EBC">
        <w:rPr>
          <w:rFonts w:ascii="Arial" w:hAnsi="Arial" w:cs="Arial"/>
          <w:sz w:val="20"/>
          <w:szCs w:val="20"/>
          <w:lang w:val="en-GB"/>
        </w:rPr>
        <w:t xml:space="preserve"> epidemic weeks</w:t>
      </w:r>
      <w:r>
        <w:rPr>
          <w:rFonts w:ascii="Arial" w:hAnsi="Arial" w:cs="Arial"/>
          <w:sz w:val="20"/>
          <w:szCs w:val="20"/>
          <w:lang w:val="en-GB"/>
        </w:rPr>
        <w:t xml:space="preserve"> to missing</w:t>
      </w:r>
      <w:r w:rsidRPr="00F16EBC">
        <w:rPr>
          <w:rFonts w:ascii="Arial" w:hAnsi="Arial" w:cs="Arial"/>
          <w:sz w:val="20"/>
          <w:szCs w:val="20"/>
          <w:lang w:val="en-GB"/>
        </w:rPr>
        <w:t xml:space="preserve">. </w:t>
      </w:r>
    </w:p>
    <w:p w:rsidR="00DD528C" w:rsidRPr="00F16EBC" w:rsidRDefault="00DD528C" w:rsidP="001A2260">
      <w:pPr>
        <w:autoSpaceDE w:val="0"/>
        <w:autoSpaceDN w:val="0"/>
        <w:adjustRightInd w:val="0"/>
        <w:spacing w:line="480" w:lineRule="auto"/>
        <w:rPr>
          <w:rFonts w:ascii="Arial" w:hAnsi="Arial" w:cs="Arial"/>
          <w:sz w:val="20"/>
          <w:szCs w:val="20"/>
          <w:lang w:val="en-US"/>
        </w:rPr>
      </w:pPr>
      <w:r w:rsidRPr="00F16EBC">
        <w:rPr>
          <w:rFonts w:ascii="Arial" w:hAnsi="Arial" w:cs="Arial"/>
          <w:sz w:val="20"/>
          <w:szCs w:val="20"/>
          <w:lang w:val="en-GB"/>
        </w:rPr>
        <w:t xml:space="preserve">The number of excess deaths attributable to influenza was estimated as the difference between the observed and </w:t>
      </w:r>
      <w:r>
        <w:rPr>
          <w:rFonts w:ascii="Arial" w:hAnsi="Arial" w:cs="Arial"/>
          <w:sz w:val="20"/>
          <w:szCs w:val="20"/>
          <w:lang w:val="en-GB"/>
        </w:rPr>
        <w:t>baseline</w:t>
      </w:r>
      <w:r w:rsidRPr="00F16EBC">
        <w:rPr>
          <w:rFonts w:ascii="Arial" w:hAnsi="Arial" w:cs="Arial"/>
          <w:sz w:val="20"/>
          <w:szCs w:val="20"/>
          <w:lang w:val="en-GB"/>
        </w:rPr>
        <w:t xml:space="preserve"> number of deaths </w:t>
      </w:r>
      <w:r>
        <w:rPr>
          <w:rFonts w:ascii="Arial" w:hAnsi="Arial" w:cs="Arial"/>
          <w:sz w:val="20"/>
          <w:szCs w:val="20"/>
          <w:lang w:val="en-GB"/>
        </w:rPr>
        <w:t>during</w:t>
      </w:r>
      <w:r w:rsidRPr="00F16EBC">
        <w:rPr>
          <w:rFonts w:ascii="Arial" w:hAnsi="Arial" w:cs="Arial"/>
          <w:sz w:val="20"/>
          <w:szCs w:val="20"/>
          <w:lang w:val="en-GB"/>
        </w:rPr>
        <w:t xml:space="preserve"> epidemic weeks. We summed weekly excess deaths for each </w:t>
      </w:r>
      <w:r>
        <w:rPr>
          <w:rFonts w:ascii="Arial" w:hAnsi="Arial" w:cs="Arial"/>
          <w:sz w:val="20"/>
          <w:szCs w:val="20"/>
          <w:lang w:val="en-GB"/>
        </w:rPr>
        <w:t xml:space="preserve">respiratory </w:t>
      </w:r>
      <w:r w:rsidRPr="00F16EBC">
        <w:rPr>
          <w:rFonts w:ascii="Arial" w:hAnsi="Arial" w:cs="Arial"/>
          <w:sz w:val="20"/>
          <w:szCs w:val="20"/>
          <w:lang w:val="en-GB"/>
        </w:rPr>
        <w:t xml:space="preserve">season to provide </w:t>
      </w:r>
      <w:r>
        <w:rPr>
          <w:rFonts w:ascii="Arial" w:hAnsi="Arial" w:cs="Arial"/>
          <w:sz w:val="20"/>
          <w:szCs w:val="20"/>
          <w:lang w:val="en-US"/>
        </w:rPr>
        <w:t>seasonal</w:t>
      </w:r>
      <w:r w:rsidRPr="00F16EBC">
        <w:rPr>
          <w:rFonts w:ascii="Arial" w:hAnsi="Arial" w:cs="Arial"/>
          <w:sz w:val="20"/>
          <w:szCs w:val="20"/>
          <w:lang w:val="en-US"/>
        </w:rPr>
        <w:t xml:space="preserve"> estimat</w:t>
      </w:r>
      <w:r>
        <w:rPr>
          <w:rFonts w:ascii="Arial" w:hAnsi="Arial" w:cs="Arial"/>
          <w:sz w:val="20"/>
          <w:szCs w:val="20"/>
          <w:lang w:val="en-US"/>
        </w:rPr>
        <w:t xml:space="preserve">es </w:t>
      </w:r>
      <w:r w:rsidRPr="00F16EBC">
        <w:rPr>
          <w:rFonts w:ascii="Arial" w:hAnsi="Arial" w:cs="Arial"/>
          <w:sz w:val="20"/>
          <w:szCs w:val="20"/>
          <w:lang w:val="en-US"/>
        </w:rPr>
        <w:t>and age-standardized seasonal excess mortality rates per 100,000.</w:t>
      </w:r>
      <w:r w:rsidRPr="00E04443">
        <w:rPr>
          <w:rFonts w:ascii="Arial" w:hAnsi="Arial" w:cs="Arial"/>
          <w:sz w:val="20"/>
          <w:szCs w:val="20"/>
          <w:lang w:val="en-US"/>
        </w:rPr>
        <w:t xml:space="preserve"> </w:t>
      </w:r>
    </w:p>
    <w:p w:rsidR="00DD528C" w:rsidRPr="00F16EBC" w:rsidRDefault="00DD528C" w:rsidP="001A2260">
      <w:pPr>
        <w:spacing w:line="480" w:lineRule="auto"/>
        <w:rPr>
          <w:rFonts w:ascii="Arial" w:hAnsi="Arial" w:cs="Arial"/>
          <w:sz w:val="20"/>
          <w:szCs w:val="20"/>
          <w:lang w:val="en-US"/>
        </w:rPr>
      </w:pPr>
      <w:r w:rsidRPr="00F16EBC">
        <w:rPr>
          <w:rFonts w:ascii="Arial" w:hAnsi="Arial" w:cs="Arial"/>
          <w:sz w:val="20"/>
          <w:szCs w:val="20"/>
          <w:lang w:val="en-US"/>
        </w:rPr>
        <w:t xml:space="preserve">The </w:t>
      </w:r>
      <w:proofErr w:type="spellStart"/>
      <w:r w:rsidRPr="00F16EBC">
        <w:rPr>
          <w:rFonts w:ascii="Arial" w:hAnsi="Arial" w:cs="Arial"/>
          <w:sz w:val="20"/>
          <w:szCs w:val="20"/>
          <w:lang w:val="en-US"/>
        </w:rPr>
        <w:t>Serfling</w:t>
      </w:r>
      <w:proofErr w:type="spellEnd"/>
      <w:r w:rsidRPr="00F16EBC">
        <w:rPr>
          <w:rFonts w:ascii="Arial" w:hAnsi="Arial" w:cs="Arial"/>
          <w:sz w:val="20"/>
          <w:szCs w:val="20"/>
          <w:lang w:val="en-US"/>
        </w:rPr>
        <w:t xml:space="preserve"> approach produced estimates of 514 excess respiratory and 1,008 cardio-respiratory excess deaths for the 2009</w:t>
      </w:r>
      <w:r>
        <w:rPr>
          <w:rFonts w:ascii="Arial" w:hAnsi="Arial" w:cs="Arial"/>
          <w:sz w:val="20"/>
          <w:szCs w:val="20"/>
          <w:lang w:val="en-US"/>
        </w:rPr>
        <w:t>-10</w:t>
      </w:r>
      <w:r w:rsidRPr="00F16EBC">
        <w:rPr>
          <w:rFonts w:ascii="Arial" w:hAnsi="Arial" w:cs="Arial"/>
          <w:sz w:val="20"/>
          <w:szCs w:val="20"/>
          <w:lang w:val="en-US"/>
        </w:rPr>
        <w:t xml:space="preserve"> pandemic (death rates of 0.82 and 1.61 per 100,000</w:t>
      </w:r>
      <w:r>
        <w:rPr>
          <w:rFonts w:ascii="Arial" w:hAnsi="Arial" w:cs="Arial"/>
          <w:sz w:val="20"/>
          <w:szCs w:val="20"/>
          <w:lang w:val="en-US"/>
        </w:rPr>
        <w:t>, table 1</w:t>
      </w:r>
      <w:r w:rsidRPr="00F16EBC">
        <w:rPr>
          <w:rFonts w:ascii="Arial" w:hAnsi="Arial" w:cs="Arial"/>
          <w:sz w:val="20"/>
          <w:szCs w:val="20"/>
          <w:lang w:val="en-US"/>
        </w:rPr>
        <w:t xml:space="preserve">). </w:t>
      </w:r>
    </w:p>
    <w:p w:rsidR="00DD528C" w:rsidRPr="00F16EBC" w:rsidRDefault="00DD528C" w:rsidP="001A2260">
      <w:pPr>
        <w:spacing w:line="480" w:lineRule="auto"/>
        <w:rPr>
          <w:rFonts w:ascii="Arial" w:hAnsi="Arial" w:cs="Arial"/>
          <w:b/>
          <w:bCs/>
          <w:color w:val="000000"/>
          <w:sz w:val="20"/>
          <w:szCs w:val="20"/>
          <w:lang w:val="en-US"/>
        </w:rPr>
      </w:pPr>
    </w:p>
    <w:p w:rsidR="00DD528C" w:rsidRPr="00F16EBC" w:rsidRDefault="00DD528C" w:rsidP="001A2260">
      <w:pPr>
        <w:spacing w:line="480" w:lineRule="auto"/>
        <w:rPr>
          <w:rFonts w:ascii="Arial" w:hAnsi="Arial" w:cs="Arial"/>
          <w:b/>
          <w:bCs/>
          <w:color w:val="000000"/>
          <w:sz w:val="20"/>
          <w:szCs w:val="20"/>
          <w:lang w:val="en-US"/>
        </w:rPr>
      </w:pPr>
      <w:r w:rsidRPr="00F16EBC">
        <w:rPr>
          <w:rFonts w:ascii="Arial" w:hAnsi="Arial" w:cs="Arial"/>
          <w:b/>
          <w:bCs/>
          <w:color w:val="000000"/>
          <w:sz w:val="20"/>
          <w:szCs w:val="20"/>
          <w:lang w:val="en-US"/>
        </w:rPr>
        <w:t>Years of life lost (YLL) estimation</w:t>
      </w:r>
    </w:p>
    <w:p w:rsidR="00DD528C" w:rsidRPr="004869E6" w:rsidRDefault="00DD528C" w:rsidP="006F62D8">
      <w:pPr>
        <w:spacing w:line="480" w:lineRule="auto"/>
        <w:rPr>
          <w:rFonts w:ascii="Arial" w:hAnsi="Arial" w:cs="Arial"/>
          <w:sz w:val="20"/>
          <w:szCs w:val="20"/>
          <w:lang w:val="en-US"/>
        </w:rPr>
      </w:pPr>
      <w:r w:rsidRPr="00F16EBC">
        <w:rPr>
          <w:rFonts w:ascii="Arial" w:hAnsi="Arial" w:cs="Arial"/>
          <w:color w:val="000000"/>
          <w:sz w:val="20"/>
          <w:szCs w:val="20"/>
          <w:lang w:val="en-US"/>
        </w:rPr>
        <w:t xml:space="preserve">We used the YLL approach to integrate the age distribution of excess deaths in mortality burden estimates, as previously used for influenza </w:t>
      </w:r>
      <w:r>
        <w:rPr>
          <w:rFonts w:ascii="Arial" w:hAnsi="Arial" w:cs="Arial"/>
          <w:color w:val="000000"/>
          <w:sz w:val="20"/>
          <w:szCs w:val="20"/>
          <w:lang w:val="en-US"/>
        </w:rPr>
        <w:fldChar w:fldCharType="begin"/>
      </w:r>
      <w:r>
        <w:rPr>
          <w:rFonts w:ascii="Arial" w:hAnsi="Arial" w:cs="Arial"/>
          <w:color w:val="000000"/>
          <w:sz w:val="20"/>
          <w:szCs w:val="20"/>
          <w:lang w:val="en-US"/>
        </w:rPr>
        <w:instrText xml:space="preserve"> ADDIN EN.CITE &lt;EndNote&gt;&lt;Cite&gt;&lt;Author&gt;Viboud&lt;/Author&gt;&lt;RecNum&gt;119&lt;/RecNum&gt;&lt;record&gt;&lt;rec-number&gt;119&lt;/rec-number&gt;&lt;ref-type name="Journal Article"&gt;17&lt;/ref-type&gt;&lt;contributors&gt;&lt;authors&gt;&lt;author&gt;Viboud, C.&lt;/author&gt;&lt;author&gt;Miller, M.&lt;/author&gt;&lt;author&gt;Olson, D.&lt;/author&gt;&lt;author&gt;Osterholm, M.&lt;/author&gt;&lt;author&gt;Simonsen, L.&lt;/author&gt;&lt;/authors&gt;&lt;/contributors&gt;&lt;auth-address&gt;Fogarty International Center, National Institutes of Health, Bethesda, MD, USA; National Institutes of Health; Director of the Center for Infectious Disease Research and Policy (CIDRAP), director of the NIH-supported Center of Excellence for Influenza Research and Surveillance within CIDRAP, a professor in the Division of Environmental Health Sciences, School of Public Health, and an adjunct professor in the Medical School, University of Minnesota and Department of Global Health, George Washington University, School of Public Health and Health Services, DC.&lt;/auth-address&gt;&lt;titles&gt;&lt;title&gt;Preliminary Estimates of Mortality and Years of Life Lost Associated with the 2009 A/H1N1 Pandemic in the US and Comparison with Past Influenza Seasons&lt;/title&gt;&lt;secondary-title&gt;PLoS Curr&lt;/secondary-title&gt;&lt;/titles&gt;&lt;pages&gt;RRN1153&lt;/pages&gt;&lt;dates&gt;&lt;/dates&gt;&lt;accession-num&gt;20352125&lt;/accession-num&gt;&lt;urls&gt;&lt;related-urls&gt;&lt;url&gt;http://www.ncbi.nlm.nih.gov/entrez/query.fcgi?cmd=Retrieve&amp;amp;db=PubMed&amp;amp;dopt=Citation&amp;amp;list_uids=20352125 &lt;/url&gt;&lt;/related-urls&gt;&lt;/urls&gt;&lt;/record&gt;&lt;/Cite&gt;&lt;Cite&gt;&lt;Author&gt;Butler&lt;/Author&gt;&lt;RecNum&gt;121&lt;/RecNum&gt;&lt;record&gt;&lt;rec-number&gt;121&lt;/rec-number&gt;&lt;ref-type name="Journal Article"&gt;17&lt;/ref-type&gt;&lt;contributors&gt;&lt;authors&gt;&lt;author&gt;Butler, D.&lt;/author&gt;&lt;/authors&gt;&lt;/contributors&gt;&lt;titles&gt;&lt;title&gt;Portrait of a year-old pandemic&lt;/title&gt;&lt;secondary-title&gt;Nature&lt;/secondary-title&gt;&lt;/titles&gt;&lt;periodical&gt;&lt;full-title&gt;Nature&lt;/full-title&gt;&lt;/periodical&gt;&lt;pages&gt;1112-3&lt;/pages&gt;&lt;volume&gt;464&lt;/volume&gt;&lt;number&gt;7292&lt;/number&gt;&lt;keywords&gt;&lt;keyword&gt;Age Distribution&lt;/keyword&gt;&lt;keyword&gt;Biomedical Research/*statistics &amp;amp; numerical data&lt;/keyword&gt;&lt;keyword&gt;Disease Outbreaks/*statistics &amp;amp; numerical data&lt;/keyword&gt;&lt;keyword&gt;Humans&lt;/keyword&gt;&lt;keyword&gt;Influenza A Virus, H1N1 Subtype/immunology/isolation &amp;amp;&lt;/keyword&gt;&lt;keyword&gt;purification/*pathogenicity&lt;/keyword&gt;&lt;keyword&gt;Influenza B virus/genetics/immunology/isolation &amp;amp;&lt;/keyword&gt;&lt;keyword&gt;purification/pathogenicity&lt;/keyword&gt;&lt;keyword&gt;Influenza Vaccines/biosynthesis/immunology/supply &amp;amp; distribution&lt;/keyword&gt;&lt;keyword&gt;Influenza, Human/*epidemiology/immunology/mortality/*virology&lt;/keyword&gt;&lt;keyword&gt;Internationality&lt;/keyword&gt;&lt;keyword&gt;Population Surveillance&lt;/keyword&gt;&lt;keyword&gt;Time Factors&lt;/keyword&gt;&lt;keyword&gt;United States/epidemiology&lt;/keyword&gt;&lt;keyword&gt;Virulence&lt;/keyword&gt;&lt;/keywords&gt;&lt;dates&gt;&lt;pub-dates&gt;&lt;date&gt;Apr 22&lt;/date&gt;&lt;/pub-dates&gt;&lt;/dates&gt;&lt;accession-num&gt;20414281&lt;/accession-num&gt;&lt;urls&gt;&lt;related-urls&gt;&lt;url&gt;http://www.ncbi.nlm.nih.gov/entrez/query.fcgi?cmd=Retrieve&amp;amp;db=PubMed&amp;amp;dopt=Citation&amp;amp;list_uids=20414281 &lt;/url&gt;&lt;/related-urls&gt;&lt;/urls&gt;&lt;/record&gt;&lt;/Cite&gt;&lt;Cite&gt;&lt;Author&gt;Molinari&lt;/Author&gt;&lt;Year&gt;2007&lt;/Year&gt;&lt;RecNum&gt;123&lt;/RecNum&gt;&lt;record&gt;&lt;rec-number&gt;123&lt;/rec-number&gt;&lt;ref-type name="Journal Article"&gt;17&lt;/ref-type&gt;&lt;contributors&gt;&lt;authors&gt;&lt;author&gt;Molinari, N. A.&lt;/author&gt;&lt;author&gt;Ortega-Sanchez, I. R.&lt;/author&gt;&lt;author&gt;Messonnier, M. L.&lt;/author&gt;&lt;author&gt;Thompson, W. W.&lt;/author&gt;&lt;author&gt;Wortley, P. M.&lt;/author&gt;&lt;author&gt;Weintraub, E.&lt;/author&gt;&lt;author&gt;Bridges, C. B.&lt;/author&gt;&lt;/authors&gt;&lt;/contributors&gt;&lt;auth-address&gt;Immunization Service Division, National Center for Immunization and Respiratory Diseases, Centers for Disease Control and Prevention, 1600 Clifton Road, Mail-Stop E-88, Atlanta, GA 30333, USA. NMolinari@cdc.gov&lt;/auth-address&gt;&lt;titles&gt;&lt;title&gt;The annual impact of seasonal influenza in the US: measuring disease burden and costs&lt;/title&gt;&lt;secondary-title&gt;Vaccine&lt;/secondary-title&gt;&lt;/titles&gt;&lt;periodical&gt;&lt;full-title&gt;Vaccine&lt;/full-title&gt;&lt;/periodical&gt;&lt;pages&gt;5086-96&lt;/pages&gt;&lt;volume&gt;25&lt;/volume&gt;&lt;number&gt;27&lt;/number&gt;&lt;keywords&gt;&lt;keyword&gt;Adolescent&lt;/keyword&gt;&lt;keyword&gt;Adult&lt;/keyword&gt;&lt;keyword&gt;Aged&lt;/keyword&gt;&lt;keyword&gt;Algorithms&lt;/keyword&gt;&lt;keyword&gt;Child&lt;/keyword&gt;&lt;keyword&gt;Child, Preschool&lt;/keyword&gt;&lt;keyword&gt;*Cost of Illness&lt;/keyword&gt;&lt;keyword&gt;Costs and Cost Analysis&lt;/keyword&gt;&lt;keyword&gt;Efficiency&lt;/keyword&gt;&lt;keyword&gt;Female&lt;/keyword&gt;&lt;keyword&gt;Hospitalization/economics&lt;/keyword&gt;&lt;keyword&gt;Humans&lt;/keyword&gt;&lt;keyword&gt;Infant&lt;/keyword&gt;&lt;keyword&gt;Influenza, Human/*economics/epidemiology/mortality&lt;/keyword&gt;&lt;keyword&gt;Male&lt;/keyword&gt;&lt;keyword&gt;Middle Aged&lt;/keyword&gt;&lt;keyword&gt;Monte Carlo Method&lt;/keyword&gt;&lt;keyword&gt;Regression Analysis&lt;/keyword&gt;&lt;keyword&gt;Risk&lt;/keyword&gt;&lt;keyword&gt;Sick Leave/economics&lt;/keyword&gt;&lt;keyword&gt;Treatment Outcome&lt;/keyword&gt;&lt;keyword&gt;United States/epidemiology&lt;/keyword&gt;&lt;keyword&gt;Value of Life&lt;/keyword&gt;&lt;/keywords&gt;&lt;dates&gt;&lt;year&gt;2007&lt;/year&gt;&lt;pub-dates&gt;&lt;date&gt;Jun 28&lt;/date&gt;&lt;/pub-dates&gt;&lt;/dates&gt;&lt;accession-num&gt;17544181&lt;/accession-num&gt;&lt;urls&gt;&lt;related-urls&gt;&lt;url&gt;http://www.ncbi.nlm.nih.gov/entrez/query.fcgi?cmd=Retrieve&amp;amp;db=PubMed&amp;amp;dopt=Citation&amp;amp;list_uids=17544181 &lt;/url&gt;&lt;/related-urls&gt;&lt;/urls&gt;&lt;/record&gt;&lt;/Cite&gt;&lt;Cite&gt;&lt;Author&gt;Miller&lt;/Author&gt;&lt;Year&gt;2008&lt;/Year&gt;&lt;RecNum&gt;122&lt;/RecNum&gt;&lt;record&gt;&lt;rec-number&gt;122&lt;/rec-number&gt;&lt;ref-type name="Journal Article"&gt;17&lt;/ref-type&gt;&lt;contributors&gt;&lt;authors&gt;&lt;author&gt;Miller, M. A.&lt;/author&gt;&lt;author&gt;Viboud, C.&lt;/author&gt;&lt;author&gt;Olson, D. R.&lt;/author&gt;&lt;author&gt;Grais, R. F.&lt;/author&gt;&lt;author&gt;Rabaa, M. A.&lt;/author&gt;&lt;author&gt;Simonsen, L.&lt;/author&gt;&lt;/authors&gt;&lt;/contributors&gt;&lt;auth-address&gt;Fogarty International Center, National Institutes of Health, Bethesda, Maryland 20892, USA. millemar@mail.nih.gov&lt;/auth-address&gt;&lt;titles&gt;&lt;title&gt;Prioritization of influenza pandemic vaccination to minimize years of life lost&lt;/title&gt;&lt;secondary-title&gt;J Infect Dis&lt;/secondary-title&gt;&lt;/titles&gt;&lt;periodical&gt;&lt;full-title&gt;J Infect Dis&lt;/full-title&gt;&lt;/periodical&gt;&lt;pages&gt;305-11&lt;/pages&gt;&lt;volume&gt;198&lt;/volume&gt;&lt;number&gt;3&lt;/number&gt;&lt;keywords&gt;&lt;keyword&gt;Adolescent&lt;/keyword&gt;&lt;keyword&gt;Adult&lt;/keyword&gt;&lt;keyword&gt;Age Factors&lt;/keyword&gt;&lt;keyword&gt;Aged&lt;/keyword&gt;&lt;keyword&gt;Aged, 80 and over&lt;/keyword&gt;&lt;keyword&gt;Child&lt;/keyword&gt;&lt;keyword&gt;Child, Preschool&lt;/keyword&gt;&lt;keyword&gt;Disease Outbreaks/*prevention &amp;amp; control&lt;/keyword&gt;&lt;keyword&gt;*Health Planning&lt;/keyword&gt;&lt;keyword&gt;Health Policy&lt;/keyword&gt;&lt;keyword&gt;*Health Priorities&lt;/keyword&gt;&lt;keyword&gt;Humans&lt;/keyword&gt;&lt;keyword&gt;Infant&lt;/keyword&gt;&lt;keyword&gt;Infant, Newborn&lt;/keyword&gt;&lt;keyword&gt;Influenza Vaccines/*therapeutic use&lt;/keyword&gt;&lt;keyword&gt;Influenza, Human/mortality/*prevention &amp;amp; control&lt;/keyword&gt;&lt;keyword&gt;Middle Aged&lt;/keyword&gt;&lt;keyword&gt;Models, Statistical&lt;/keyword&gt;&lt;keyword&gt;United States&lt;/keyword&gt;&lt;keyword&gt;Vaccination/*methods&lt;/keyword&gt;&lt;/keywords&gt;&lt;dates&gt;&lt;year&gt;2008&lt;/year&gt;&lt;pub-dates&gt;&lt;date&gt;Aug 1&lt;/date&gt;&lt;/pub-dates&gt;&lt;/dates&gt;&lt;accession-num&gt;18558871&lt;/accession-num&gt;&lt;urls&gt;&lt;related-urls&gt;&lt;url&gt;http://www.ncbi.nlm.nih.gov/entrez/query.fcgi?cmd=Retrieve&amp;amp;db=PubMed&amp;amp;dopt=Citation&amp;amp;list_uids=18558871 &lt;/url&gt;&lt;/related-urls&gt;&lt;/urls&gt;&lt;/record&gt;&lt;/Cite&gt;&lt;/EndNote&gt;</w:instrText>
      </w:r>
      <w:r>
        <w:rPr>
          <w:rFonts w:ascii="Arial" w:hAnsi="Arial" w:cs="Arial"/>
          <w:color w:val="000000"/>
          <w:sz w:val="20"/>
          <w:szCs w:val="20"/>
          <w:lang w:val="en-US"/>
        </w:rPr>
        <w:fldChar w:fldCharType="separate"/>
      </w:r>
      <w:r w:rsidRPr="00F16EBC">
        <w:rPr>
          <w:rFonts w:ascii="Arial" w:hAnsi="Arial" w:cs="Arial"/>
          <w:noProof/>
          <w:color w:val="000000"/>
          <w:sz w:val="20"/>
          <w:szCs w:val="20"/>
          <w:lang w:val="en-US"/>
        </w:rPr>
        <w:t>[</w:t>
      </w:r>
      <w:hyperlink w:anchor="_ENREF_4" w:tooltip="Viboud,  #119" w:history="1">
        <w:r w:rsidRPr="00F16EBC">
          <w:rPr>
            <w:rFonts w:ascii="Arial" w:hAnsi="Arial" w:cs="Arial"/>
            <w:noProof/>
            <w:color w:val="000000"/>
            <w:sz w:val="20"/>
            <w:szCs w:val="20"/>
            <w:lang w:val="en-US"/>
          </w:rPr>
          <w:t>4</w:t>
        </w:r>
      </w:hyperlink>
      <w:r w:rsidRPr="00F16EBC">
        <w:rPr>
          <w:rFonts w:ascii="Arial" w:hAnsi="Arial" w:cs="Arial"/>
          <w:noProof/>
          <w:color w:val="000000"/>
          <w:sz w:val="20"/>
          <w:szCs w:val="20"/>
          <w:lang w:val="en-US"/>
        </w:rPr>
        <w:t xml:space="preserve">, </w:t>
      </w:r>
      <w:hyperlink w:anchor="_ENREF_39" w:tooltip="Miller, 2008 #122" w:history="1">
        <w:r w:rsidRPr="00F16EBC">
          <w:rPr>
            <w:rFonts w:ascii="Arial" w:hAnsi="Arial" w:cs="Arial"/>
            <w:noProof/>
            <w:color w:val="000000"/>
            <w:sz w:val="20"/>
            <w:szCs w:val="20"/>
            <w:lang w:val="en-US"/>
          </w:rPr>
          <w:t>39</w:t>
        </w:r>
      </w:hyperlink>
      <w:r w:rsidRPr="00F16EBC">
        <w:rPr>
          <w:rFonts w:ascii="Arial" w:hAnsi="Arial" w:cs="Arial"/>
          <w:noProof/>
          <w:color w:val="000000"/>
          <w:sz w:val="20"/>
          <w:szCs w:val="20"/>
          <w:lang w:val="en-US"/>
        </w:rPr>
        <w:t xml:space="preserve">, </w:t>
      </w:r>
      <w:hyperlink w:anchor="_ENREF_47" w:tooltip="Butler,  #121" w:history="1">
        <w:r w:rsidRPr="00F16EBC">
          <w:rPr>
            <w:rFonts w:ascii="Arial" w:hAnsi="Arial" w:cs="Arial"/>
            <w:noProof/>
            <w:color w:val="000000"/>
            <w:sz w:val="20"/>
            <w:szCs w:val="20"/>
            <w:lang w:val="en-US"/>
          </w:rPr>
          <w:t>47</w:t>
        </w:r>
      </w:hyperlink>
      <w:r w:rsidRPr="00F16EBC">
        <w:rPr>
          <w:rFonts w:ascii="Arial" w:hAnsi="Arial" w:cs="Arial"/>
          <w:noProof/>
          <w:color w:val="000000"/>
          <w:sz w:val="20"/>
          <w:szCs w:val="20"/>
          <w:lang w:val="en-US"/>
        </w:rPr>
        <w:t xml:space="preserve">, </w:t>
      </w:r>
      <w:hyperlink w:anchor="_ENREF_48" w:tooltip="Molinari, 2007 #123" w:history="1">
        <w:r w:rsidRPr="00F16EBC">
          <w:rPr>
            <w:rFonts w:ascii="Arial" w:hAnsi="Arial" w:cs="Arial"/>
            <w:noProof/>
            <w:color w:val="000000"/>
            <w:sz w:val="20"/>
            <w:szCs w:val="20"/>
            <w:lang w:val="en-US"/>
          </w:rPr>
          <w:t>48</w:t>
        </w:r>
      </w:hyperlink>
      <w:r w:rsidRPr="00F16EBC">
        <w:rPr>
          <w:rFonts w:ascii="Arial" w:hAnsi="Arial" w:cs="Arial"/>
          <w:noProof/>
          <w:color w:val="000000"/>
          <w:sz w:val="20"/>
          <w:szCs w:val="20"/>
          <w:lang w:val="en-US"/>
        </w:rPr>
        <w:t>]</w:t>
      </w:r>
      <w:r>
        <w:rPr>
          <w:rFonts w:ascii="Arial" w:hAnsi="Arial" w:cs="Arial"/>
          <w:color w:val="000000"/>
          <w:sz w:val="20"/>
          <w:szCs w:val="20"/>
          <w:lang w:val="en-US"/>
        </w:rPr>
        <w:fldChar w:fldCharType="end"/>
      </w:r>
      <w:r w:rsidRPr="00F16EBC">
        <w:rPr>
          <w:rFonts w:ascii="Arial" w:hAnsi="Arial" w:cs="Arial"/>
          <w:color w:val="000000"/>
          <w:sz w:val="20"/>
          <w:szCs w:val="20"/>
          <w:lang w:val="en-US"/>
        </w:rPr>
        <w:t xml:space="preserve">. Specifically, we multiplied the age-specific number of excess deaths by the age-specific life expectancy in 2009 in France </w:t>
      </w:r>
      <w:r>
        <w:rPr>
          <w:rFonts w:ascii="Arial" w:hAnsi="Arial" w:cs="Arial"/>
          <w:color w:val="000000"/>
          <w:sz w:val="20"/>
          <w:szCs w:val="20"/>
          <w:lang w:val="en-US"/>
        </w:rPr>
        <w:fldChar w:fldCharType="begin"/>
      </w:r>
      <w:r>
        <w:rPr>
          <w:rFonts w:ascii="Arial" w:hAnsi="Arial" w:cs="Arial"/>
          <w:color w:val="000000"/>
          <w:sz w:val="20"/>
          <w:szCs w:val="20"/>
          <w:lang w:val="en-US"/>
        </w:rPr>
        <w:instrText xml:space="preserve"> ADDIN EN.CITE &lt;EndNote&gt;&lt;Cite&gt;&lt;RecNum&gt;118&lt;/RecNum&gt;&lt;record&gt;&lt;rec-number&gt;118&lt;/rec-number&gt;&lt;ref-type name="Electronic Source"&gt;12&lt;/ref-type&gt;&lt;contributors&gt;&lt;/contributors&gt;&lt;titles&gt;&lt;title&gt;Institut national d&amp;apos;études démographiques&lt;/title&gt;&lt;/titles&gt;&lt;dates&gt;&lt;pub-dates&gt;&lt;date&gt;October 18, 2011&lt;/date&gt;&lt;/pub-dates&gt;&lt;/dates&gt;&lt;urls&gt;&lt;related-urls&gt;&lt;url&gt;http://www.ined.fr/fr/pop_chiffres/france/mortalite_causes_deces/esperance_vie/&lt;/url&gt;&lt;/related-urls&gt;&lt;/urls&gt;&lt;/record&gt;&lt;/Cite&gt;&lt;/EndNote&gt;</w:instrText>
      </w:r>
      <w:r>
        <w:rPr>
          <w:rFonts w:ascii="Arial" w:hAnsi="Arial" w:cs="Arial"/>
          <w:color w:val="000000"/>
          <w:sz w:val="20"/>
          <w:szCs w:val="20"/>
          <w:lang w:val="en-US"/>
        </w:rPr>
        <w:fldChar w:fldCharType="separate"/>
      </w:r>
      <w:r w:rsidRPr="00F16EBC">
        <w:rPr>
          <w:rFonts w:ascii="Arial" w:hAnsi="Arial" w:cs="Arial"/>
          <w:noProof/>
          <w:color w:val="000000"/>
          <w:sz w:val="20"/>
          <w:szCs w:val="20"/>
          <w:lang w:val="en-US"/>
        </w:rPr>
        <w:t>[</w:t>
      </w:r>
      <w:hyperlink w:anchor="_ENREF_49" w:tooltip=",  #118" w:history="1">
        <w:r w:rsidRPr="00F16EBC">
          <w:rPr>
            <w:rFonts w:ascii="Arial" w:hAnsi="Arial" w:cs="Arial"/>
            <w:noProof/>
            <w:color w:val="000000"/>
            <w:sz w:val="20"/>
            <w:szCs w:val="20"/>
            <w:lang w:val="en-US"/>
          </w:rPr>
          <w:t>49</w:t>
        </w:r>
      </w:hyperlink>
      <w:r w:rsidRPr="00F16EBC">
        <w:rPr>
          <w:rFonts w:ascii="Arial" w:hAnsi="Arial" w:cs="Arial"/>
          <w:noProof/>
          <w:color w:val="000000"/>
          <w:sz w:val="20"/>
          <w:szCs w:val="20"/>
          <w:lang w:val="en-US"/>
        </w:rPr>
        <w:t>]</w:t>
      </w:r>
      <w:r>
        <w:rPr>
          <w:rFonts w:ascii="Arial" w:hAnsi="Arial" w:cs="Arial"/>
          <w:color w:val="000000"/>
          <w:sz w:val="20"/>
          <w:szCs w:val="20"/>
          <w:lang w:val="en-US"/>
        </w:rPr>
        <w:fldChar w:fldCharType="end"/>
      </w:r>
      <w:r w:rsidRPr="00F16EBC">
        <w:rPr>
          <w:rFonts w:ascii="Arial" w:hAnsi="Arial" w:cs="Arial"/>
          <w:color w:val="000000"/>
          <w:sz w:val="20"/>
          <w:szCs w:val="20"/>
          <w:lang w:val="en-US"/>
        </w:rPr>
        <w:t>.  To provide national seasonal estimates of YLL, we summed age-specific estimates of YLL</w:t>
      </w:r>
      <w:r>
        <w:rPr>
          <w:rFonts w:ascii="Arial" w:hAnsi="Arial" w:cs="Arial"/>
          <w:color w:val="000000"/>
          <w:sz w:val="20"/>
          <w:szCs w:val="20"/>
          <w:lang w:val="en-US"/>
        </w:rPr>
        <w:t xml:space="preserve"> across all age groups (Table 2</w:t>
      </w:r>
      <w:r w:rsidRPr="00F16EBC">
        <w:rPr>
          <w:rFonts w:ascii="Arial" w:hAnsi="Arial" w:cs="Arial"/>
          <w:color w:val="000000"/>
          <w:sz w:val="20"/>
          <w:szCs w:val="20"/>
          <w:lang w:val="en-US"/>
        </w:rPr>
        <w:t>).</w:t>
      </w:r>
    </w:p>
    <w:sectPr w:rsidR="00DD528C" w:rsidRPr="004869E6" w:rsidSect="00B87D83">
      <w:footerReference w:type="default" r:id="rId7"/>
      <w:pgSz w:w="11906" w:h="16838"/>
      <w:pgMar w:top="1138" w:right="1800" w:bottom="850" w:left="85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A42" w:rsidRDefault="009F1A42" w:rsidP="000B39FA">
      <w:pPr>
        <w:spacing w:after="0" w:line="240" w:lineRule="auto"/>
      </w:pPr>
      <w:r>
        <w:separator/>
      </w:r>
    </w:p>
  </w:endnote>
  <w:endnote w:type="continuationSeparator" w:id="0">
    <w:p w:rsidR="009F1A42" w:rsidRDefault="009F1A42" w:rsidP="000B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P6EC5">
    <w:panose1 w:val="00000000000000000000"/>
    <w:charset w:val="00"/>
    <w:family w:val="auto"/>
    <w:notTrueType/>
    <w:pitch w:val="default"/>
    <w:sig w:usb0="00000003" w:usb1="00000000" w:usb2="00000000" w:usb3="00000000" w:csb0="00000001" w:csb1="00000000"/>
  </w:font>
  <w:font w:name="Warnock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8C" w:rsidRDefault="00CB4C62">
    <w:pPr>
      <w:pStyle w:val="Pieddepage"/>
    </w:pPr>
    <w:r>
      <w:fldChar w:fldCharType="begin"/>
    </w:r>
    <w:r>
      <w:instrText xml:space="preserve"> PAGE   \* MERGEFORMAT </w:instrText>
    </w:r>
    <w:r>
      <w:fldChar w:fldCharType="separate"/>
    </w:r>
    <w:r w:rsidR="005601BB">
      <w:rPr>
        <w:noProof/>
      </w:rPr>
      <w:t>1</w:t>
    </w:r>
    <w:r>
      <w:rPr>
        <w:noProof/>
      </w:rPr>
      <w:fldChar w:fldCharType="end"/>
    </w:r>
  </w:p>
  <w:p w:rsidR="00DD528C" w:rsidRDefault="00DD52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A42" w:rsidRDefault="009F1A42" w:rsidP="000B39FA">
      <w:pPr>
        <w:spacing w:after="0" w:line="240" w:lineRule="auto"/>
      </w:pPr>
      <w:r>
        <w:separator/>
      </w:r>
    </w:p>
  </w:footnote>
  <w:footnote w:type="continuationSeparator" w:id="0">
    <w:p w:rsidR="009F1A42" w:rsidRDefault="009F1A42" w:rsidP="000B39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60"/>
    <w:rsid w:val="000255B9"/>
    <w:rsid w:val="00035248"/>
    <w:rsid w:val="00036BCC"/>
    <w:rsid w:val="00075E55"/>
    <w:rsid w:val="000B39FA"/>
    <w:rsid w:val="000D1B09"/>
    <w:rsid w:val="000E4719"/>
    <w:rsid w:val="000F5689"/>
    <w:rsid w:val="00111D10"/>
    <w:rsid w:val="001311A1"/>
    <w:rsid w:val="001364B5"/>
    <w:rsid w:val="001460FF"/>
    <w:rsid w:val="00155D84"/>
    <w:rsid w:val="00156BE7"/>
    <w:rsid w:val="001657AB"/>
    <w:rsid w:val="00185359"/>
    <w:rsid w:val="001A2260"/>
    <w:rsid w:val="001A362E"/>
    <w:rsid w:val="001B5FBE"/>
    <w:rsid w:val="001D0146"/>
    <w:rsid w:val="001D7E2B"/>
    <w:rsid w:val="001F5AB6"/>
    <w:rsid w:val="002028F6"/>
    <w:rsid w:val="00237805"/>
    <w:rsid w:val="002540C3"/>
    <w:rsid w:val="00290862"/>
    <w:rsid w:val="002A7700"/>
    <w:rsid w:val="002B178C"/>
    <w:rsid w:val="002B2E0C"/>
    <w:rsid w:val="002B5572"/>
    <w:rsid w:val="002C2544"/>
    <w:rsid w:val="002C48AB"/>
    <w:rsid w:val="002D17A2"/>
    <w:rsid w:val="002E1A1C"/>
    <w:rsid w:val="002E60C3"/>
    <w:rsid w:val="00300ACA"/>
    <w:rsid w:val="00306540"/>
    <w:rsid w:val="00313F47"/>
    <w:rsid w:val="00364C2C"/>
    <w:rsid w:val="003A1510"/>
    <w:rsid w:val="003E3A1E"/>
    <w:rsid w:val="004001FE"/>
    <w:rsid w:val="00401BE7"/>
    <w:rsid w:val="004033F4"/>
    <w:rsid w:val="004039F7"/>
    <w:rsid w:val="00407DCA"/>
    <w:rsid w:val="00411D61"/>
    <w:rsid w:val="004203DD"/>
    <w:rsid w:val="00472C84"/>
    <w:rsid w:val="0047422A"/>
    <w:rsid w:val="004869E6"/>
    <w:rsid w:val="004A4B0F"/>
    <w:rsid w:val="004A79A3"/>
    <w:rsid w:val="004D2B63"/>
    <w:rsid w:val="004D2CEC"/>
    <w:rsid w:val="00515AAD"/>
    <w:rsid w:val="0053046E"/>
    <w:rsid w:val="00547121"/>
    <w:rsid w:val="005601BB"/>
    <w:rsid w:val="00566BB7"/>
    <w:rsid w:val="00590E3B"/>
    <w:rsid w:val="005B3592"/>
    <w:rsid w:val="005E6A49"/>
    <w:rsid w:val="005F05B2"/>
    <w:rsid w:val="00602D02"/>
    <w:rsid w:val="00603077"/>
    <w:rsid w:val="00622DCE"/>
    <w:rsid w:val="00625EE4"/>
    <w:rsid w:val="006A6BCF"/>
    <w:rsid w:val="006C40A9"/>
    <w:rsid w:val="006C46B4"/>
    <w:rsid w:val="006D2589"/>
    <w:rsid w:val="006E5DA5"/>
    <w:rsid w:val="006F62D8"/>
    <w:rsid w:val="006F6A54"/>
    <w:rsid w:val="00720776"/>
    <w:rsid w:val="00744A35"/>
    <w:rsid w:val="00776117"/>
    <w:rsid w:val="00792C22"/>
    <w:rsid w:val="007A41E9"/>
    <w:rsid w:val="007C4264"/>
    <w:rsid w:val="00836493"/>
    <w:rsid w:val="00876BEA"/>
    <w:rsid w:val="00887BCF"/>
    <w:rsid w:val="00887F8E"/>
    <w:rsid w:val="0089324A"/>
    <w:rsid w:val="008C5607"/>
    <w:rsid w:val="008D5A4F"/>
    <w:rsid w:val="00915CED"/>
    <w:rsid w:val="0092053F"/>
    <w:rsid w:val="009321B7"/>
    <w:rsid w:val="00962BF0"/>
    <w:rsid w:val="009822F4"/>
    <w:rsid w:val="0098736D"/>
    <w:rsid w:val="009B5363"/>
    <w:rsid w:val="009B7169"/>
    <w:rsid w:val="009F1A42"/>
    <w:rsid w:val="00A04208"/>
    <w:rsid w:val="00A37C52"/>
    <w:rsid w:val="00A55849"/>
    <w:rsid w:val="00A80F60"/>
    <w:rsid w:val="00A87B73"/>
    <w:rsid w:val="00A91CAB"/>
    <w:rsid w:val="00AB1F62"/>
    <w:rsid w:val="00AC190B"/>
    <w:rsid w:val="00AC3CA7"/>
    <w:rsid w:val="00AD00AA"/>
    <w:rsid w:val="00AE32AE"/>
    <w:rsid w:val="00AE3B7F"/>
    <w:rsid w:val="00AE4490"/>
    <w:rsid w:val="00B177E5"/>
    <w:rsid w:val="00B87D83"/>
    <w:rsid w:val="00BB2E0A"/>
    <w:rsid w:val="00BB7C75"/>
    <w:rsid w:val="00BD2806"/>
    <w:rsid w:val="00BE7C74"/>
    <w:rsid w:val="00BF1BE2"/>
    <w:rsid w:val="00C20B9E"/>
    <w:rsid w:val="00C512B8"/>
    <w:rsid w:val="00C54902"/>
    <w:rsid w:val="00C55D43"/>
    <w:rsid w:val="00C7615D"/>
    <w:rsid w:val="00CB4C62"/>
    <w:rsid w:val="00D53379"/>
    <w:rsid w:val="00D64E30"/>
    <w:rsid w:val="00D67596"/>
    <w:rsid w:val="00D84D32"/>
    <w:rsid w:val="00DA2375"/>
    <w:rsid w:val="00DD199A"/>
    <w:rsid w:val="00DD528C"/>
    <w:rsid w:val="00E04443"/>
    <w:rsid w:val="00E12BAE"/>
    <w:rsid w:val="00E61188"/>
    <w:rsid w:val="00E9534A"/>
    <w:rsid w:val="00EB7CCC"/>
    <w:rsid w:val="00EC49C5"/>
    <w:rsid w:val="00EC5592"/>
    <w:rsid w:val="00ED0377"/>
    <w:rsid w:val="00EE1EAB"/>
    <w:rsid w:val="00EF1717"/>
    <w:rsid w:val="00F0063C"/>
    <w:rsid w:val="00F12C40"/>
    <w:rsid w:val="00F16EBC"/>
    <w:rsid w:val="00F22A59"/>
    <w:rsid w:val="00F23608"/>
    <w:rsid w:val="00F332BF"/>
    <w:rsid w:val="00F40CE7"/>
    <w:rsid w:val="00F6222E"/>
    <w:rsid w:val="00F72129"/>
    <w:rsid w:val="00FA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260"/>
    <w:pPr>
      <w:spacing w:after="200" w:line="276" w:lineRule="auto"/>
    </w:pPr>
    <w:rPr>
      <w:rFonts w:eastAsia="Times New Roman" w:cs="Calibri"/>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1A22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A2260"/>
    <w:rPr>
      <w:rFonts w:ascii="Tahoma" w:hAnsi="Tahoma" w:cs="Tahoma"/>
      <w:sz w:val="16"/>
      <w:szCs w:val="16"/>
      <w:lang w:eastAsia="fr-FR"/>
    </w:rPr>
  </w:style>
  <w:style w:type="character" w:styleId="Marquedecommentaire">
    <w:name w:val="annotation reference"/>
    <w:basedOn w:val="Policepardfaut"/>
    <w:uiPriority w:val="99"/>
    <w:rsid w:val="001A2260"/>
    <w:rPr>
      <w:rFonts w:cs="Times New Roman"/>
      <w:sz w:val="16"/>
      <w:szCs w:val="16"/>
    </w:rPr>
  </w:style>
  <w:style w:type="paragraph" w:styleId="Pieddepage">
    <w:name w:val="footer"/>
    <w:basedOn w:val="Normal"/>
    <w:link w:val="PieddepageCar"/>
    <w:uiPriority w:val="99"/>
    <w:rsid w:val="001A2260"/>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1A2260"/>
    <w:rPr>
      <w:rFonts w:ascii="Calibri" w:hAnsi="Calibri" w:cs="Calibri"/>
      <w:lang w:eastAsia="fr-FR"/>
    </w:rPr>
  </w:style>
  <w:style w:type="paragraph" w:styleId="NormalWeb">
    <w:name w:val="Normal (Web)"/>
    <w:basedOn w:val="Normal"/>
    <w:uiPriority w:val="99"/>
    <w:rsid w:val="001A2260"/>
    <w:pPr>
      <w:spacing w:before="100" w:beforeAutospacing="1" w:after="100" w:afterAutospacing="1" w:line="240" w:lineRule="auto"/>
    </w:pPr>
    <w:rPr>
      <w:rFonts w:ascii="Times New Roman" w:hAnsi="Times New Roman" w:cs="Times New Roman"/>
      <w:sz w:val="24"/>
      <w:szCs w:val="24"/>
    </w:rPr>
  </w:style>
  <w:style w:type="paragraph" w:styleId="Commentaire">
    <w:name w:val="annotation text"/>
    <w:basedOn w:val="Normal"/>
    <w:link w:val="CommentaireCar"/>
    <w:uiPriority w:val="99"/>
    <w:semiHidden/>
    <w:rsid w:val="00F40CE7"/>
    <w:pPr>
      <w:spacing w:line="240" w:lineRule="auto"/>
    </w:pPr>
    <w:rPr>
      <w:sz w:val="20"/>
      <w:szCs w:val="20"/>
    </w:rPr>
  </w:style>
  <w:style w:type="character" w:customStyle="1" w:styleId="CommentaireCar">
    <w:name w:val="Commentaire Car"/>
    <w:basedOn w:val="Policepardfaut"/>
    <w:link w:val="Commentaire"/>
    <w:uiPriority w:val="99"/>
    <w:semiHidden/>
    <w:locked/>
    <w:rsid w:val="00F40CE7"/>
    <w:rPr>
      <w:rFonts w:ascii="Calibri" w:hAnsi="Calibri" w:cs="Calibri"/>
      <w:sz w:val="20"/>
      <w:szCs w:val="20"/>
      <w:lang w:eastAsia="fr-FR"/>
    </w:rPr>
  </w:style>
  <w:style w:type="paragraph" w:styleId="Objetducommentaire">
    <w:name w:val="annotation subject"/>
    <w:basedOn w:val="Commentaire"/>
    <w:next w:val="Commentaire"/>
    <w:link w:val="ObjetducommentaireCar"/>
    <w:uiPriority w:val="99"/>
    <w:semiHidden/>
    <w:rsid w:val="00F40CE7"/>
    <w:rPr>
      <w:b/>
      <w:bCs/>
    </w:rPr>
  </w:style>
  <w:style w:type="character" w:customStyle="1" w:styleId="ObjetducommentaireCar">
    <w:name w:val="Objet du commentaire Car"/>
    <w:basedOn w:val="CommentaireCar"/>
    <w:link w:val="Objetducommentaire"/>
    <w:uiPriority w:val="99"/>
    <w:semiHidden/>
    <w:locked/>
    <w:rsid w:val="00F40CE7"/>
    <w:rPr>
      <w:rFonts w:ascii="Calibri" w:hAnsi="Calibri" w:cs="Calibri"/>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260"/>
    <w:pPr>
      <w:spacing w:after="200" w:line="276" w:lineRule="auto"/>
    </w:pPr>
    <w:rPr>
      <w:rFonts w:eastAsia="Times New Roman" w:cs="Calibri"/>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1A22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A2260"/>
    <w:rPr>
      <w:rFonts w:ascii="Tahoma" w:hAnsi="Tahoma" w:cs="Tahoma"/>
      <w:sz w:val="16"/>
      <w:szCs w:val="16"/>
      <w:lang w:eastAsia="fr-FR"/>
    </w:rPr>
  </w:style>
  <w:style w:type="character" w:styleId="Marquedecommentaire">
    <w:name w:val="annotation reference"/>
    <w:basedOn w:val="Policepardfaut"/>
    <w:uiPriority w:val="99"/>
    <w:rsid w:val="001A2260"/>
    <w:rPr>
      <w:rFonts w:cs="Times New Roman"/>
      <w:sz w:val="16"/>
      <w:szCs w:val="16"/>
    </w:rPr>
  </w:style>
  <w:style w:type="paragraph" w:styleId="Pieddepage">
    <w:name w:val="footer"/>
    <w:basedOn w:val="Normal"/>
    <w:link w:val="PieddepageCar"/>
    <w:uiPriority w:val="99"/>
    <w:rsid w:val="001A2260"/>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1A2260"/>
    <w:rPr>
      <w:rFonts w:ascii="Calibri" w:hAnsi="Calibri" w:cs="Calibri"/>
      <w:lang w:eastAsia="fr-FR"/>
    </w:rPr>
  </w:style>
  <w:style w:type="paragraph" w:styleId="NormalWeb">
    <w:name w:val="Normal (Web)"/>
    <w:basedOn w:val="Normal"/>
    <w:uiPriority w:val="99"/>
    <w:rsid w:val="001A2260"/>
    <w:pPr>
      <w:spacing w:before="100" w:beforeAutospacing="1" w:after="100" w:afterAutospacing="1" w:line="240" w:lineRule="auto"/>
    </w:pPr>
    <w:rPr>
      <w:rFonts w:ascii="Times New Roman" w:hAnsi="Times New Roman" w:cs="Times New Roman"/>
      <w:sz w:val="24"/>
      <w:szCs w:val="24"/>
    </w:rPr>
  </w:style>
  <w:style w:type="paragraph" w:styleId="Commentaire">
    <w:name w:val="annotation text"/>
    <w:basedOn w:val="Normal"/>
    <w:link w:val="CommentaireCar"/>
    <w:uiPriority w:val="99"/>
    <w:semiHidden/>
    <w:rsid w:val="00F40CE7"/>
    <w:pPr>
      <w:spacing w:line="240" w:lineRule="auto"/>
    </w:pPr>
    <w:rPr>
      <w:sz w:val="20"/>
      <w:szCs w:val="20"/>
    </w:rPr>
  </w:style>
  <w:style w:type="character" w:customStyle="1" w:styleId="CommentaireCar">
    <w:name w:val="Commentaire Car"/>
    <w:basedOn w:val="Policepardfaut"/>
    <w:link w:val="Commentaire"/>
    <w:uiPriority w:val="99"/>
    <w:semiHidden/>
    <w:locked/>
    <w:rsid w:val="00F40CE7"/>
    <w:rPr>
      <w:rFonts w:ascii="Calibri" w:hAnsi="Calibri" w:cs="Calibri"/>
      <w:sz w:val="20"/>
      <w:szCs w:val="20"/>
      <w:lang w:eastAsia="fr-FR"/>
    </w:rPr>
  </w:style>
  <w:style w:type="paragraph" w:styleId="Objetducommentaire">
    <w:name w:val="annotation subject"/>
    <w:basedOn w:val="Commentaire"/>
    <w:next w:val="Commentaire"/>
    <w:link w:val="ObjetducommentaireCar"/>
    <w:uiPriority w:val="99"/>
    <w:semiHidden/>
    <w:rsid w:val="00F40CE7"/>
    <w:rPr>
      <w:b/>
      <w:bCs/>
    </w:rPr>
  </w:style>
  <w:style w:type="character" w:customStyle="1" w:styleId="ObjetducommentaireCar">
    <w:name w:val="Objet du commentaire Car"/>
    <w:basedOn w:val="CommentaireCar"/>
    <w:link w:val="Objetducommentaire"/>
    <w:uiPriority w:val="99"/>
    <w:semiHidden/>
    <w:locked/>
    <w:rsid w:val="00F40CE7"/>
    <w:rPr>
      <w:rFonts w:ascii="Calibri" w:hAnsi="Calibri" w:cs="Calibri"/>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58758">
      <w:marLeft w:val="0"/>
      <w:marRight w:val="0"/>
      <w:marTop w:val="0"/>
      <w:marBottom w:val="0"/>
      <w:divBdr>
        <w:top w:val="none" w:sz="0" w:space="0" w:color="auto"/>
        <w:left w:val="none" w:sz="0" w:space="0" w:color="auto"/>
        <w:bottom w:val="none" w:sz="0" w:space="0" w:color="auto"/>
        <w:right w:val="none" w:sz="0" w:space="0" w:color="auto"/>
      </w:divBdr>
    </w:div>
    <w:div w:id="1006058759">
      <w:marLeft w:val="0"/>
      <w:marRight w:val="0"/>
      <w:marTop w:val="0"/>
      <w:marBottom w:val="0"/>
      <w:divBdr>
        <w:top w:val="none" w:sz="0" w:space="0" w:color="auto"/>
        <w:left w:val="none" w:sz="0" w:space="0" w:color="auto"/>
        <w:bottom w:val="none" w:sz="0" w:space="0" w:color="auto"/>
        <w:right w:val="none" w:sz="0" w:space="0" w:color="auto"/>
      </w:divBdr>
    </w:div>
    <w:div w:id="1006058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3454</Words>
  <Characters>19692</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Mortality burden of the 2009 A/H1N1 pandemic in France: comparison to seasonal influenza and the A/H3N2 pandemic:</vt:lpstr>
    </vt:vector>
  </TitlesOfParts>
  <Company/>
  <LinksUpToDate>false</LinksUpToDate>
  <CharactersWithSpaces>23100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Mortality burden of the 2009 A/H1N1 pandemic in France: comparison to seasonal influenza and the A/H3N2 pandemic:</dc:title>
  <dc:creator>Magali</dc:creator>
  <cp:lastModifiedBy>Magali</cp:lastModifiedBy>
  <cp:revision>2</cp:revision>
  <dcterms:created xsi:type="dcterms:W3CDTF">2012-08-28T20:12:00Z</dcterms:created>
  <dcterms:modified xsi:type="dcterms:W3CDTF">2012-08-28T20:12:00Z</dcterms:modified>
</cp:coreProperties>
</file>