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1" w:rsidRPr="00530136" w:rsidRDefault="00852771" w:rsidP="00852771">
      <w:pPr>
        <w:rPr>
          <w:b/>
          <w:bCs/>
          <w:smallCaps/>
        </w:rPr>
      </w:pPr>
      <w:r w:rsidRPr="00530136">
        <w:rPr>
          <w:b/>
          <w:bCs/>
          <w:smallCaps/>
        </w:rPr>
        <w:t xml:space="preserve">Supplementary </w:t>
      </w:r>
      <w:r>
        <w:rPr>
          <w:b/>
          <w:bCs/>
          <w:smallCaps/>
        </w:rPr>
        <w:t>Material</w:t>
      </w:r>
    </w:p>
    <w:p w:rsidR="00852771" w:rsidRDefault="00852771" w:rsidP="00852771">
      <w:pPr>
        <w:rPr>
          <w:b/>
          <w:bCs/>
          <w:smallCaps/>
        </w:rPr>
      </w:pPr>
    </w:p>
    <w:p w:rsidR="001952AF" w:rsidRPr="00530136" w:rsidRDefault="001952AF" w:rsidP="001952AF">
      <w:pPr>
        <w:rPr>
          <w:b/>
        </w:rPr>
      </w:pPr>
      <w:r w:rsidRPr="00530136">
        <w:rPr>
          <w:b/>
        </w:rPr>
        <w:t xml:space="preserve">Table </w:t>
      </w:r>
      <w:r>
        <w:rPr>
          <w:b/>
        </w:rPr>
        <w:t>S6</w:t>
      </w:r>
      <w:r w:rsidRPr="00530136">
        <w:rPr>
          <w:b/>
        </w:rPr>
        <w:t>. Parameters for estimating disease burden due to</w:t>
      </w:r>
      <w:r w:rsidRPr="00530136">
        <w:rPr>
          <w:b/>
          <w:i/>
        </w:rPr>
        <w:t xml:space="preserve"> Streptococcus </w:t>
      </w:r>
      <w:proofErr w:type="spellStart"/>
      <w:r w:rsidRPr="00530136">
        <w:rPr>
          <w:b/>
          <w:i/>
        </w:rPr>
        <w:t>pneumoniae</w:t>
      </w:r>
      <w:proofErr w:type="spellEnd"/>
      <w:r w:rsidRPr="00530136">
        <w:rPr>
          <w:b/>
          <w:i/>
        </w:rPr>
        <w:t xml:space="preserve"> </w:t>
      </w:r>
    </w:p>
    <w:tbl>
      <w:tblPr>
        <w:tblW w:w="7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350"/>
        <w:gridCol w:w="1170"/>
        <w:gridCol w:w="1170"/>
      </w:tblGrid>
      <w:tr w:rsidR="001952AF" w:rsidRPr="00530136" w:rsidTr="001952AF">
        <w:trPr>
          <w:trHeight w:val="701"/>
        </w:trPr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52AF" w:rsidRPr="00530136" w:rsidRDefault="001952AF" w:rsidP="001952AF">
            <w:pPr>
              <w:rPr>
                <w:b/>
                <w:sz w:val="20"/>
                <w:szCs w:val="20"/>
              </w:rPr>
            </w:pPr>
          </w:p>
          <w:p w:rsidR="001952AF" w:rsidRPr="00530136" w:rsidRDefault="001952AF" w:rsidP="001952AF">
            <w:pPr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Health state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52AF" w:rsidRPr="00530136" w:rsidRDefault="001952AF" w:rsidP="001952AF">
            <w:pPr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 xml:space="preserve">Percentage of syndrome attributable to </w:t>
            </w:r>
            <w:r w:rsidRPr="00530136">
              <w:rPr>
                <w:b/>
                <w:i/>
                <w:sz w:val="20"/>
                <w:szCs w:val="20"/>
              </w:rPr>
              <w:t xml:space="preserve">S. </w:t>
            </w:r>
            <w:proofErr w:type="spellStart"/>
            <w:r w:rsidRPr="00530136">
              <w:rPr>
                <w:b/>
                <w:i/>
                <w:sz w:val="20"/>
                <w:szCs w:val="20"/>
              </w:rPr>
              <w:t>pneumoniae</w:t>
            </w:r>
            <w:proofErr w:type="spellEnd"/>
            <w:r w:rsidRPr="0053013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52AF" w:rsidRPr="00530136" w:rsidRDefault="001952AF" w:rsidP="001952AF">
            <w:pPr>
              <w:jc w:val="center"/>
              <w:rPr>
                <w:b/>
                <w:sz w:val="20"/>
                <w:szCs w:val="20"/>
              </w:rPr>
            </w:pPr>
          </w:p>
          <w:p w:rsidR="001952AF" w:rsidRPr="00530136" w:rsidRDefault="001952AF" w:rsidP="001952AF">
            <w:pPr>
              <w:jc w:val="center"/>
              <w:rPr>
                <w:b/>
                <w:sz w:val="20"/>
                <w:szCs w:val="20"/>
              </w:rPr>
            </w:pPr>
          </w:p>
          <w:p w:rsidR="001952AF" w:rsidRPr="00530136" w:rsidRDefault="001952AF" w:rsidP="001952AF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52AF" w:rsidRPr="00530136" w:rsidRDefault="001952AF" w:rsidP="001952AF">
            <w:pPr>
              <w:jc w:val="center"/>
              <w:rPr>
                <w:b/>
                <w:sz w:val="20"/>
                <w:szCs w:val="20"/>
              </w:rPr>
            </w:pPr>
          </w:p>
          <w:p w:rsidR="001952AF" w:rsidRPr="00530136" w:rsidRDefault="001952AF" w:rsidP="001952AF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Severity weight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52AF" w:rsidRPr="00530136" w:rsidRDefault="001952AF" w:rsidP="001952AF">
            <w:pPr>
              <w:jc w:val="center"/>
              <w:rPr>
                <w:b/>
                <w:sz w:val="20"/>
                <w:szCs w:val="20"/>
              </w:rPr>
            </w:pPr>
          </w:p>
          <w:p w:rsidR="001952AF" w:rsidRPr="00530136" w:rsidRDefault="001952AF" w:rsidP="001952AF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Episode length*</w:t>
            </w:r>
          </w:p>
        </w:tc>
      </w:tr>
      <w:tr w:rsidR="001952AF" w:rsidRPr="00530136" w:rsidTr="001952AF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Bacterial meningitis (BM)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32 (0–4 years)</w:t>
            </w:r>
          </w:p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45 (5–14 years)</w:t>
            </w:r>
          </w:p>
          <w:p w:rsidR="001952AF" w:rsidRPr="00530136" w:rsidRDefault="001952AF" w:rsidP="001952AF">
            <w:pPr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51 (≥15years)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&lt;Refman&gt;&lt;Cite&gt;&lt;Author&gt;Nigrovic&lt;/Author&gt;&lt;Year&gt;2008&lt;/Year&gt;&lt;RecNum&gt;195&lt;/RecNum&gt;&lt;IDText&gt;Children with bacterial meningitis presenting to the emergency department during the pneumococcal conjugate vaccine era&lt;/IDText&gt;&lt;MDL Ref_Type="Journal"&gt;&lt;Ref_Type&gt;Journal&lt;/Ref_Type&gt;&lt;Ref_ID&gt;195&lt;/Ref_ID&gt;&lt;Title_Primary&gt;Children with bacterial meningitis presenting to the emergency department during the pneumococcal conjugate vaccine era&lt;/Title_Primary&gt;&lt;Authors_Primary&gt;Nigrovic,L.E.&lt;/Authors_Primary&gt;&lt;Authors_Primary&gt;Kuppermann,N.&lt;/Authors_Primary&gt;&lt;Authors_Primary&gt;Malley,R.&lt;/Authors_Primary&gt;&lt;Date_Primary&gt;2008/6&lt;/Date_Primary&gt;&lt;Keywords&gt;Adolescent&lt;/Keywords&gt;&lt;Keywords&gt;Adult&lt;/Keywords&gt;&lt;Keywords&gt;Aged&lt;/Keywords&gt;&lt;Keywords&gt;blood&lt;/Keywords&gt;&lt;Keywords&gt;Boston&lt;/Keywords&gt;&lt;Keywords&gt;cerebrospinal fluid&lt;/Keywords&gt;&lt;Keywords&gt;Child&lt;/Keywords&gt;&lt;Keywords&gt;Child,Preschool&lt;/Keywords&gt;&lt;Keywords&gt;Emergency Service,Hospital&lt;/Keywords&gt;&lt;Keywords&gt;epidemiology&lt;/Keywords&gt;&lt;Keywords&gt;Escherichia coli&lt;/Keywords&gt;&lt;Keywords&gt;Haemophilus Infections&lt;/Keywords&gt;&lt;Keywords&gt;Haemophilus influenzae&lt;/Keywords&gt;&lt;Keywords&gt;Haemophilus influenzae type b&lt;/Keywords&gt;&lt;Keywords&gt;Humans&lt;/Keywords&gt;&lt;Keywords&gt;immunology&lt;/Keywords&gt;&lt;Keywords&gt;Infant&lt;/Keywords&gt;&lt;Keywords&gt;Infant,Newborn&lt;/Keywords&gt;&lt;Keywords&gt;isolation &amp;amp; purification&lt;/Keywords&gt;&lt;Keywords&gt;Listeria&lt;/Keywords&gt;&lt;Keywords&gt;Medicine&lt;/Keywords&gt;&lt;Keywords&gt;Meningitis&lt;/Keywords&gt;&lt;Keywords&gt;Meningitis,Bacterial&lt;/Keywords&gt;&lt;Keywords&gt;Meningitis,Meningococcal&lt;/Keywords&gt;&lt;Keywords&gt;methods&lt;/Keywords&gt;&lt;Keywords&gt;microbiology&lt;/Keywords&gt;&lt;Keywords&gt;Neisseria meningitidis&lt;/Keywords&gt;&lt;Keywords&gt;Pneumococcal Infections&lt;/Keywords&gt;&lt;Keywords&gt;Pneumococcal Vaccines&lt;/Keywords&gt;&lt;Keywords&gt;prevention &amp;amp; control&lt;/Keywords&gt;&lt;Keywords&gt;Retrospective Studies&lt;/Keywords&gt;&lt;Keywords&gt;Statistics,Nonparametric&lt;/Keywords&gt;&lt;Keywords&gt;Streptococcus pneumoniae&lt;/Keywords&gt;&lt;Keywords&gt;United States&lt;/Keywords&gt;&lt;Keywords&gt;utilization&lt;/Keywords&gt;&lt;Reprint&gt;Not in File&lt;/Reprint&gt;&lt;Start_Page&gt;522&lt;/Start_Page&gt;&lt;End_Page&gt;528&lt;/End_Page&gt;&lt;Periodical&gt;Acad.Emerg.Med.&lt;/Periodical&gt;&lt;Volume&gt;15&lt;/Volume&gt;&lt;Issue&gt;6&lt;/Issue&gt;&lt;Address&gt;Division of Emergency Medicine, Children&amp;apos;s Hospital, Boston, MA, USA. lise.nigrovic@childrens.harvard.edu&lt;/Address&gt;&lt;Web_URL&gt;PM:18616437&lt;/Web_URL&gt;&lt;ZZ_JournalStdAbbrev&gt;&lt;f name="System"&gt;Acad.Emerg.Med.&lt;/f&gt;&lt;/ZZ_JournalStdAbbrev&gt;&lt;ZZ_WorkformID&gt;1&lt;/ZZ_WorkformID&gt;&lt;/MDL&gt;&lt;/Cite&gt;&lt;Cite&gt;&lt;Author&gt;van de Beek&lt;/Author&gt;&lt;Year&gt;2004&lt;/Year&gt;&lt;RecNum&gt;202&lt;/RecNum&gt;&lt;IDText&gt;Clinical features and prognostic factors in adults with bacterial meningitis&lt;/IDText&gt;&lt;MDL Ref_Type="Journal"&gt;&lt;Ref_Type&gt;Journal&lt;/Ref_Type&gt;&lt;Ref_ID&gt;202&lt;/Ref_ID&gt;&lt;Title_Primary&gt;Clinical features and prognostic factors in adults with bacterial meningitis&lt;/Title_Primary&gt;&lt;Authors_Primary&gt;van de Beek,D.&lt;/Authors_Primary&gt;&lt;Authors_Primary&gt;de Gans,J.&lt;/Authors_Primary&gt;&lt;Authors_Primary&gt;Spanjaard,L.&lt;/Authors_Primary&gt;&lt;Authors_Primary&gt;Weisfelt,M.&lt;/Authors_Primary&gt;&lt;Authors_Primary&gt;Reitsma,J.B.&lt;/Authors_Primary&gt;&lt;Authors_Primary&gt;Vermeulen,M.&lt;/Authors_Primary&gt;&lt;Date_Primary&gt;2004/10/28&lt;/Date_Primary&gt;&lt;Keywords&gt;Acute Disease&lt;/Keywords&gt;&lt;Keywords&gt;Adult&lt;/Keywords&gt;&lt;Keywords&gt;analysis&lt;/Keywords&gt;&lt;Keywords&gt;blood&lt;/Keywords&gt;&lt;Keywords&gt;cerebrospinal fluid&lt;/Keywords&gt;&lt;Keywords&gt;classification&lt;/Keywords&gt;&lt;Keywords&gt;Community-Acquired Infections&lt;/Keywords&gt;&lt;Keywords&gt;complications&lt;/Keywords&gt;&lt;Keywords&gt;Consciousness Disorders&lt;/Keywords&gt;&lt;Keywords&gt;diagnosis&lt;/Keywords&gt;&lt;Keywords&gt;epidemiology&lt;/Keywords&gt;&lt;Keywords&gt;etiology&lt;/Keywords&gt;&lt;Keywords&gt;Female&lt;/Keywords&gt;&lt;Keywords&gt;Fever&lt;/Keywords&gt;&lt;Keywords&gt;Haemophilus influenzae&lt;/Keywords&gt;&lt;Keywords&gt;Headache&lt;/Keywords&gt;&lt;Keywords&gt;Humans&lt;/Keywords&gt;&lt;Keywords&gt;isolation &amp;amp; purification&lt;/Keywords&gt;&lt;Keywords&gt;Male&lt;/Keywords&gt;&lt;Keywords&gt;Meningitis&lt;/Keywords&gt;&lt;Keywords&gt;Meningitis,Bacterial&lt;/Keywords&gt;&lt;Keywords&gt;methods&lt;/Keywords&gt;&lt;Keywords&gt;microbiology&lt;/Keywords&gt;&lt;Keywords&gt;Middle Aged&lt;/Keywords&gt;&lt;Keywords&gt;mortality&lt;/Keywords&gt;&lt;Keywords&gt;Multivariate Analysis&lt;/Keywords&gt;&lt;Keywords&gt;Neck&lt;/Keywords&gt;&lt;Keywords&gt;Neisseria meningitidis&lt;/Keywords&gt;&lt;Keywords&gt;Netherlands&lt;/Keywords&gt;&lt;Keywords&gt;Prognosis&lt;/Keywords&gt;&lt;Keywords&gt;Prospective Studies&lt;/Keywords&gt;&lt;Keywords&gt;Risk&lt;/Keywords&gt;&lt;Keywords&gt;Risk Factors&lt;/Keywords&gt;&lt;Keywords&gt;Staphylococcus&lt;/Keywords&gt;&lt;Keywords&gt;Streptococcus&lt;/Keywords&gt;&lt;Keywords&gt;Streptococcus pneumoniae&lt;/Keywords&gt;&lt;Reprint&gt;Not in File&lt;/Reprint&gt;&lt;Start_Page&gt;1849&lt;/Start_Page&gt;&lt;End_Page&gt;1859&lt;/End_Page&gt;&lt;Periodical&gt;N.Engl.J.Med.&lt;/Periodical&gt;&lt;Volume&gt;351&lt;/Volume&gt;&lt;Issue&gt;18&lt;/Issue&gt;&lt;Address&gt;Department of Neurology, Academic Medical Center, University of Amsterdam, Amsterdam, The Netherlands. d.vandebeek@amc.uva.nl&lt;/Address&gt;&lt;Web_URL&gt;PM:15509818&lt;/Web_URL&gt;&lt;ZZ_JournalStdAbbrev&gt;&lt;f name="System"&gt;N.Engl.J.Med.&lt;/f&gt;&lt;/ZZ_JournalStdAbbrev&gt;&lt;ZZ_WorkformID&gt;1&lt;/ZZ_WorkformID&gt;&lt;/MDL&gt;&lt;/Cite&gt;&lt;/Refman&gt;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195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</w:p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2 weeks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&lt;Refman&gt;&lt;Cite&gt;&lt;Author&gt;Fauci&lt;/Author&gt;&lt;Year&gt;2008&lt;/Year&gt;&lt;RecNum&gt;308&lt;/RecNum&gt;&lt;IDText&gt;Harrison&amp;apos;s Principles of Internal Medicine&lt;/IDText&gt;&lt;MDL Ref_Type="Book, Whole"&gt;&lt;Ref_Type&gt;Book, Whole&lt;/Ref_Type&gt;&lt;Ref_ID&gt;308&lt;/Ref_ID&gt;&lt;Title_Primary&gt;Harrison&amp;apos;s Principles of Internal Medicine&lt;/Title_Primary&gt;&lt;Authors_Primary&gt;Fauci,AS&lt;/Authors_Primary&gt;&lt;Authors_Primary&gt;Braunwald,E&lt;/Authors_Primary&gt;&lt;Authors_Primary&gt;Kasper,DL&lt;/Authors_Primary&gt;&lt;Authors_Primary&gt;Hauser,S&lt;/Authors_Primary&gt;&lt;Authors_Primary&gt;Longo,D&lt;/Authors_Primary&gt;&lt;Authors_Primary&gt;Jameson,J&lt;/Authors_Primary&gt;&lt;Authors_Primary&gt;Loscalzo,J&lt;/Authors_Primary&gt;&lt;Date_Primary&gt;2008&lt;/Date_Primary&gt;&lt;Keywords&gt;Medicine&lt;/Keywords&gt;&lt;Reprint&gt;Not in File&lt;/Reprint&gt;&lt;Volume&gt;17th&lt;/Volume&gt;&lt;Pub_Place&gt;New York&lt;/Pub_Place&gt;&lt;Publisher&gt;McGraw-Hill Professional&lt;/Publisher&gt;&lt;ZZ_WorkformID&gt;2&lt;/ZZ_WorkformID&gt;&lt;/MDL&gt;&lt;/Cite&gt;&lt;/Refman&gt;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</w:p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0.652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</w:p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3 years</w:t>
            </w:r>
          </w:p>
        </w:tc>
      </w:tr>
      <w:tr w:rsidR="001952AF" w:rsidRPr="00530136" w:rsidTr="001952A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ind w:firstLine="252"/>
              <w:rPr>
                <w:sz w:val="20"/>
                <w:szCs w:val="20"/>
              </w:rPr>
            </w:pPr>
            <w:proofErr w:type="spellStart"/>
            <w:r w:rsidRPr="00530136">
              <w:rPr>
                <w:sz w:val="20"/>
                <w:szCs w:val="20"/>
              </w:rPr>
              <w:t>Sequelae</w:t>
            </w:r>
            <w:proofErr w:type="spellEnd"/>
            <w:r w:rsidRPr="00530136">
              <w:rPr>
                <w:sz w:val="20"/>
                <w:szCs w:val="20"/>
              </w:rPr>
              <w:t xml:space="preserve"> of BM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</w:p>
        </w:tc>
      </w:tr>
      <w:tr w:rsidR="001952AF" w:rsidRPr="00530136" w:rsidTr="001952A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ind w:firstLine="522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Seizures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 Beek&lt;/Author&gt;&lt;Year&gt;2004&lt;/Year&gt;&lt;RecNum&gt;202&lt;/RecNum&gt;&lt;IDText&gt;Clinical features and prognostic factors in adults with bacterial meningitis&lt;/IDText&gt;&lt;MDL Ref_Type="Journal"&gt;&lt;Ref_Type&gt;Journal&lt;/Ref_Type&gt;&lt;Ref_ID&gt;202&lt;/Ref_ID&gt;&lt;Title_Primary&gt;Clinical features and prognostic factors in adults with bacterial meningitis&lt;/Title_Primary&gt;&lt;Authors_Primary&gt;van de Beek,D.&lt;/Authors_Primary&gt;&lt;Authors_Primary&gt;de Gans,J.&lt;/Authors_Primary&gt;&lt;Authors_Primary&gt;Spanjaard,L.&lt;/Authors_Primary&gt;&lt;Authors_Primary&gt;Weisfelt,M.&lt;/Authors_Primary&gt;&lt;Authors_Primary&gt;Reitsma,J.B.&lt;/Authors_Primary&gt;&lt;Authors_Primary&gt;Vermeulen,M.&lt;/Authors_Primary&gt;&lt;Date_Primary&gt;2004/10/28&lt;/Date_Primary&gt;&lt;Keywords&gt;Acute Disease&lt;/Keywords&gt;&lt;Keywords&gt;Adult&lt;/Keywords&gt;&lt;Keywords&gt;analysis&lt;/Keywords&gt;&lt;Keywords&gt;blood&lt;/Keywords&gt;&lt;Keywords&gt;cerebrospinal fluid&lt;/Keywords&gt;&lt;Keywords&gt;classification&lt;/Keywords&gt;&lt;Keywords&gt;Community-Acquired Infections&lt;/Keywords&gt;&lt;Keywords&gt;complications&lt;/Keywords&gt;&lt;Keywords&gt;Consciousness Disorders&lt;/Keywords&gt;&lt;Keywords&gt;diagnosis&lt;/Keywords&gt;&lt;Keywords&gt;epidemiology&lt;/Keywords&gt;&lt;Keywords&gt;etiology&lt;/Keywords&gt;&lt;Keywords&gt;Female&lt;/Keywords&gt;&lt;Keywords&gt;Fever&lt;/Keywords&gt;&lt;Keywords&gt;Haemophilus influenzae&lt;/Keywords&gt;&lt;Keywords&gt;Headache&lt;/Keywords&gt;&lt;Keywords&gt;Humans&lt;/Keywords&gt;&lt;Keywords&gt;isolation &amp;amp; purification&lt;/Keywords&gt;&lt;Keywords&gt;Male&lt;/Keywords&gt;&lt;Keywords&gt;Meningitis&lt;/Keywords&gt;&lt;Keywords&gt;Meningitis,Bacterial&lt;/Keywords&gt;&lt;Keywords&gt;methods&lt;/Keywords&gt;&lt;Keywords&gt;microbiology&lt;/Keywords&gt;&lt;Keywords&gt;Middle Aged&lt;/Keywords&gt;&lt;Keywords&gt;mortality&lt;/Keywords&gt;&lt;Keywords&gt;Multivariate Analysis&lt;/Keywords&gt;&lt;Keywords&gt;Neck&lt;/Keywords&gt;&lt;Keywords&gt;Neisseria meningitidis&lt;/Keywords&gt;&lt;Keywords&gt;Netherlands&lt;/Keywords&gt;&lt;Keywords&gt;Prognosis&lt;/Keywords&gt;&lt;Keywords&gt;Prospective Studies&lt;/Keywords&gt;&lt;Keywords&gt;Risk&lt;/Keywords&gt;&lt;Keywords&gt;Risk Factors&lt;/Keywords&gt;&lt;Keywords&gt;Staphylococcus&lt;/Keywords&gt;&lt;Keywords&gt;Streptococcus&lt;/Keywords&gt;&lt;Keywords&gt;Streptococcus pneumoniae&lt;/Keywords&gt;&lt;Reprint&gt;Not in File&lt;/Reprint&gt;&lt;Start_Page&gt;1849&lt;/Start_Page&gt;&lt;End_Page&gt;1859&lt;/End_Page&gt;&lt;Periodical&gt;N.Engl.J.Med.&lt;/Periodical&gt;&lt;Volume&gt;351&lt;/Volume&gt;&lt;Issue&gt;18&lt;/Issue&gt;&lt;Address&gt;Department of Neurology, Academic Medical Center, University of Amsterdam, Amsterdam, The Netherlands. d.vandebeek@amc.uva.nl&lt;/Address&gt;&lt;Web_URL&gt;PM:15509818&lt;/Web_URL&gt;&lt;ZZ_JournalStdAbbrev&gt;&lt;f name="System"&gt;N.Engl.J.Med.&lt;/f&gt;&lt;/ZZ_JournalStdAbbrev&gt;&lt;ZZ_WorkformID&gt;1&lt;/ZZ_WorkformID&gt;&lt;/MDL&gt;&lt;/Cite&gt;&lt;/Refman&gt;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Permanent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0.039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N/A</w:t>
            </w:r>
          </w:p>
        </w:tc>
      </w:tr>
      <w:tr w:rsidR="001952AF" w:rsidRPr="00530136" w:rsidTr="001952AF">
        <w:trPr>
          <w:trHeight w:val="12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ind w:firstLine="522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Motor deficits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 Beek&lt;/Author&gt;&lt;Year&gt;2004&lt;/Year&gt;&lt;RecNum&gt;202&lt;/RecNum&gt;&lt;IDText&gt;Clinical features and prognostic factors in adults with bacterial meningitis&lt;/IDText&gt;&lt;MDL Ref_Type="Journal"&gt;&lt;Ref_Type&gt;Journal&lt;/Ref_Type&gt;&lt;Ref_ID&gt;202&lt;/Ref_ID&gt;&lt;Title_Primary&gt;Clinical features and prognostic factors in adults with bacterial meningitis&lt;/Title_Primary&gt;&lt;Authors_Primary&gt;van de Beek,D.&lt;/Authors_Primary&gt;&lt;Authors_Primary&gt;de Gans,J.&lt;/Authors_Primary&gt;&lt;Authors_Primary&gt;Spanjaard,L.&lt;/Authors_Primary&gt;&lt;Authors_Primary&gt;Weisfelt,M.&lt;/Authors_Primary&gt;&lt;Authors_Primary&gt;Reitsma,J.B.&lt;/Authors_Primary&gt;&lt;Authors_Primary&gt;Vermeulen,M.&lt;/Authors_Primary&gt;&lt;Date_Primary&gt;2004/10/28&lt;/Date_Primary&gt;&lt;Keywords&gt;Acute Disease&lt;/Keywords&gt;&lt;Keywords&gt;Adult&lt;/Keywords&gt;&lt;Keywords&gt;analysis&lt;/Keywords&gt;&lt;Keywords&gt;blood&lt;/Keywords&gt;&lt;Keywords&gt;cerebrospinal fluid&lt;/Keywords&gt;&lt;Keywords&gt;classification&lt;/Keywords&gt;&lt;Keywords&gt;Community-Acquired Infections&lt;/Keywords&gt;&lt;Keywords&gt;complications&lt;/Keywords&gt;&lt;Keywords&gt;Consciousness Disorders&lt;/Keywords&gt;&lt;Keywords&gt;diagnosis&lt;/Keywords&gt;&lt;Keywords&gt;epidemiology&lt;/Keywords&gt;&lt;Keywords&gt;etiology&lt;/Keywords&gt;&lt;Keywords&gt;Female&lt;/Keywords&gt;&lt;Keywords&gt;Fever&lt;/Keywords&gt;&lt;Keywords&gt;Haemophilus influenzae&lt;/Keywords&gt;&lt;Keywords&gt;Headache&lt;/Keywords&gt;&lt;Keywords&gt;Humans&lt;/Keywords&gt;&lt;Keywords&gt;isolation &amp;amp; purification&lt;/Keywords&gt;&lt;Keywords&gt;Male&lt;/Keywords&gt;&lt;Keywords&gt;Meningitis&lt;/Keywords&gt;&lt;Keywords&gt;Meningitis,Bacterial&lt;/Keywords&gt;&lt;Keywords&gt;methods&lt;/Keywords&gt;&lt;Keywords&gt;microbiology&lt;/Keywords&gt;&lt;Keywords&gt;Middle Aged&lt;/Keywords&gt;&lt;Keywords&gt;mortality&lt;/Keywords&gt;&lt;Keywords&gt;Multivariate Analysis&lt;/Keywords&gt;&lt;Keywords&gt;Neck&lt;/Keywords&gt;&lt;Keywords&gt;Neisseria meningitidis&lt;/Keywords&gt;&lt;Keywords&gt;Netherlands&lt;/Keywords&gt;&lt;Keywords&gt;Prognosis&lt;/Keywords&gt;&lt;Keywords&gt;Prospective Studies&lt;/Keywords&gt;&lt;Keywords&gt;Risk&lt;/Keywords&gt;&lt;Keywords&gt;Risk Factors&lt;/Keywords&gt;&lt;Keywords&gt;Staphylococcus&lt;/Keywords&gt;&lt;Keywords&gt;Streptococcus&lt;/Keywords&gt;&lt;Keywords&gt;Streptococcus pneumoniae&lt;/Keywords&gt;&lt;Reprint&gt;Not in File&lt;/Reprint&gt;&lt;Start_Page&gt;1849&lt;/Start_Page&gt;&lt;End_Page&gt;1859&lt;/End_Page&gt;&lt;Periodical&gt;N.Engl.J.Med.&lt;/Periodical&gt;&lt;Volume&gt;351&lt;/Volume&gt;&lt;Issue&gt;18&lt;/Issue&gt;&lt;Address&gt;Department of Neurology, Academic Medical Center, University of Amsterdam, Amsterdam, The Netherlands. d.vandebeek@amc.uva.nl&lt;/Address&gt;&lt;Web_URL&gt;PM:15509818&lt;/Web_URL&gt;&lt;ZZ_JournalStdAbbrev&gt;&lt;f name="System"&gt;N.Engl.J.Med.&lt;/f&gt;&lt;/ZZ_JournalStdAbbrev&gt;&lt;ZZ_WorkformID&gt;1&lt;/ZZ_WorkformID&gt;&lt;/MDL&gt;&lt;/Cite&gt;&lt;/Refman&gt;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Permanent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0.062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N/A</w:t>
            </w:r>
          </w:p>
        </w:tc>
      </w:tr>
      <w:tr w:rsidR="001952AF" w:rsidRPr="00530136" w:rsidTr="001952A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ind w:firstLine="522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Deafness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01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&lt;Refman&gt;&lt;Cite&gt;&lt;Author&gt;Kutz&lt;/Author&gt;&lt;Year&gt;2006&lt;/Year&gt;&lt;RecNum&gt;262&lt;/RecNum&gt;&lt;IDText&gt;Clinical predictors for hearing loss in children with bacterial meningitis&lt;/IDText&gt;&lt;MDL Ref_Type="Journal"&gt;&lt;Ref_Type&gt;Journal&lt;/Ref_Type&gt;&lt;Ref_ID&gt;262&lt;/Ref_ID&gt;&lt;Title_Primary&gt;Clinical predictors for hearing loss in children with bacterial meningitis&lt;/Title_Primary&gt;&lt;Authors_Primary&gt;Kutz,J.W.&lt;/Authors_Primary&gt;&lt;Authors_Primary&gt;Simon,L.M.&lt;/Authors_Primary&gt;&lt;Authors_Primary&gt;Chennupati,S.K.&lt;/Authors_Primary&gt;&lt;Authors_Primary&gt;Giannoni,C.M.&lt;/Authors_Primary&gt;&lt;Authors_Primary&gt;Manolidis,S.&lt;/Authors_Primary&gt;&lt;Date_Primary&gt;2006/9&lt;/Date_Primary&gt;&lt;Keywords&gt;Adolescent&lt;/Keywords&gt;&lt;Keywords&gt;cerebrospinal fluid&lt;/Keywords&gt;&lt;Keywords&gt;Child&lt;/Keywords&gt;&lt;Keywords&gt;Child,Preschool&lt;/Keywords&gt;&lt;Keywords&gt;complications&lt;/Keywords&gt;&lt;Keywords&gt;diagnosis&lt;/Keywords&gt;&lt;Keywords&gt;etiology&lt;/Keywords&gt;&lt;Keywords&gt;Female&lt;/Keywords&gt;&lt;Keywords&gt;Hearing Loss,Sensorineural&lt;/Keywords&gt;&lt;Keywords&gt;Hospitalization&lt;/Keywords&gt;&lt;Keywords&gt;Humans&lt;/Keywords&gt;&lt;Keywords&gt;Incidence&lt;/Keywords&gt;&lt;Keywords&gt;Infant&lt;/Keywords&gt;&lt;Keywords&gt;Male&lt;/Keywords&gt;&lt;Keywords&gt;Medicine&lt;/Keywords&gt;&lt;Keywords&gt;Meningitis&lt;/Keywords&gt;&lt;Keywords&gt;Meningitis,Bacterial&lt;/Keywords&gt;&lt;Keywords&gt;Meningitis,Meningococcal&lt;/Keywords&gt;&lt;Keywords&gt;Meningitis,Pneumococcal&lt;/Keywords&gt;&lt;Keywords&gt;Neck&lt;/Keywords&gt;&lt;Keywords&gt;Neisseria meningitidis&lt;/Keywords&gt;&lt;Keywords&gt;Risk&lt;/Keywords&gt;&lt;Keywords&gt;Risk Factors&lt;/Keywords&gt;&lt;Keywords&gt;Seizures&lt;/Keywords&gt;&lt;Keywords&gt;Streptococcus&lt;/Keywords&gt;&lt;Keywords&gt;Streptococcus pneumoniae&lt;/Keywords&gt;&lt;Keywords&gt;surgery&lt;/Keywords&gt;&lt;Reprint&gt;Not in File&lt;/Reprint&gt;&lt;Start_Page&gt;941&lt;/Start_Page&gt;&lt;End_Page&gt;945&lt;/End_Page&gt;&lt;Periodical&gt;Arch.Otolaryngol.Head Neck Surg.&lt;/Periodical&gt;&lt;Volume&gt;132&lt;/Volume&gt;&lt;Issue&gt;9&lt;/Issue&gt;&lt;Address&gt;Bobby R. Alford Department of Otolaryngology-Head and Neck Surgery, Baylor College of Medicine, Houston, Tex, USA&lt;/Address&gt;&lt;Web_URL&gt;PM:16982970&lt;/Web_URL&gt;&lt;ZZ_JournalStdAbbrev&gt;&lt;f name="System"&gt;Arch.Otolaryngol.Head Neck Surg.&lt;/f&gt;&lt;/ZZ_JournalStdAbbrev&gt;&lt;ZZ_WorkformID&gt;1&lt;/ZZ_WorkformID&gt;&lt;/MDL&gt;&lt;/Cite&gt;&lt;/Refman&gt;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Permanent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0.071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N/A</w:t>
            </w:r>
          </w:p>
        </w:tc>
      </w:tr>
      <w:tr w:rsidR="001952AF" w:rsidRPr="00530136" w:rsidTr="001952A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rPr>
                <w:sz w:val="20"/>
                <w:szCs w:val="20"/>
              </w:rPr>
            </w:pPr>
            <w:proofErr w:type="spellStart"/>
            <w:r w:rsidRPr="00530136">
              <w:rPr>
                <w:sz w:val="20"/>
                <w:szCs w:val="20"/>
              </w:rPr>
              <w:t>Septicaemia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4.8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&lt;Refman&gt;&lt;Cite&gt;&lt;Author&gt;Byl&lt;/Author&gt;&lt;Year&gt;1999&lt;/Year&gt;&lt;RecNum&gt;187&lt;/RecNum&gt;&lt;IDText&gt;Impact of infectious diseases specialists and microbiological data on the appropriateness of antimicrobial therapy for bacteremia&lt;/IDText&gt;&lt;MDL Ref_Type="Journal"&gt;&lt;Ref_Type&gt;Journal&lt;/Ref_Type&gt;&lt;Ref_ID&gt;187&lt;/Ref_ID&gt;&lt;Title_Primary&gt;Impact of infectious diseases specialists and microbiological data on the appropriateness of antimicrobial therapy for bacteremia&lt;/Title_Primary&gt;&lt;Authors_Primary&gt;Byl,B.&lt;/Authors_Primary&gt;&lt;Authors_Primary&gt;Clevenbergh,P.&lt;/Authors_Primary&gt;&lt;Authors_Primary&gt;Jacobs,F.&lt;/Authors_Primary&gt;&lt;Authors_Primary&gt;Struelens,M.J.&lt;/Authors_Primary&gt;&lt;Authors_Primary&gt;Zech,F.&lt;/Authors_Primary&gt;&lt;Authors_Primary&gt;Kentos,A.&lt;/Authors_Primary&gt;&lt;Authors_Primary&gt;Thys,J.P.&lt;/Authors_Primary&gt;&lt;Date_Primary&gt;1999/7&lt;/Date_Primary&gt;&lt;Keywords&gt;Administration,Oral&lt;/Keywords&gt;&lt;Keywords&gt;Anti-Bacterial Agents&lt;/Keywords&gt;&lt;Keywords&gt;Anti-Infective Agents&lt;/Keywords&gt;&lt;Keywords&gt;Bacteremia&lt;/Keywords&gt;&lt;Keywords&gt;blood&lt;/Keywords&gt;&lt;Keywords&gt;drug therapy&lt;/Keywords&gt;&lt;Keywords&gt;Humans&lt;/Keywords&gt;&lt;Keywords&gt;Injections,Intravenous&lt;/Keywords&gt;&lt;Keywords&gt;Medicine&lt;/Keywords&gt;&lt;Keywords&gt;Microbial Sensitivity Tests&lt;/Keywords&gt;&lt;Keywords&gt;microbiology&lt;/Keywords&gt;&lt;Keywords&gt;Middle Aged&lt;/Keywords&gt;&lt;Keywords&gt;mortality&lt;/Keywords&gt;&lt;Keywords&gt;Prospective Studies&lt;/Keywords&gt;&lt;Keywords&gt;Specialization&lt;/Keywords&gt;&lt;Keywords&gt;therapeutic use&lt;/Keywords&gt;&lt;Keywords&gt;therapy&lt;/Keywords&gt;&lt;Keywords&gt;Treatment Outcome&lt;/Keywords&gt;&lt;Reprint&gt;Not in File&lt;/Reprint&gt;&lt;Start_Page&gt;60&lt;/Start_Page&gt;&lt;End_Page&gt;66&lt;/End_Page&gt;&lt;Periodical&gt;Clin.Infect.Dis.&lt;/Periodical&gt;&lt;Volume&gt;29&lt;/Volume&gt;&lt;Issue&gt;1&lt;/Issue&gt;&lt;Address&gt;Infectious Diseases Clinic and Microbiology Department, Erasme Hospital, Free University of Brussels, Belgium. baudouin.byl@ulb.ac.be&lt;/Address&gt;&lt;Web_URL&gt;PM:10433566&lt;/Web_URL&gt;&lt;ZZ_JournalStdAbbrev&gt;&lt;f name="System"&gt;Clin.Infect.Dis.&lt;/f&gt;&lt;/ZZ_JournalStdAbbrev&gt;&lt;ZZ_WorkformID&gt;1&lt;/ZZ_WorkformID&gt;&lt;/MDL&gt;&lt;/Cite&gt;&lt;/Refman&gt;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1 week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&lt;Refman&gt;&lt;Cite&gt;&lt;Author&gt;Kemmeren&lt;/Author&gt;&lt;Year&gt;2006&lt;/Year&gt;&lt;RecNum&gt;309&lt;/RecNum&gt;&lt;IDText&gt;Priority setting of foodborne pathogens: Disease burden and costs of selected enteric pathogens&lt;/IDText&gt;&lt;MDL Ref_Type="Electronic Citation"&gt;&lt;Ref_Type&gt;Electronic Citation&lt;/Ref_Type&gt;&lt;Ref_ID&gt;309&lt;/Ref_ID&gt;&lt;Title_Primary&gt;Priority setting of foodborne pathogens: Disease burden and costs of selected enteric pathogens&lt;/Title_Primary&gt;&lt;Authors_Primary&gt;Kemmeren,JM&lt;/Authors_Primary&gt;&lt;Authors_Primary&gt;Mangen,MJJ&lt;/Authors_Primary&gt;&lt;Authors_Primary&gt;van Duynhoven,YTHP&lt;/Authors_Primary&gt;&lt;Authors_Primary&gt;Havelaar,AH&lt;/Authors_Primary&gt;&lt;Date_Primary&gt;2006&lt;/Date_Primary&gt;&lt;Reprint&gt;Not in File&lt;/Reprint&gt;&lt;Periodical&gt;http://www.rivm.nl/bibliotheek/rapporten/330080001.pdf&lt;/Periodical&gt;&lt;Volume&gt;330080001&lt;/Volume&gt;&lt;Pub_Place&gt;Netherlands&lt;/Pub_Place&gt;&lt;Publisher&gt;National Institute for Public Health and the Environment (RIVM)&lt;/Publisher&gt;&lt;Date_Secondary&gt;2011/6/20&lt;/Date_Secondary&gt;&lt;Web_URL&gt;&lt;u&gt;http://www.rivm.nl/bibliotheek/rapporten/330080001.pdf&lt;/u&gt;&lt;/Web_URL&gt;&lt;ZZ_JournalStdAbbrev&gt;&lt;f name="System"&gt;http://www.rivm.nl/bibliotheek/rapporten/330080001.pdf&lt;/f&gt;&lt;/ZZ_JournalStdAbbrev&gt;&lt;ZZ_WorkformID&gt;34&lt;/ZZ_WorkformID&gt;&lt;/MDL&gt;&lt;/Cite&gt;&lt;/Refman&gt;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0.652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30 days</w:t>
            </w:r>
          </w:p>
        </w:tc>
      </w:tr>
      <w:tr w:rsidR="001952AF" w:rsidRPr="00530136" w:rsidTr="001952A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Pneumonia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&lt;Refman&gt;&lt;Cite&gt;&lt;Author&gt;File&lt;/Author&gt;&lt;Year&gt;2003&lt;/Year&gt;&lt;RecNum&gt;310&lt;/RecNum&gt;&lt;IDText&gt;Community-acquired pneumonia&lt;/IDText&gt;&lt;MDL Ref_Type="Journal"&gt;&lt;Ref_Type&gt;Journal&lt;/Ref_Type&gt;&lt;Ref_ID&gt;310&lt;/Ref_ID&gt;&lt;Title_Primary&gt;Community-acquired pneumonia&lt;/Title_Primary&gt;&lt;Authors_Primary&gt;File,T.M.&lt;/Authors_Primary&gt;&lt;Date_Primary&gt;2003/12/13&lt;/Date_Primary&gt;&lt;Keywords&gt;Adult&lt;/Keywords&gt;&lt;Keywords&gt;Anti-Bacterial Agents&lt;/Keywords&gt;&lt;Keywords&gt;Bacteria&lt;/Keywords&gt;&lt;Keywords&gt;Community-Acquired Infections&lt;/Keywords&gt;&lt;Keywords&gt;diagnosis&lt;/Keywords&gt;&lt;Keywords&gt;drug effects&lt;/Keywords&gt;&lt;Keywords&gt;Drug Resistance,Bacterial&lt;/Keywords&gt;&lt;Keywords&gt;drug therapy&lt;/Keywords&gt;&lt;Keywords&gt;Female&lt;/Keywords&gt;&lt;Keywords&gt;Humans&lt;/Keywords&gt;&lt;Keywords&gt;isolation &amp;amp; purification&lt;/Keywords&gt;&lt;Keywords&gt;Legionella&lt;/Keywords&gt;&lt;Keywords&gt;Male&lt;/Keywords&gt;&lt;Keywords&gt;Medicine&lt;/Keywords&gt;&lt;Keywords&gt;methods&lt;/Keywords&gt;&lt;Keywords&gt;microbiology&lt;/Keywords&gt;&lt;Keywords&gt;Ohio&lt;/Keywords&gt;&lt;Keywords&gt;pharmacology&lt;/Keywords&gt;&lt;Keywords&gt;Pneumonia&lt;/Keywords&gt;&lt;Keywords&gt;Pneumonia,Bacterial&lt;/Keywords&gt;&lt;Keywords&gt;Prospective Studies&lt;/Keywords&gt;&lt;Keywords&gt;Streptococcus&lt;/Keywords&gt;&lt;Keywords&gt;Streptococcus pneumoniae&lt;/Keywords&gt;&lt;Keywords&gt;therapeutic use&lt;/Keywords&gt;&lt;Keywords&gt;therapy&lt;/Keywords&gt;&lt;Reprint&gt;Not in File&lt;/Reprint&gt;&lt;Start_Page&gt;1991&lt;/Start_Page&gt;&lt;End_Page&gt;2001&lt;/End_Page&gt;&lt;Periodical&gt;Lancet&lt;/Periodical&gt;&lt;Volume&gt;362&lt;/Volume&gt;&lt;Issue&gt;9400&lt;/Issue&gt;&lt;Address&gt;Northeastern Ohio Universities College of Medicine, Rootstown, Ohio, and Infectious Disease Service, Summa Health System, Akron, Ohio, USA. filet@summa-health.org&lt;/Address&gt;&lt;Web_URL&gt;PM:14683661&lt;/Web_URL&gt;&lt;ZZ_JournalStdAbbrev&gt;&lt;f name="System"&gt;Lancet&lt;/f&gt;&lt;/ZZ_JournalStdAbbrev&gt;&lt;ZZ_WorkformID&gt;1&lt;/ZZ_WorkformID&gt;&lt;/MDL&gt;&lt;/Cite&gt;&lt;/Refman&gt;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2 weeks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30 days</w:t>
            </w:r>
          </w:p>
        </w:tc>
      </w:tr>
      <w:tr w:rsidR="001952AF" w:rsidRPr="00530136" w:rsidTr="001952AF">
        <w:trPr>
          <w:trHeight w:val="32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Septic arthritis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&lt;Refman&gt;&lt;Cite&gt;&lt;Author&gt;Goldenberg&lt;/Author&gt;&lt;Year&gt;1998&lt;/Year&gt;&lt;RecNum&gt;313&lt;/RecNum&gt;&lt;IDText&gt;Septic arthritis&lt;/IDText&gt;&lt;MDL Ref_Type="Journal"&gt;&lt;Ref_Type&gt;Journal&lt;/Ref_Type&gt;&lt;Ref_ID&gt;313&lt;/Ref_ID&gt;&lt;Title_Primary&gt;Septic arthritis&lt;/Title_Primary&gt;&lt;Authors_Primary&gt;Goldenberg,D.L.&lt;/Authors_Primary&gt;&lt;Date_Primary&gt;1998/1/17&lt;/Date_Primary&gt;&lt;Keywords&gt;adverse effects&lt;/Keywords&gt;&lt;Keywords&gt;Arthritis,Infectious&lt;/Keywords&gt;&lt;Keywords&gt;Bacterial Infections&lt;/Keywords&gt;&lt;Keywords&gt;diagnosis&lt;/Keywords&gt;&lt;Keywords&gt;Diagnosis,Differential&lt;/Keywords&gt;&lt;Keywords&gt;Humans&lt;/Keywords&gt;&lt;Keywords&gt;Joint Prosthesis&lt;/Keywords&gt;&lt;Keywords&gt;Prosthesis-Related Infections&lt;/Keywords&gt;&lt;Reprint&gt;Not in File&lt;/Reprint&gt;&lt;Start_Page&gt;197&lt;/Start_Page&gt;&lt;End_Page&gt;202&lt;/End_Page&gt;&lt;Periodical&gt;Lancet&lt;/Periodical&gt;&lt;Volume&gt;351&lt;/Volume&gt;&lt;Issue&gt;9097&lt;/Issue&gt;&lt;Address&gt;Newton-Wellesley Hospital, MA 02162, USA&lt;/Address&gt;&lt;Web_URL&gt;PM:9449882&lt;/Web_URL&gt;&lt;ZZ_JournalStdAbbrev&gt;&lt;f name="System"&gt;Lancet&lt;/f&gt;&lt;/ZZ_JournalStdAbbrev&gt;&lt;ZZ_WorkformID&gt;1&lt;/ZZ_WorkformID&gt;&lt;/MDL&gt;&lt;/Cite&gt;&lt;/Refman&gt;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19 days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&lt;Refman&gt;&lt;Cite&gt;&lt;Author&gt;Imboden&lt;/Author&gt;&lt;Year&gt;2004&lt;/Year&gt;&lt;RecNum&gt;312&lt;/RecNum&gt;&lt;IDText&gt;Current Rheumatology: Diagnosis &amp;amp; Treatment&lt;/IDText&gt;&lt;MDL Ref_Type="Book, Whole"&gt;&lt;Ref_Type&gt;Book, Whole&lt;/Ref_Type&gt;&lt;Ref_ID&gt;312&lt;/Ref_ID&gt;&lt;Title_Primary&gt;Current Rheumatology: Diagnosis &amp;amp; Treatment&lt;/Title_Primary&gt;&lt;Authors_Primary&gt;Imboden,JB&lt;/Authors_Primary&gt;&lt;Authors_Primary&gt;Hellmann,DB&lt;/Authors_Primary&gt;&lt;Authors_Primary&gt;Stone,JH&lt;/Authors_Primary&gt;&lt;Date_Primary&gt;2004&lt;/Date_Primary&gt;&lt;Keywords&gt;diagnosis&lt;/Keywords&gt;&lt;Reprint&gt;Not in File&lt;/Reprint&gt;&lt;Volume&gt;1st&lt;/Volume&gt;&lt;Pub_Place&gt;New York&lt;/Pub_Place&gt;&lt;Publisher&gt;McGraw-Hill Medical&lt;/Publisher&gt;&lt;ZZ_WorkformID&gt;2&lt;/ZZ_WorkformID&gt;&lt;/MDL&gt;&lt;/Cite&gt;&lt;/Refman&gt;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60 days</w:t>
            </w:r>
          </w:p>
        </w:tc>
      </w:tr>
      <w:tr w:rsidR="001952AF" w:rsidRPr="00530136" w:rsidTr="001952A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Acute bronchitis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&lt;Refman&gt;&lt;Cite&gt;&lt;Author&gt;Creer&lt;/Author&gt;&lt;Year&gt;2006&lt;/Year&gt;&lt;RecNum&gt;315&lt;/RecNum&gt;&lt;IDText&gt;Aetiological role of viral and bacterial infections in acute adult lower respiratory tract infection (LRTI) in primary care&lt;/IDText&gt;&lt;MDL Ref_Type="Journal"&gt;&lt;Ref_Type&gt;Journal&lt;/Ref_Type&gt;&lt;Ref_ID&gt;315&lt;/Ref_ID&gt;&lt;Title_Primary&gt;Aetiological role of viral and bacterial infections in acute adult lower respiratory tract infection (LRTI) in primary care&lt;/Title_Primary&gt;&lt;Authors_Primary&gt;Creer,D.D.&lt;/Authors_Primary&gt;&lt;Authors_Primary&gt;Dilworth,J.P.&lt;/Authors_Primary&gt;&lt;Authors_Primary&gt;Gillespie,S.H.&lt;/Authors_Primary&gt;&lt;Authors_Primary&gt;Johnston,A.R.&lt;/Authors_Primary&gt;&lt;Authors_Primary&gt;Johnston,S.L.&lt;/Authors_Primary&gt;&lt;Authors_Primary&gt;Ling,C.&lt;/Authors_Primary&gt;&lt;Authors_Primary&gt;Patel,S.&lt;/Authors_Primary&gt;&lt;Authors_Primary&gt;Sanderson,G.&lt;/Authors_Primary&gt;&lt;Authors_Primary&gt;Wallace,P.G.&lt;/Authors_Primary&gt;&lt;Authors_Primary&gt;McHugh,T.D.&lt;/Authors_Primary&gt;&lt;Date_Primary&gt;2006/1&lt;/Date_Primary&gt;&lt;Keywords&gt;Acute Disease&lt;/Keywords&gt;&lt;Keywords&gt;Adult&lt;/Keywords&gt;&lt;Keywords&gt;Aged&lt;/Keywords&gt;&lt;Keywords&gt;Anti-Bacterial Agents&lt;/Keywords&gt;&lt;Keywords&gt;Bacteria&lt;/Keywords&gt;&lt;Keywords&gt;Bacterial Infections&lt;/Keywords&gt;&lt;Keywords&gt;Case-Control Studies&lt;/Keywords&gt;&lt;Keywords&gt;Community-Acquired Infections&lt;/Keywords&gt;&lt;Keywords&gt;complications&lt;/Keywords&gt;&lt;Keywords&gt;drug therapy&lt;/Keywords&gt;&lt;Keywords&gt;Female&lt;/Keywords&gt;&lt;Keywords&gt;Humans&lt;/Keywords&gt;&lt;Keywords&gt;Legionella&lt;/Keywords&gt;&lt;Keywords&gt;Legionella pneumophila&lt;/Keywords&gt;&lt;Keywords&gt;Male&lt;/Keywords&gt;&lt;Keywords&gt;methods&lt;/Keywords&gt;&lt;Keywords&gt;microbiology&lt;/Keywords&gt;&lt;Keywords&gt;Middle Aged&lt;/Keywords&gt;&lt;Keywords&gt;Polymerase Chain Reaction&lt;/Keywords&gt;&lt;Keywords&gt;Respiratory Tract Infections&lt;/Keywords&gt;&lt;Keywords&gt;Reverse Transcriptase Polymerase Chain Reaction&lt;/Keywords&gt;&lt;Keywords&gt;Sputum&lt;/Keywords&gt;&lt;Keywords&gt;Streptococcus&lt;/Keywords&gt;&lt;Keywords&gt;Streptococcus pneumoniae&lt;/Keywords&gt;&lt;Keywords&gt;therapeutic use&lt;/Keywords&gt;&lt;Keywords&gt;virology&lt;/Keywords&gt;&lt;Keywords&gt;Virus Diseases&lt;/Keywords&gt;&lt;Keywords&gt;Viruses&lt;/Keywords&gt;&lt;Reprint&gt;Not in File&lt;/Reprint&gt;&lt;Start_Page&gt;75&lt;/Start_Page&gt;&lt;End_Page&gt;79&lt;/End_Page&gt;&lt;Periodical&gt;Thorax&lt;/Periodical&gt;&lt;Volume&gt;61&lt;/Volume&gt;&lt;Issue&gt;1&lt;/Issue&gt;&lt;Address&gt;Barnet General Hospital, UK&lt;/Address&gt;&lt;Web_URL&gt;PM:16227331&lt;/Web_URL&gt;&lt;ZZ_JournalStdAbbrev&gt;&lt;f name="System"&gt;Thorax&lt;/f&gt;&lt;/ZZ_JournalStdAbbrev&gt;&lt;ZZ_WorkformID&gt;1&lt;/ZZ_WorkformID&gt;&lt;/MDL&gt;&lt;/Cite&gt;&lt;/Refman&gt;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2 weeks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&lt;Refman&gt;&lt;Cite&gt;&lt;Author&gt;Wenzel&lt;/Author&gt;&lt;Year&gt;2006&lt;/Year&gt;&lt;RecNum&gt;314&lt;/RecNum&gt;&lt;IDText&gt;Clinical practice. Acute bronchitis&lt;/IDText&gt;&lt;MDL Ref_Type="Journal"&gt;&lt;Ref_Type&gt;Journal&lt;/Ref_Type&gt;&lt;Ref_ID&gt;314&lt;/Ref_ID&gt;&lt;Title_Primary&gt;Clinical practice. Acute bronchitis&lt;/Title_Primary&gt;&lt;Authors_Primary&gt;Wenzel,R.P.&lt;/Authors_Primary&gt;&lt;Authors_Primary&gt;Fowler,A.A.,III&lt;/Authors_Primary&gt;&lt;Date_Primary&gt;2006/11/16&lt;/Date_Primary&gt;&lt;Keywords&gt;Acute Disease&lt;/Keywords&gt;&lt;Keywords&gt;Adrenal Cortex Hormones&lt;/Keywords&gt;&lt;Keywords&gt;Adrenergic beta-Agonists&lt;/Keywords&gt;&lt;Keywords&gt;Adult&lt;/Keywords&gt;&lt;Keywords&gt;Anti-Bacterial Agents&lt;/Keywords&gt;&lt;Keywords&gt;Bronchitis&lt;/Keywords&gt;&lt;Keywords&gt;diagnosis&lt;/Keywords&gt;&lt;Keywords&gt;drug therapy&lt;/Keywords&gt;&lt;Keywords&gt;Humans&lt;/Keywords&gt;&lt;Keywords&gt;Male&lt;/Keywords&gt;&lt;Keywords&gt;Medicine&lt;/Keywords&gt;&lt;Keywords&gt;microbiology&lt;/Keywords&gt;&lt;Keywords&gt;Practice Guidelines as Topic&lt;/Keywords&gt;&lt;Keywords&gt;therapeutic use&lt;/Keywords&gt;&lt;Reprint&gt;Not in File&lt;/Reprint&gt;&lt;Start_Page&gt;2125&lt;/Start_Page&gt;&lt;End_Page&gt;2130&lt;/End_Page&gt;&lt;Periodical&gt;N.Engl.J.Med.&lt;/Periodical&gt;&lt;Volume&gt;355&lt;/Volume&gt;&lt;Issue&gt;20&lt;/Issue&gt;&lt;Address&gt;Department of Internal Medicine, Virginia Commonwealth University, Richmond, VA 23298, USA. rwenzel@mcvh-vcu.edu&lt;/Address&gt;&lt;Web_URL&gt;PM:17108344&lt;/Web_URL&gt;&lt;ZZ_JournalStdAbbrev&gt;&lt;f name="System"&gt;N.Engl.J.Med.&lt;/f&gt;&lt;/ZZ_JournalStdAbbrev&gt;&lt;ZZ_WorkformID&gt;1&lt;/ZZ_WorkformID&gt;&lt;/MDL&gt;&lt;/Cite&gt;&lt;/Refman&gt;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0.086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30 days</w:t>
            </w:r>
          </w:p>
        </w:tc>
      </w:tr>
      <w:tr w:rsidR="001952AF" w:rsidRPr="00530136" w:rsidTr="001952A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Otitis media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&lt;Refman&gt;&lt;Cite&gt;&lt;Author&gt;Guven&lt;/Author&gt;&lt;Year&gt;2006&lt;/Year&gt;&lt;RecNum&gt;251&lt;/RecNum&gt;&lt;IDText&gt;Bacterial etiology of acute otitis media and clinical efficacy of amoxicillin-clavulanate versus azithromycin&lt;/IDText&gt;&lt;MDL Ref_Type="Journal"&gt;&lt;Ref_Type&gt;Journal&lt;/Ref_Type&gt;&lt;Ref_ID&gt;251&lt;/Ref_ID&gt;&lt;Title_Primary&gt;Bacterial etiology of acute otitis media and clinical efficacy of amoxicillin-clavulanate versus azithromycin&lt;/Title_Primary&gt;&lt;Authors_Primary&gt;Guven,M.&lt;/Authors_Primary&gt;&lt;Authors_Primary&gt;Bulut,Y.&lt;/Authors_Primary&gt;&lt;Authors_Primary&gt;Sezer,T.&lt;/Authors_Primary&gt;&lt;Authors_Primary&gt;Aladag,I.&lt;/Authors_Primary&gt;&lt;Authors_Primary&gt;Eyibilen,A.&lt;/Authors_Primary&gt;&lt;Authors_Primary&gt;Etikan,I.&lt;/Authors_Primary&gt;&lt;Date_Primary&gt;2006/5&lt;/Date_Primary&gt;&lt;Keywords&gt;Acute Disease&lt;/Keywords&gt;&lt;Keywords&gt;Amoxicillin-Potassium Clavulanate Combination&lt;/Keywords&gt;&lt;Keywords&gt;Anti-Bacterial Agents&lt;/Keywords&gt;&lt;Keywords&gt;Azithromycin&lt;/Keywords&gt;&lt;Keywords&gt;Bacteria&lt;/Keywords&gt;&lt;Keywords&gt;Child&lt;/Keywords&gt;&lt;Keywords&gt;Child,Preschool&lt;/Keywords&gt;&lt;Keywords&gt;Drug Administration Schedule&lt;/Keywords&gt;&lt;Keywords&gt;Drug Resistance,Bacterial&lt;/Keywords&gt;&lt;Keywords&gt;drug therapy&lt;/Keywords&gt;&lt;Keywords&gt;Escherichia coli&lt;/Keywords&gt;&lt;Keywords&gt;etiology&lt;/Keywords&gt;&lt;Keywords&gt;Female&lt;/Keywords&gt;&lt;Keywords&gt;Haemophilus influenzae&lt;/Keywords&gt;&lt;Keywords&gt;Humans&lt;/Keywords&gt;&lt;Keywords&gt;Infant&lt;/Keywords&gt;&lt;Keywords&gt;Male&lt;/Keywords&gt;&lt;Keywords&gt;Medicine&lt;/Keywords&gt;&lt;Keywords&gt;methods&lt;/Keywords&gt;&lt;Keywords&gt;microbiology&lt;/Keywords&gt;&lt;Keywords&gt;Otitis Media&lt;/Keywords&gt;&lt;Keywords&gt;Prospective Studies&lt;/Keywords&gt;&lt;Keywords&gt;Single-Blind Method&lt;/Keywords&gt;&lt;Keywords&gt;Staphylococcus&lt;/Keywords&gt;&lt;Keywords&gt;Staphylococcus aureus&lt;/Keywords&gt;&lt;Keywords&gt;Streptococcus&lt;/Keywords&gt;&lt;Keywords&gt;Streptococcus pneumoniae&lt;/Keywords&gt;&lt;Keywords&gt;therapeutic use&lt;/Keywords&gt;&lt;Keywords&gt;therapy&lt;/Keywords&gt;&lt;Keywords&gt;Treatment Outcome&lt;/Keywords&gt;&lt;Keywords&gt;Turkey&lt;/Keywords&gt;&lt;Reprint&gt;Not in File&lt;/Reprint&gt;&lt;Start_Page&gt;915&lt;/Start_Page&gt;&lt;End_Page&gt;923&lt;/End_Page&gt;&lt;Periodical&gt;Int.J.Pediatr.Otorhinolaryngol.&lt;/Periodical&gt;&lt;Volume&gt;70&lt;/Volume&gt;&lt;Issue&gt;5&lt;/Issue&gt;&lt;Address&gt;Department of Otorhinolaryngology, Faculty of Medicine, Gaziosmanpasa University, Tokat, Turkey. guvenmehmet28@yahoo.com&lt;/Address&gt;&lt;Web_URL&gt;PM:16293317&lt;/Web_URL&gt;&lt;ZZ_JournalStdAbbrev&gt;&lt;f name="System"&gt;Int.J.Pediatr.Otorhinolaryngol.&lt;/f&gt;&lt;/ZZ_JournalStdAbbrev&gt;&lt;ZZ_WorkformID&gt;1&lt;/ZZ_WorkformID&gt;&lt;/MDL&gt;&lt;/Cite&gt;&lt;/Refman&gt;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4.5 days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&lt;Refman&gt;&lt;Cite&gt;&lt;Author&gt;Rothman&lt;/Author&gt;&lt;Year&gt;2003&lt;/Year&gt;&lt;RecNum&gt;311&lt;/RecNum&gt;&lt;IDText&gt;Does this child have acute otitis media?&lt;/IDText&gt;&lt;MDL Ref_Type="Journal"&gt;&lt;Ref_Type&gt;Journal&lt;/Ref_Type&gt;&lt;Ref_ID&gt;311&lt;/Ref_ID&gt;&lt;Title_Primary&gt;Does this child have acute otitis media?&lt;/Title_Primary&gt;&lt;Authors_Primary&gt;Rothman,R.&lt;/Authors_Primary&gt;&lt;Authors_Primary&gt;Owens,T.&lt;/Authors_Primary&gt;&lt;Authors_Primary&gt;Simel,D.L.&lt;/Authors_Primary&gt;&lt;Date_Primary&gt;2003/9/24&lt;/Date_Primary&gt;&lt;Keywords&gt;Acute Disease&lt;/Keywords&gt;&lt;Keywords&gt;analysis&lt;/Keywords&gt;&lt;Keywords&gt;Child&lt;/Keywords&gt;&lt;Keywords&gt;Child,Preschool&lt;/Keywords&gt;&lt;Keywords&gt;children&lt;/Keywords&gt;&lt;Keywords&gt;diagnosis&lt;/Keywords&gt;&lt;Keywords&gt;Fever&lt;/Keywords&gt;&lt;Keywords&gt;Humans&lt;/Keywords&gt;&lt;Keywords&gt;Infant&lt;/Keywords&gt;&lt;Keywords&gt;Medical History Taking&lt;/Keywords&gt;&lt;Keywords&gt;Medicine&lt;/Keywords&gt;&lt;Keywords&gt;Otitis Media&lt;/Keywords&gt;&lt;Keywords&gt;Pain&lt;/Keywords&gt;&lt;Keywords&gt;Physical Examination&lt;/Keywords&gt;&lt;Keywords&gt;Sensitivity and Specificity&lt;/Keywords&gt;&lt;Reprint&gt;Not in File&lt;/Reprint&gt;&lt;Start_Page&gt;1633&lt;/Start_Page&gt;&lt;End_Page&gt;1640&lt;/End_Page&gt;&lt;Periodical&gt;JAMA&lt;/Periodical&gt;&lt;Volume&gt;290&lt;/Volume&gt;&lt;Issue&gt;12&lt;/Issue&gt;&lt;Address&gt;Department of Medicine, Vanderbilt University Medical Center, Nashville, Tenn 37232, USA. russell.rothman@vanderbilt.edu&lt;/Address&gt;&lt;Web_URL&gt;PM:14506123&lt;/Web_URL&gt;&lt;ZZ_JournalFull&gt;&lt;f name="System"&gt;JAMA&lt;/f&gt;&lt;/ZZ_JournalFull&gt;&lt;ZZ_WorkformID&gt;1&lt;/ZZ_WorkformID&gt;&lt;/MDL&gt;&lt;/Cite&gt;&lt;/Refman&gt;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0.052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30 days</w:t>
            </w:r>
          </w:p>
        </w:tc>
      </w:tr>
      <w:tr w:rsidR="001952AF" w:rsidRPr="00530136" w:rsidTr="001952AF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2AF" w:rsidRPr="00530136" w:rsidRDefault="001952AF" w:rsidP="001952AF">
            <w:pPr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Conjunctivitis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&lt;Refman&gt;&lt;Cite&gt;&lt;Author&gt;Gigliotti&lt;/Author&gt;&lt;Year&gt;1981&lt;/Year&gt;&lt;RecNum&gt;316&lt;/RecNum&gt;&lt;IDText&gt;Etiology of acute conjunctivitis in children&lt;/IDText&gt;&lt;MDL Ref_Type="Journal"&gt;&lt;Ref_Type&gt;Journal&lt;/Ref_Type&gt;&lt;Ref_ID&gt;316&lt;/Ref_ID&gt;&lt;Title_Primary&gt;Etiology of acute conjunctivitis in children&lt;/Title_Primary&gt;&lt;Authors_Primary&gt;Gigliotti,F.&lt;/Authors_Primary&gt;&lt;Authors_Primary&gt;Williams,W.T.&lt;/Authors_Primary&gt;&lt;Authors_Primary&gt;Hayden,F.G.&lt;/Authors_Primary&gt;&lt;Authors_Primary&gt;Hendley,J.O.&lt;/Authors_Primary&gt;&lt;Authors_Primary&gt;Benjamin,J.&lt;/Authors_Primary&gt;&lt;Authors_Primary&gt;Dickens,M.&lt;/Authors_Primary&gt;&lt;Authors_Primary&gt;Gleason,C.&lt;/Authors_Primary&gt;&lt;Authors_Primary&gt;Perriello,V.A.&lt;/Authors_Primary&gt;&lt;Authors_Primary&gt;Wood,J.&lt;/Authors_Primary&gt;&lt;Date_Primary&gt;1981/4&lt;/Date_Primary&gt;&lt;Keywords&gt;Acute Disease&lt;/Keywords&gt;&lt;Keywords&gt;Adenoviridae&lt;/Keywords&gt;&lt;Keywords&gt;Adolescent&lt;/Keywords&gt;&lt;Keywords&gt;Bacteria&lt;/Keywords&gt;&lt;Keywords&gt;Child&lt;/Keywords&gt;&lt;Keywords&gt;Child,Preschool&lt;/Keywords&gt;&lt;Keywords&gt;children&lt;/Keywords&gt;&lt;Keywords&gt;Chlamydia trachomatis&lt;/Keywords&gt;&lt;Keywords&gt;Conjunctivitis&lt;/Keywords&gt;&lt;Keywords&gt;etiology&lt;/Keywords&gt;&lt;Keywords&gt;Haemophilus influenzae&lt;/Keywords&gt;&lt;Keywords&gt;Humans&lt;/Keywords&gt;&lt;Keywords&gt;Infant&lt;/Keywords&gt;&lt;Keywords&gt;Infant,Newborn&lt;/Keywords&gt;&lt;Keywords&gt;isolation &amp;amp; purification&lt;/Keywords&gt;&lt;Keywords&gt;microbiology&lt;/Keywords&gt;&lt;Keywords&gt;Pharyngitis&lt;/Keywords&gt;&lt;Keywords&gt;Prospective Studies&lt;/Keywords&gt;&lt;Keywords&gt;Staphylococcus&lt;/Keywords&gt;&lt;Keywords&gt;Staphylococcus aureus&lt;/Keywords&gt;&lt;Keywords&gt;Streptococcus&lt;/Keywords&gt;&lt;Keywords&gt;Streptococcus pneumoniae&lt;/Keywords&gt;&lt;Keywords&gt;Viruses&lt;/Keywords&gt;&lt;Reprint&gt;Not in File&lt;/Reprint&gt;&lt;Start_Page&gt;531&lt;/Start_Page&gt;&lt;End_Page&gt;536&lt;/End_Page&gt;&lt;Periodical&gt;J.Pediatr.&lt;/Periodical&gt;&lt;Volume&gt;98&lt;/Volume&gt;&lt;Issue&gt;4&lt;/Issue&gt;&lt;Web_URL&gt;PM:6970802&lt;/Web_URL&gt;&lt;ZZ_JournalStdAbbrev&gt;&lt;f name="System"&gt;J.Pediatr.&lt;/f&gt;&lt;/ZZ_JournalStdAbbrev&gt;&lt;ZZ_WorkformID&gt;1&lt;/ZZ_WorkformID&gt;&lt;/MDL&gt;&lt;/Cite&gt;&lt;/Refman&gt;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1 week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&lt;Refman&gt;&lt;Cite&gt;&lt;Author&gt;Foulks&lt;/Author&gt;&lt;Year&gt;2000&lt;/Year&gt;&lt;RecNum&gt;317&lt;/RecNum&gt;&lt;IDText&gt;Bacterial Infections of the Conjunctiva and Cornea&lt;/IDText&gt;&lt;MDL Ref_Type="Book Chapter"&gt;&lt;Ref_Type&gt;Book Chapter&lt;/Ref_Type&gt;&lt;Ref_ID&gt;317&lt;/Ref_ID&gt;&lt;Title_Primary&gt;Bacterial Infections of the Conjunctiva and Cornea&lt;/Title_Primary&gt;&lt;Authors_Primary&gt;Foulks,GN&lt;/Authors_Primary&gt;&lt;Authors_Primary&gt;Gordon,JS&lt;/Authors_Primary&gt;&lt;Authors_Primary&gt;Kowalski,RP&lt;/Authors_Primary&gt;&lt;Date_Primary&gt;2000&lt;/Date_Primary&gt;&lt;Keywords&gt;Bacterial Infections&lt;/Keywords&gt;&lt;Reprint&gt;Not in File&lt;/Reprint&gt;&lt;Volume&gt;2nd&lt;/Volume&gt;&lt;Title_Secondary&gt;Principles and Practice of Ophthalmology&lt;/Title_Secondary&gt;&lt;Authors_Secondary&gt;Albert,DM&lt;/Authors_Secondary&gt;&lt;Authors_Secondary&gt;Jakobiec,FA.&lt;/Authors_Secondary&gt;&lt;Pub_Place&gt;Philadelphia&lt;/Pub_Place&gt;&lt;Publisher&gt;WB Saunders Company&lt;/Publisher&gt;&lt;Misc_2&gt;2&lt;/Misc_2&gt;&lt;ZZ_WorkformID&gt;3&lt;/ZZ_WorkformID&gt;&lt;/MDL&gt;&lt;/Cite&gt;&lt;/Refman&gt;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1952A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1952A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0.023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2AF" w:rsidRPr="00530136" w:rsidRDefault="001952AF" w:rsidP="001952AF">
            <w:pPr>
              <w:jc w:val="center"/>
              <w:rPr>
                <w:sz w:val="20"/>
                <w:szCs w:val="20"/>
              </w:rPr>
            </w:pPr>
            <w:r w:rsidRPr="00530136">
              <w:rPr>
                <w:sz w:val="20"/>
                <w:szCs w:val="20"/>
              </w:rPr>
              <w:t>15 days</w:t>
            </w:r>
          </w:p>
        </w:tc>
      </w:tr>
    </w:tbl>
    <w:p w:rsidR="001952AF" w:rsidRDefault="001952AF" w:rsidP="001952AF">
      <w:pPr>
        <w:rPr>
          <w:sz w:val="20"/>
          <w:szCs w:val="20"/>
        </w:rPr>
      </w:pPr>
      <w:r w:rsidRPr="00530136">
        <w:rPr>
          <w:sz w:val="20"/>
          <w:szCs w:val="20"/>
        </w:rPr>
        <w:t>* Episode length denotes the amount of time that must have elapsed between occurrences of the infection in the health care utilization data to be considered separate events in a single individual.</w:t>
      </w:r>
    </w:p>
    <w:p w:rsidR="001952AF" w:rsidRPr="00530136" w:rsidRDefault="001952AF" w:rsidP="001952AF">
      <w:pPr>
        <w:rPr>
          <w:sz w:val="20"/>
          <w:szCs w:val="20"/>
        </w:rPr>
      </w:pPr>
      <w:r>
        <w:rPr>
          <w:sz w:val="20"/>
          <w:szCs w:val="20"/>
        </w:rPr>
        <w:t>** Percentage of cases that progress to health state</w:t>
      </w:r>
    </w:p>
    <w:p w:rsidR="001952AF" w:rsidRDefault="001952AF" w:rsidP="00FF1F8C">
      <w:pPr>
        <w:tabs>
          <w:tab w:val="right" w:pos="360"/>
          <w:tab w:val="left" w:pos="540"/>
        </w:tabs>
        <w:ind w:left="1260" w:hanging="1260"/>
      </w:pPr>
      <w:bookmarkStart w:id="0" w:name="_GoBack"/>
      <w:bookmarkEnd w:id="0"/>
    </w:p>
    <w:p w:rsidR="001952AF" w:rsidRDefault="001952AF" w:rsidP="00FF1F8C">
      <w:pPr>
        <w:tabs>
          <w:tab w:val="right" w:pos="360"/>
          <w:tab w:val="left" w:pos="540"/>
        </w:tabs>
        <w:ind w:left="1260" w:hanging="1260"/>
      </w:pPr>
    </w:p>
    <w:p w:rsidR="001952AF" w:rsidRPr="001952AF" w:rsidRDefault="001952AF" w:rsidP="001952AF">
      <w:pPr>
        <w:rPr>
          <w:b/>
        </w:rPr>
      </w:pPr>
      <w:r>
        <w:fldChar w:fldCharType="begin"/>
      </w:r>
      <w:r>
        <w:instrText xml:space="preserve"> ADDIN REFMGR.REFLIST </w:instrText>
      </w:r>
      <w:r>
        <w:fldChar w:fldCharType="separate"/>
      </w:r>
      <w:r w:rsidRPr="001952AF">
        <w:rPr>
          <w:b/>
        </w:rPr>
        <w:t>References</w:t>
      </w:r>
    </w:p>
    <w:p w:rsidR="001952AF" w:rsidRDefault="001952AF" w:rsidP="001952AF">
      <w:pPr>
        <w:jc w:val="center"/>
      </w:pP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1. </w:t>
      </w:r>
      <w:r>
        <w:tab/>
      </w:r>
      <w:proofErr w:type="spellStart"/>
      <w:r>
        <w:t>Nigrovic</w:t>
      </w:r>
      <w:proofErr w:type="spellEnd"/>
      <w:r>
        <w:t xml:space="preserve"> LE, </w:t>
      </w:r>
      <w:proofErr w:type="spellStart"/>
      <w:r>
        <w:t>Kuppermann</w:t>
      </w:r>
      <w:proofErr w:type="spellEnd"/>
      <w:r>
        <w:t xml:space="preserve"> N, </w:t>
      </w:r>
      <w:proofErr w:type="spellStart"/>
      <w:r>
        <w:t>Malley</w:t>
      </w:r>
      <w:proofErr w:type="spellEnd"/>
      <w:r>
        <w:t xml:space="preserve"> R (2008) Children with bacterial meningitis presenting to the emergency department during the pneumococcal conjugate vaccine era.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Emerg</w:t>
      </w:r>
      <w:proofErr w:type="spellEnd"/>
      <w:r>
        <w:t xml:space="preserve"> Med 15: 522-528.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2. </w:t>
      </w:r>
      <w:r>
        <w:tab/>
        <w:t xml:space="preserve">van de </w:t>
      </w:r>
      <w:proofErr w:type="spellStart"/>
      <w:r>
        <w:t>Beek</w:t>
      </w:r>
      <w:proofErr w:type="spellEnd"/>
      <w:r>
        <w:t xml:space="preserve"> D, de </w:t>
      </w:r>
      <w:proofErr w:type="spellStart"/>
      <w:r>
        <w:t>Gans</w:t>
      </w:r>
      <w:proofErr w:type="spellEnd"/>
      <w:r>
        <w:t xml:space="preserve"> J, </w:t>
      </w:r>
      <w:proofErr w:type="spellStart"/>
      <w:r>
        <w:t>Spanjaard</w:t>
      </w:r>
      <w:proofErr w:type="spellEnd"/>
      <w:r>
        <w:t xml:space="preserve"> L, </w:t>
      </w:r>
      <w:proofErr w:type="spellStart"/>
      <w:r>
        <w:t>Weisfelt</w:t>
      </w:r>
      <w:proofErr w:type="spellEnd"/>
      <w:r>
        <w:t xml:space="preserve"> M, </w:t>
      </w:r>
      <w:proofErr w:type="spellStart"/>
      <w:r>
        <w:t>Reitsma</w:t>
      </w:r>
      <w:proofErr w:type="spellEnd"/>
      <w:r>
        <w:t xml:space="preserve"> JB, </w:t>
      </w:r>
      <w:proofErr w:type="spellStart"/>
      <w:r>
        <w:t>Vermeulen</w:t>
      </w:r>
      <w:proofErr w:type="spellEnd"/>
      <w:r>
        <w:t xml:space="preserve"> M (2004) Clinical features and prognostic factors in adults with bacterial meningitis. N </w:t>
      </w:r>
      <w:proofErr w:type="spellStart"/>
      <w:r>
        <w:t>Engl</w:t>
      </w:r>
      <w:proofErr w:type="spellEnd"/>
      <w:r>
        <w:t xml:space="preserve"> J Med 351: 1849-1859.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3. </w:t>
      </w:r>
      <w:r>
        <w:tab/>
      </w:r>
      <w:proofErr w:type="spellStart"/>
      <w:r>
        <w:t>Fauci</w:t>
      </w:r>
      <w:proofErr w:type="spellEnd"/>
      <w:r>
        <w:t xml:space="preserve">, AS, </w:t>
      </w:r>
      <w:proofErr w:type="spellStart"/>
      <w:r>
        <w:t>Braunwald</w:t>
      </w:r>
      <w:proofErr w:type="spellEnd"/>
      <w:r>
        <w:t xml:space="preserve">, E, Kasper, DL, Hauser, S, Longo, D, Jameson, J, and </w:t>
      </w:r>
      <w:proofErr w:type="spellStart"/>
      <w:r>
        <w:t>Loscalzo</w:t>
      </w:r>
      <w:proofErr w:type="spellEnd"/>
      <w:r>
        <w:t xml:space="preserve">, J (2008) Harrison's Principles of Internal Medicine. New York: McGraw-Hill Professional. 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4. </w:t>
      </w:r>
      <w:r>
        <w:tab/>
      </w:r>
      <w:proofErr w:type="spellStart"/>
      <w:r>
        <w:t>Kutz</w:t>
      </w:r>
      <w:proofErr w:type="spellEnd"/>
      <w:r>
        <w:t xml:space="preserve"> JW, Simon LM, </w:t>
      </w:r>
      <w:proofErr w:type="spellStart"/>
      <w:r>
        <w:t>Chennupati</w:t>
      </w:r>
      <w:proofErr w:type="spellEnd"/>
      <w:r>
        <w:t xml:space="preserve"> SK, </w:t>
      </w:r>
      <w:proofErr w:type="spellStart"/>
      <w:r>
        <w:t>Giannoni</w:t>
      </w:r>
      <w:proofErr w:type="spellEnd"/>
      <w:r>
        <w:t xml:space="preserve"> CM, </w:t>
      </w:r>
      <w:proofErr w:type="spellStart"/>
      <w:r>
        <w:t>Manolidis</w:t>
      </w:r>
      <w:proofErr w:type="spellEnd"/>
      <w:r>
        <w:t xml:space="preserve"> S (2006) Clinical predictors for hearing loss in children with bacterial meningitis. Arch </w:t>
      </w:r>
      <w:proofErr w:type="spellStart"/>
      <w:r>
        <w:t>Otolaryngol</w:t>
      </w:r>
      <w:proofErr w:type="spellEnd"/>
      <w:r>
        <w:t xml:space="preserve"> Head Neck </w:t>
      </w:r>
      <w:proofErr w:type="spellStart"/>
      <w:r>
        <w:t>Surg</w:t>
      </w:r>
      <w:proofErr w:type="spellEnd"/>
      <w:r>
        <w:t xml:space="preserve"> 132: 941-945.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5. </w:t>
      </w:r>
      <w:r>
        <w:tab/>
      </w:r>
      <w:proofErr w:type="spellStart"/>
      <w:r>
        <w:t>Byl</w:t>
      </w:r>
      <w:proofErr w:type="spellEnd"/>
      <w:r>
        <w:t xml:space="preserve"> B, </w:t>
      </w:r>
      <w:proofErr w:type="spellStart"/>
      <w:r>
        <w:t>Clevenbergh</w:t>
      </w:r>
      <w:proofErr w:type="spellEnd"/>
      <w:r>
        <w:t xml:space="preserve"> P, Jacobs F, </w:t>
      </w:r>
      <w:proofErr w:type="spellStart"/>
      <w:r>
        <w:t>Struelens</w:t>
      </w:r>
      <w:proofErr w:type="spellEnd"/>
      <w:r>
        <w:t xml:space="preserve"> MJ, </w:t>
      </w:r>
      <w:proofErr w:type="spellStart"/>
      <w:r>
        <w:t>Zech</w:t>
      </w:r>
      <w:proofErr w:type="spellEnd"/>
      <w:r>
        <w:t xml:space="preserve"> F, </w:t>
      </w:r>
      <w:proofErr w:type="spellStart"/>
      <w:r>
        <w:t>Kentos</w:t>
      </w:r>
      <w:proofErr w:type="spellEnd"/>
      <w:r>
        <w:t xml:space="preserve"> A, </w:t>
      </w:r>
      <w:proofErr w:type="spellStart"/>
      <w:r>
        <w:t>Thys</w:t>
      </w:r>
      <w:proofErr w:type="spellEnd"/>
      <w:r>
        <w:t xml:space="preserve"> JP (1999) Impact of infectious diseases specialists and microbiological data on the appropriateness of antimicrobial therapy for bacteremia. </w:t>
      </w:r>
      <w:proofErr w:type="spellStart"/>
      <w:r>
        <w:t>Clin</w:t>
      </w:r>
      <w:proofErr w:type="spellEnd"/>
      <w:r>
        <w:t xml:space="preserve"> Infect Dis 29: 60-66.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6. </w:t>
      </w:r>
      <w:r>
        <w:tab/>
      </w:r>
      <w:proofErr w:type="spellStart"/>
      <w:r>
        <w:t>Kemmeren</w:t>
      </w:r>
      <w:proofErr w:type="spellEnd"/>
      <w:r>
        <w:t xml:space="preserve"> J, </w:t>
      </w:r>
      <w:proofErr w:type="spellStart"/>
      <w:r>
        <w:t>Mangen</w:t>
      </w:r>
      <w:proofErr w:type="spellEnd"/>
      <w:r>
        <w:t xml:space="preserve"> M, van </w:t>
      </w:r>
      <w:proofErr w:type="spellStart"/>
      <w:r>
        <w:t>Duynhoven</w:t>
      </w:r>
      <w:proofErr w:type="spellEnd"/>
      <w:r>
        <w:t xml:space="preserve"> Y, </w:t>
      </w:r>
      <w:proofErr w:type="spellStart"/>
      <w:r>
        <w:t>Havelaar</w:t>
      </w:r>
      <w:proofErr w:type="spellEnd"/>
      <w:r>
        <w:t xml:space="preserve"> A (2006) Priority setting of foodborne pathogens: Disease burden and costs of selected enteric pathogens. Netherlands: National Institute for Public Health and the Environment (RIVM). Available</w:t>
      </w:r>
      <w:proofErr w:type="gramStart"/>
      <w:r>
        <w:t xml:space="preserve">: </w:t>
      </w:r>
      <w:proofErr w:type="gramEnd"/>
      <w:r>
        <w:rPr>
          <w:u w:val="single"/>
        </w:rPr>
        <w:fldChar w:fldCharType="begin"/>
      </w:r>
      <w:r>
        <w:rPr>
          <w:u w:val="single"/>
        </w:rPr>
        <w:instrText xml:space="preserve"> HYPERLINK "http://www.rivm.nl/bibliotheek/rapporten/330080001.pdf" </w:instrText>
      </w:r>
      <w:r>
        <w:rPr>
          <w:u w:val="single"/>
        </w:rPr>
      </w:r>
      <w:r>
        <w:rPr>
          <w:u w:val="single"/>
        </w:rPr>
        <w:fldChar w:fldCharType="separate"/>
      </w:r>
      <w:r w:rsidRPr="001952AF">
        <w:rPr>
          <w:rStyle w:val="Hyperlink"/>
        </w:rPr>
        <w:t>http://www.rivm.nl/bibliotheek/rapporten/330080001.pdf</w:t>
      </w:r>
      <w:r>
        <w:rPr>
          <w:u w:val="single"/>
        </w:rPr>
        <w:fldChar w:fldCharType="end"/>
      </w:r>
      <w:r>
        <w:t>. Accessed 6-20-2011.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7. </w:t>
      </w:r>
      <w:r>
        <w:tab/>
        <w:t>File TM (2003) Community-acquired pneumonia. Lancet 362: 1991-2001.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lastRenderedPageBreak/>
        <w:tab/>
        <w:t xml:space="preserve">8. </w:t>
      </w:r>
      <w:r>
        <w:tab/>
        <w:t>Goldenberg DL (1998) Septic arthritis. Lancet 351: 197-202.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9. </w:t>
      </w:r>
      <w:r>
        <w:tab/>
      </w:r>
      <w:proofErr w:type="spellStart"/>
      <w:r>
        <w:t>Imboden</w:t>
      </w:r>
      <w:proofErr w:type="spellEnd"/>
      <w:r>
        <w:t xml:space="preserve">, JB, Hellmann, DB, and Stone, JH (2004) Current Rheumatology: Diagnosis &amp; Treatment. New York: McGraw-Hill Medical. 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10. </w:t>
      </w:r>
      <w:r>
        <w:tab/>
      </w:r>
      <w:proofErr w:type="spellStart"/>
      <w:r>
        <w:t>Creer</w:t>
      </w:r>
      <w:proofErr w:type="spellEnd"/>
      <w:r>
        <w:t xml:space="preserve"> DD, Dilworth JP, Gillespie SH, Johnston AR, Johnston SL, Ling C, Patel S, Sanderson G, Wallace PG, McHugh TD (2006) </w:t>
      </w:r>
      <w:proofErr w:type="spellStart"/>
      <w:r>
        <w:t>Aetiological</w:t>
      </w:r>
      <w:proofErr w:type="spellEnd"/>
      <w:r>
        <w:t xml:space="preserve"> role of viral and bacterial infections in acute adult lower respiratory tract infection (LRTI) in primary care. Thorax 61: 75-79.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</w:r>
      <w:proofErr w:type="gramStart"/>
      <w:r>
        <w:t xml:space="preserve">11. </w:t>
      </w:r>
      <w:r>
        <w:tab/>
        <w:t>Wenzel RP, Fowler AA, III (2006) Clinical practice.</w:t>
      </w:r>
      <w:proofErr w:type="gramEnd"/>
      <w:r>
        <w:t xml:space="preserve"> </w:t>
      </w:r>
      <w:proofErr w:type="gramStart"/>
      <w:r>
        <w:t>Acute bronchitis.</w:t>
      </w:r>
      <w:proofErr w:type="gramEnd"/>
      <w:r>
        <w:t xml:space="preserve"> N </w:t>
      </w:r>
      <w:proofErr w:type="spellStart"/>
      <w:r>
        <w:t>Engl</w:t>
      </w:r>
      <w:proofErr w:type="spellEnd"/>
      <w:r>
        <w:t xml:space="preserve"> J Med 355: 2125-2130.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12. </w:t>
      </w:r>
      <w:r>
        <w:tab/>
      </w:r>
      <w:proofErr w:type="spellStart"/>
      <w:r>
        <w:t>Guven</w:t>
      </w:r>
      <w:proofErr w:type="spellEnd"/>
      <w:r>
        <w:t xml:space="preserve"> M, </w:t>
      </w:r>
      <w:proofErr w:type="spellStart"/>
      <w:r>
        <w:t>Bulut</w:t>
      </w:r>
      <w:proofErr w:type="spellEnd"/>
      <w:r>
        <w:t xml:space="preserve"> Y, </w:t>
      </w:r>
      <w:proofErr w:type="spellStart"/>
      <w:r>
        <w:t>Sezer</w:t>
      </w:r>
      <w:proofErr w:type="spellEnd"/>
      <w:r>
        <w:t xml:space="preserve"> T, </w:t>
      </w:r>
      <w:proofErr w:type="spellStart"/>
      <w:r>
        <w:t>Aladag</w:t>
      </w:r>
      <w:proofErr w:type="spellEnd"/>
      <w:r>
        <w:t xml:space="preserve"> I, </w:t>
      </w:r>
      <w:proofErr w:type="spellStart"/>
      <w:r>
        <w:t>Eyibilen</w:t>
      </w:r>
      <w:proofErr w:type="spellEnd"/>
      <w:r>
        <w:t xml:space="preserve"> A, </w:t>
      </w:r>
      <w:proofErr w:type="spellStart"/>
      <w:r>
        <w:t>Etikan</w:t>
      </w:r>
      <w:proofErr w:type="spellEnd"/>
      <w:r>
        <w:t xml:space="preserve"> I (2006) Bacterial etiology of acute otitis media and clinical efficacy of amoxicillin-</w:t>
      </w:r>
      <w:proofErr w:type="spellStart"/>
      <w:r>
        <w:t>clavulanate</w:t>
      </w:r>
      <w:proofErr w:type="spellEnd"/>
      <w:r>
        <w:t xml:space="preserve"> versus azithromycin.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Otorhinolaryngol</w:t>
      </w:r>
      <w:proofErr w:type="spellEnd"/>
      <w:r>
        <w:t xml:space="preserve"> 70: 915-923.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13. </w:t>
      </w:r>
      <w:r>
        <w:tab/>
        <w:t xml:space="preserve">Rothman R, Owens T, </w:t>
      </w:r>
      <w:proofErr w:type="spellStart"/>
      <w:r>
        <w:t>Simel</w:t>
      </w:r>
      <w:proofErr w:type="spellEnd"/>
      <w:r>
        <w:t xml:space="preserve"> DL (2003) Does this child have acute otitis media? JAMA 290: 1633-1640.</w:t>
      </w:r>
    </w:p>
    <w:p w:rsidR="001952AF" w:rsidRDefault="001952AF" w:rsidP="001952AF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14. </w:t>
      </w:r>
      <w:r>
        <w:tab/>
      </w:r>
      <w:proofErr w:type="spellStart"/>
      <w:r>
        <w:t>Gigliotti</w:t>
      </w:r>
      <w:proofErr w:type="spellEnd"/>
      <w:r>
        <w:t xml:space="preserve"> F, Williams WT, Hayden FG, </w:t>
      </w:r>
      <w:proofErr w:type="spellStart"/>
      <w:r>
        <w:t>Hendley</w:t>
      </w:r>
      <w:proofErr w:type="spellEnd"/>
      <w:r>
        <w:t xml:space="preserve"> JO, Benjamin J, Dickens M, Gleason C, </w:t>
      </w:r>
      <w:proofErr w:type="spellStart"/>
      <w:r>
        <w:t>Perriello</w:t>
      </w:r>
      <w:proofErr w:type="spellEnd"/>
      <w:r>
        <w:t xml:space="preserve"> VA, Wood J (1981) Etiology of acute conjunctivitis in children. J </w:t>
      </w:r>
      <w:proofErr w:type="spellStart"/>
      <w:r>
        <w:t>Pediatr</w:t>
      </w:r>
      <w:proofErr w:type="spellEnd"/>
      <w:r>
        <w:t xml:space="preserve"> 98: 531-536.</w:t>
      </w:r>
    </w:p>
    <w:p w:rsidR="001952AF" w:rsidRDefault="001952AF" w:rsidP="001952AF">
      <w:pPr>
        <w:tabs>
          <w:tab w:val="right" w:pos="360"/>
          <w:tab w:val="left" w:pos="540"/>
        </w:tabs>
        <w:ind w:left="1260" w:hanging="1260"/>
      </w:pPr>
      <w:r>
        <w:tab/>
        <w:t xml:space="preserve">15. </w:t>
      </w:r>
      <w:r>
        <w:tab/>
      </w:r>
      <w:proofErr w:type="spellStart"/>
      <w:r>
        <w:t>Foulks</w:t>
      </w:r>
      <w:proofErr w:type="spellEnd"/>
      <w:r>
        <w:t xml:space="preserve"> G, Gordon J, Kowalski R (2000) Bacterial Infections of the Conjunctiva and Cornea. In: Albert D, </w:t>
      </w:r>
      <w:proofErr w:type="spellStart"/>
      <w:r>
        <w:t>Jakobiec</w:t>
      </w:r>
      <w:proofErr w:type="spellEnd"/>
      <w:r>
        <w:t xml:space="preserve"> FA, editors. </w:t>
      </w:r>
      <w:proofErr w:type="gramStart"/>
      <w:r>
        <w:t>Principles and Practice of Ophthalmology.</w:t>
      </w:r>
      <w:proofErr w:type="gramEnd"/>
      <w:r>
        <w:t xml:space="preserve"> Philadelphia: WB Saunders Company.</w:t>
      </w:r>
    </w:p>
    <w:p w:rsidR="001952AF" w:rsidRDefault="001952AF" w:rsidP="001952AF">
      <w:pPr>
        <w:tabs>
          <w:tab w:val="right" w:pos="360"/>
          <w:tab w:val="left" w:pos="540"/>
        </w:tabs>
        <w:ind w:left="1260" w:hanging="1260"/>
      </w:pPr>
    </w:p>
    <w:p w:rsidR="004A2E95" w:rsidRDefault="001952AF" w:rsidP="001952AF">
      <w:pPr>
        <w:tabs>
          <w:tab w:val="right" w:pos="360"/>
          <w:tab w:val="left" w:pos="540"/>
        </w:tabs>
        <w:ind w:left="1260" w:hanging="1260"/>
      </w:pPr>
      <w:r>
        <w:fldChar w:fldCharType="end"/>
      </w:r>
    </w:p>
    <w:sectPr w:rsidR="004A2E95" w:rsidSect="0078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onboids&lt;/item&gt;&lt;/Libraries&gt;&lt;/Databases&gt;"/>
  </w:docVars>
  <w:rsids>
    <w:rsidRoot w:val="00852771"/>
    <w:rsid w:val="001952AF"/>
    <w:rsid w:val="002E506A"/>
    <w:rsid w:val="004A2E95"/>
    <w:rsid w:val="007861BD"/>
    <w:rsid w:val="00852771"/>
    <w:rsid w:val="00A917D1"/>
    <w:rsid w:val="00A92221"/>
    <w:rsid w:val="00EA42FE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2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D55A-D72A-42CE-9C3E-2CA76F54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2012-08-02T21:02:00Z</dcterms:created>
  <dcterms:modified xsi:type="dcterms:W3CDTF">2012-08-02T21:02:00Z</dcterms:modified>
</cp:coreProperties>
</file>