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71" w:rsidRPr="00530136" w:rsidRDefault="00852771" w:rsidP="00852771">
      <w:pPr>
        <w:rPr>
          <w:b/>
          <w:bCs/>
          <w:smallCaps/>
        </w:rPr>
      </w:pPr>
      <w:bookmarkStart w:id="0" w:name="_GoBack"/>
      <w:bookmarkEnd w:id="0"/>
      <w:r w:rsidRPr="00530136">
        <w:rPr>
          <w:b/>
          <w:bCs/>
          <w:smallCaps/>
        </w:rPr>
        <w:t xml:space="preserve">Supplementary </w:t>
      </w:r>
      <w:r>
        <w:rPr>
          <w:b/>
          <w:bCs/>
          <w:smallCaps/>
        </w:rPr>
        <w:t>Material</w:t>
      </w:r>
    </w:p>
    <w:p w:rsidR="00852771" w:rsidRDefault="00852771" w:rsidP="00852771">
      <w:pPr>
        <w:rPr>
          <w:b/>
          <w:bCs/>
          <w:smallCaps/>
        </w:rPr>
      </w:pPr>
    </w:p>
    <w:p w:rsidR="002E506A" w:rsidRPr="00530136" w:rsidRDefault="002E506A" w:rsidP="002E506A">
      <w:pPr>
        <w:rPr>
          <w:b/>
        </w:rPr>
      </w:pPr>
      <w:r w:rsidRPr="00530136">
        <w:rPr>
          <w:b/>
        </w:rPr>
        <w:t xml:space="preserve">Table </w:t>
      </w:r>
      <w:r>
        <w:rPr>
          <w:b/>
        </w:rPr>
        <w:t>S4.</w:t>
      </w:r>
      <w:r w:rsidRPr="00530136">
        <w:rPr>
          <w:b/>
        </w:rPr>
        <w:t xml:space="preserve"> Parameters for estimating disease burden due to human papillomavirus (HPV)-related cancers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275"/>
        <w:gridCol w:w="850"/>
        <w:gridCol w:w="1337"/>
        <w:gridCol w:w="1260"/>
        <w:gridCol w:w="990"/>
        <w:gridCol w:w="990"/>
        <w:gridCol w:w="1161"/>
        <w:gridCol w:w="1275"/>
        <w:gridCol w:w="1275"/>
        <w:gridCol w:w="1275"/>
      </w:tblGrid>
      <w:tr w:rsidR="002E506A" w:rsidRPr="00530136" w:rsidTr="00FF1F8C">
        <w:trPr>
          <w:trHeight w:val="530"/>
        </w:trPr>
        <w:tc>
          <w:tcPr>
            <w:tcW w:w="1488" w:type="dxa"/>
            <w:vAlign w:val="bottom"/>
          </w:tcPr>
          <w:p w:rsidR="002E506A" w:rsidRPr="00530136" w:rsidRDefault="002E506A" w:rsidP="002E506A">
            <w:pPr>
              <w:jc w:val="center"/>
              <w:rPr>
                <w:b/>
                <w:sz w:val="22"/>
                <w:szCs w:val="22"/>
              </w:rPr>
            </w:pPr>
            <w:r w:rsidRPr="00530136">
              <w:rPr>
                <w:b/>
                <w:sz w:val="22"/>
                <w:szCs w:val="22"/>
              </w:rPr>
              <w:t>Cancer site</w:t>
            </w:r>
          </w:p>
        </w:tc>
        <w:tc>
          <w:tcPr>
            <w:tcW w:w="1275" w:type="dxa"/>
            <w:vAlign w:val="bottom"/>
          </w:tcPr>
          <w:p w:rsidR="002E506A" w:rsidRPr="00530136" w:rsidRDefault="002E506A" w:rsidP="002E506A">
            <w:pPr>
              <w:jc w:val="center"/>
              <w:rPr>
                <w:b/>
                <w:sz w:val="22"/>
                <w:szCs w:val="22"/>
              </w:rPr>
            </w:pPr>
            <w:r w:rsidRPr="00530136">
              <w:rPr>
                <w:b/>
                <w:sz w:val="22"/>
                <w:szCs w:val="22"/>
              </w:rPr>
              <w:t xml:space="preserve">Percentage attributed to HPV </w:t>
            </w:r>
          </w:p>
        </w:tc>
        <w:tc>
          <w:tcPr>
            <w:tcW w:w="850" w:type="dxa"/>
            <w:vAlign w:val="bottom"/>
          </w:tcPr>
          <w:p w:rsidR="002E506A" w:rsidRPr="00530136" w:rsidRDefault="002E506A" w:rsidP="002E506A">
            <w:pPr>
              <w:jc w:val="center"/>
              <w:rPr>
                <w:b/>
                <w:sz w:val="22"/>
                <w:szCs w:val="22"/>
              </w:rPr>
            </w:pPr>
            <w:r w:rsidRPr="00530136">
              <w:rPr>
                <w:b/>
                <w:sz w:val="22"/>
                <w:szCs w:val="22"/>
              </w:rPr>
              <w:t>Stage</w:t>
            </w:r>
          </w:p>
        </w:tc>
        <w:tc>
          <w:tcPr>
            <w:tcW w:w="1337" w:type="dxa"/>
            <w:vAlign w:val="bottom"/>
          </w:tcPr>
          <w:p w:rsidR="002E506A" w:rsidRPr="00530136" w:rsidRDefault="002E506A" w:rsidP="002E506A">
            <w:pPr>
              <w:jc w:val="center"/>
              <w:rPr>
                <w:b/>
                <w:sz w:val="22"/>
                <w:szCs w:val="22"/>
                <w:highlight w:val="yellow"/>
              </w:rPr>
            </w:pPr>
            <w:r w:rsidRPr="00530136">
              <w:rPr>
                <w:b/>
                <w:sz w:val="22"/>
                <w:szCs w:val="22"/>
              </w:rPr>
              <w:t>Percentage at diagnosis</w:t>
            </w:r>
          </w:p>
        </w:tc>
        <w:tc>
          <w:tcPr>
            <w:tcW w:w="1260" w:type="dxa"/>
            <w:vAlign w:val="bottom"/>
          </w:tcPr>
          <w:p w:rsidR="002E506A" w:rsidRPr="00530136" w:rsidRDefault="002E506A" w:rsidP="002E506A">
            <w:pPr>
              <w:jc w:val="center"/>
              <w:rPr>
                <w:b/>
                <w:sz w:val="22"/>
                <w:szCs w:val="22"/>
                <w:highlight w:val="yellow"/>
              </w:rPr>
            </w:pPr>
            <w:r w:rsidRPr="00530136">
              <w:rPr>
                <w:b/>
                <w:sz w:val="22"/>
                <w:szCs w:val="22"/>
              </w:rPr>
              <w:t>Severity weight for diagnosis*</w:t>
            </w:r>
          </w:p>
        </w:tc>
        <w:tc>
          <w:tcPr>
            <w:tcW w:w="990" w:type="dxa"/>
            <w:vAlign w:val="bottom"/>
          </w:tcPr>
          <w:p w:rsidR="002E506A" w:rsidRPr="00530136" w:rsidRDefault="002E506A" w:rsidP="002E506A">
            <w:pPr>
              <w:jc w:val="center"/>
              <w:rPr>
                <w:b/>
                <w:sz w:val="22"/>
                <w:szCs w:val="22"/>
              </w:rPr>
            </w:pPr>
            <w:r w:rsidRPr="00530136">
              <w:rPr>
                <w:b/>
                <w:sz w:val="22"/>
                <w:szCs w:val="22"/>
              </w:rPr>
              <w:t>Five-year survival</w:t>
            </w:r>
          </w:p>
        </w:tc>
        <w:tc>
          <w:tcPr>
            <w:tcW w:w="990" w:type="dxa"/>
            <w:vAlign w:val="bottom"/>
          </w:tcPr>
          <w:p w:rsidR="002E506A" w:rsidRPr="00530136" w:rsidRDefault="002E506A" w:rsidP="002E506A">
            <w:pPr>
              <w:jc w:val="center"/>
              <w:rPr>
                <w:b/>
                <w:sz w:val="22"/>
                <w:szCs w:val="22"/>
              </w:rPr>
            </w:pPr>
            <w:r w:rsidRPr="00530136">
              <w:rPr>
                <w:b/>
                <w:sz w:val="22"/>
                <w:szCs w:val="22"/>
              </w:rPr>
              <w:t>Surgery only</w:t>
            </w:r>
          </w:p>
        </w:tc>
        <w:tc>
          <w:tcPr>
            <w:tcW w:w="1161" w:type="dxa"/>
            <w:vAlign w:val="bottom"/>
          </w:tcPr>
          <w:p w:rsidR="002E506A" w:rsidRPr="00530136" w:rsidRDefault="002E506A" w:rsidP="002E506A">
            <w:pPr>
              <w:jc w:val="center"/>
              <w:rPr>
                <w:b/>
                <w:sz w:val="22"/>
                <w:szCs w:val="22"/>
              </w:rPr>
            </w:pPr>
            <w:r w:rsidRPr="00530136">
              <w:rPr>
                <w:b/>
                <w:sz w:val="22"/>
                <w:szCs w:val="22"/>
              </w:rPr>
              <w:t>Radiation only</w:t>
            </w:r>
          </w:p>
        </w:tc>
        <w:tc>
          <w:tcPr>
            <w:tcW w:w="1275" w:type="dxa"/>
            <w:vAlign w:val="bottom"/>
          </w:tcPr>
          <w:p w:rsidR="002E506A" w:rsidRPr="00530136" w:rsidRDefault="002E506A" w:rsidP="002E506A">
            <w:pPr>
              <w:jc w:val="center"/>
              <w:rPr>
                <w:b/>
                <w:sz w:val="22"/>
                <w:szCs w:val="22"/>
              </w:rPr>
            </w:pPr>
            <w:r w:rsidRPr="00530136">
              <w:rPr>
                <w:b/>
                <w:sz w:val="22"/>
                <w:szCs w:val="22"/>
              </w:rPr>
              <w:t>Surgery &amp; radiation</w:t>
            </w:r>
          </w:p>
        </w:tc>
        <w:tc>
          <w:tcPr>
            <w:tcW w:w="1275" w:type="dxa"/>
            <w:vAlign w:val="bottom"/>
          </w:tcPr>
          <w:p w:rsidR="002E506A" w:rsidRPr="00530136" w:rsidRDefault="002E506A" w:rsidP="002E506A">
            <w:pPr>
              <w:jc w:val="center"/>
              <w:rPr>
                <w:b/>
                <w:sz w:val="22"/>
                <w:szCs w:val="22"/>
              </w:rPr>
            </w:pPr>
            <w:r w:rsidRPr="00530136">
              <w:rPr>
                <w:b/>
                <w:sz w:val="22"/>
                <w:szCs w:val="22"/>
              </w:rPr>
              <w:t>Chemotherapy and radiation</w:t>
            </w:r>
          </w:p>
        </w:tc>
        <w:tc>
          <w:tcPr>
            <w:tcW w:w="1275" w:type="dxa"/>
            <w:vAlign w:val="bottom"/>
          </w:tcPr>
          <w:p w:rsidR="002E506A" w:rsidRPr="00530136" w:rsidRDefault="002E506A" w:rsidP="002E506A">
            <w:pPr>
              <w:jc w:val="center"/>
              <w:rPr>
                <w:b/>
                <w:sz w:val="22"/>
                <w:szCs w:val="22"/>
              </w:rPr>
            </w:pPr>
            <w:r w:rsidRPr="00530136">
              <w:rPr>
                <w:b/>
                <w:sz w:val="22"/>
                <w:szCs w:val="22"/>
              </w:rPr>
              <w:t xml:space="preserve">Surgery, chemotherapy &amp; </w:t>
            </w:r>
            <w:proofErr w:type="spellStart"/>
            <w:r w:rsidRPr="00530136">
              <w:rPr>
                <w:b/>
                <w:sz w:val="22"/>
                <w:szCs w:val="22"/>
              </w:rPr>
              <w:t>ratiation</w:t>
            </w:r>
            <w:proofErr w:type="spellEnd"/>
          </w:p>
        </w:tc>
      </w:tr>
      <w:tr w:rsidR="002E506A" w:rsidRPr="00530136" w:rsidTr="00FF1F8C">
        <w:tc>
          <w:tcPr>
            <w:tcW w:w="1488" w:type="dxa"/>
            <w:vMerge w:val="restart"/>
          </w:tcPr>
          <w:p w:rsidR="002E506A" w:rsidRPr="00530136" w:rsidRDefault="002E506A" w:rsidP="002E506A">
            <w:pPr>
              <w:rPr>
                <w:sz w:val="22"/>
                <w:szCs w:val="22"/>
              </w:rPr>
            </w:pPr>
            <w:r w:rsidRPr="00530136">
              <w:rPr>
                <w:sz w:val="22"/>
                <w:szCs w:val="22"/>
              </w:rPr>
              <w:t xml:space="preserve">Cervix </w:t>
            </w:r>
          </w:p>
        </w:tc>
        <w:tc>
          <w:tcPr>
            <w:tcW w:w="1275" w:type="dxa"/>
          </w:tcPr>
          <w:p w:rsidR="002E506A" w:rsidRPr="00530136" w:rsidRDefault="002E506A" w:rsidP="002E506A">
            <w:pPr>
              <w:jc w:val="center"/>
              <w:rPr>
                <w:sz w:val="22"/>
                <w:szCs w:val="22"/>
              </w:rPr>
            </w:pPr>
            <w:r w:rsidRPr="00530136">
              <w:rPr>
                <w:sz w:val="22"/>
                <w:szCs w:val="22"/>
              </w:rPr>
              <w:t>99.7</w:t>
            </w:r>
            <w:r w:rsidR="00FF1F8C">
              <w:rPr>
                <w:sz w:val="22"/>
                <w:szCs w:val="22"/>
              </w:rPr>
              <w:fldChar w:fldCharType="begin"/>
            </w:r>
            <w:r w:rsidR="00FF1F8C">
              <w:rPr>
                <w:sz w:val="22"/>
                <w:szCs w:val="22"/>
              </w:rPr>
              <w:instrText xml:space="preserve"> ADDIN REFMGR.CITE &lt;Refman&gt;&lt;Cite&gt;&lt;Author&gt;Munoz&lt;/Author&gt;&lt;Year&gt;2006&lt;/Year&gt;&lt;RecNum&gt;4254&lt;/RecNum&gt;&lt;IDText&gt;Chapter 1: HPV in the etiology of human cancer&lt;/IDText&gt;&lt;MDL Ref_Type="Journal"&gt;&lt;Ref_Type&gt;Journal&lt;/Ref_Type&gt;&lt;Ref_ID&gt;4254&lt;/Ref_ID&gt;&lt;Title_Primary&gt;Chapter 1: HPV in the etiology of human cancer&lt;/Title_Primary&gt;&lt;Authors_Primary&gt;Munoz,N.&lt;/Authors_Primary&gt;&lt;Authors_Primary&gt;Castellsague,X.&lt;/Authors_Primary&gt;&lt;Authors_Primary&gt;de Gonzalez,A.B.&lt;/Authors_Primary&gt;&lt;Authors_Primary&gt;Gissmann,L.&lt;/Authors_Primary&gt;&lt;Date_Primary&gt;2006/8/31&lt;/Date_Primary&gt;&lt;Keywords&gt;Chlamydia&lt;/Keywords&gt;&lt;Keywords&gt;Chlamydia trachomatis&lt;/Keywords&gt;&lt;Keywords&gt;classification&lt;/Keywords&gt;&lt;Keywords&gt;complications&lt;/Keywords&gt;&lt;Keywords&gt;Conjunctival Neoplasms&lt;/Keywords&gt;&lt;Keywords&gt;etiology&lt;/Keywords&gt;&lt;Keywords&gt;Female&lt;/Keywords&gt;&lt;Keywords&gt;France&lt;/Keywords&gt;&lt;Keywords&gt;Genital Neoplasms,Female&lt;/Keywords&gt;&lt;Keywords&gt;Genital Neoplasms,Male&lt;/Keywords&gt;&lt;Keywords&gt;Herpes Simplex&lt;/Keywords&gt;&lt;Keywords&gt;Humans&lt;/Keywords&gt;&lt;Keywords&gt;Immunosuppression&lt;/Keywords&gt;&lt;Keywords&gt;isolation &amp;amp; purification&lt;/Keywords&gt;&lt;Keywords&gt;Male&lt;/Keywords&gt;&lt;Keywords&gt;Neoplasms&lt;/Keywords&gt;&lt;Keywords&gt;Oropharyngeal Neoplasms&lt;/Keywords&gt;&lt;Keywords&gt;Papillomaviridae&lt;/Keywords&gt;&lt;Keywords&gt;Papillomavirus Infections&lt;/Keywords&gt;&lt;Keywords&gt;Research&lt;/Keywords&gt;&lt;Keywords&gt;Skin Neoplasms&lt;/Keywords&gt;&lt;Keywords&gt;Smoking&lt;/Keywords&gt;&lt;Keywords&gt;Vagina&lt;/Keywords&gt;&lt;Keywords&gt;Viral Load&lt;/Keywords&gt;&lt;Keywords&gt;virology&lt;/Keywords&gt;&lt;Reprint&gt;Not in File&lt;/Reprint&gt;&lt;Start_Page&gt;S3/1&lt;/Start_Page&gt;&lt;End_Page&gt;S310&lt;/End_Page&gt;&lt;Periodical&gt;Vaccine&lt;/Periodical&gt;&lt;Volume&gt;24 Suppl 3&lt;/Volume&gt;&lt;Address&gt;Institut Catala d&amp;apos;Oncologia (ICO), 24 Quai Fulchiron, Lyon, France. Nubia.Munoz@free.fr&lt;/Address&gt;&lt;Web_URL&gt;PM:16949995&lt;/Web_URL&gt;&lt;ZZ_JournalFull&gt;&lt;f name="System"&gt;Vaccine&lt;/f&gt;&lt;/ZZ_JournalFull&gt;&lt;ZZ_WorkformID&gt;1&lt;/ZZ_WorkformID&gt;&lt;/MDL&gt;&lt;/Cite&gt;&lt;/Refman&gt;</w:instrText>
            </w:r>
            <w:r w:rsidR="00FF1F8C">
              <w:rPr>
                <w:sz w:val="22"/>
                <w:szCs w:val="22"/>
              </w:rPr>
              <w:fldChar w:fldCharType="separate"/>
            </w:r>
            <w:r w:rsidR="00FF1F8C" w:rsidRPr="00FF1F8C">
              <w:rPr>
                <w:rFonts w:ascii="Arial" w:hAnsi="Arial" w:cs="Arial"/>
                <w:sz w:val="22"/>
                <w:szCs w:val="22"/>
              </w:rPr>
              <w:t>[</w:t>
            </w:r>
            <w:r w:rsidR="00FF1F8C">
              <w:rPr>
                <w:sz w:val="22"/>
                <w:szCs w:val="22"/>
              </w:rPr>
              <w:t>1</w:t>
            </w:r>
            <w:r w:rsidR="00FF1F8C" w:rsidRPr="00FF1F8C">
              <w:rPr>
                <w:rFonts w:ascii="Arial" w:hAnsi="Arial" w:cs="Arial"/>
                <w:sz w:val="22"/>
                <w:szCs w:val="22"/>
              </w:rPr>
              <w:t>]</w:t>
            </w:r>
            <w:r w:rsidR="00FF1F8C">
              <w:rPr>
                <w:sz w:val="22"/>
                <w:szCs w:val="22"/>
              </w:rPr>
              <w:fldChar w:fldCharType="end"/>
            </w:r>
          </w:p>
        </w:tc>
        <w:tc>
          <w:tcPr>
            <w:tcW w:w="850" w:type="dxa"/>
          </w:tcPr>
          <w:p w:rsidR="002E506A" w:rsidRPr="00530136" w:rsidRDefault="002E506A" w:rsidP="002E506A">
            <w:pPr>
              <w:jc w:val="center"/>
              <w:rPr>
                <w:sz w:val="22"/>
                <w:szCs w:val="22"/>
              </w:rPr>
            </w:pPr>
            <w:r w:rsidRPr="00530136">
              <w:rPr>
                <w:sz w:val="22"/>
                <w:szCs w:val="22"/>
              </w:rPr>
              <w:t>I</w:t>
            </w:r>
          </w:p>
        </w:tc>
        <w:tc>
          <w:tcPr>
            <w:tcW w:w="1337" w:type="dxa"/>
          </w:tcPr>
          <w:p w:rsidR="002E506A" w:rsidRPr="00530136" w:rsidRDefault="002E506A" w:rsidP="002E506A">
            <w:pPr>
              <w:jc w:val="center"/>
              <w:rPr>
                <w:sz w:val="22"/>
                <w:szCs w:val="22"/>
              </w:rPr>
            </w:pPr>
            <w:r w:rsidRPr="00530136">
              <w:rPr>
                <w:sz w:val="22"/>
                <w:szCs w:val="22"/>
              </w:rPr>
              <w:t>52</w:t>
            </w:r>
          </w:p>
        </w:tc>
        <w:tc>
          <w:tcPr>
            <w:tcW w:w="1260" w:type="dxa"/>
          </w:tcPr>
          <w:p w:rsidR="002E506A" w:rsidRPr="00530136" w:rsidRDefault="002E506A" w:rsidP="002E506A">
            <w:pPr>
              <w:jc w:val="center"/>
              <w:rPr>
                <w:sz w:val="22"/>
                <w:szCs w:val="22"/>
              </w:rPr>
            </w:pPr>
            <w:r w:rsidRPr="00530136">
              <w:rPr>
                <w:sz w:val="22"/>
                <w:szCs w:val="22"/>
              </w:rPr>
              <w:t>0.109</w:t>
            </w:r>
          </w:p>
        </w:tc>
        <w:tc>
          <w:tcPr>
            <w:tcW w:w="990" w:type="dxa"/>
          </w:tcPr>
          <w:p w:rsidR="002E506A" w:rsidRPr="00530136" w:rsidRDefault="002E506A" w:rsidP="002E506A">
            <w:pPr>
              <w:jc w:val="center"/>
              <w:rPr>
                <w:sz w:val="22"/>
                <w:szCs w:val="22"/>
              </w:rPr>
            </w:pPr>
            <w:r w:rsidRPr="00530136">
              <w:rPr>
                <w:sz w:val="22"/>
                <w:szCs w:val="22"/>
              </w:rPr>
              <w:t>80</w:t>
            </w:r>
            <w:r w:rsidR="00FF1F8C">
              <w:rPr>
                <w:sz w:val="22"/>
                <w:szCs w:val="22"/>
              </w:rPr>
              <w:fldChar w:fldCharType="begin"/>
            </w:r>
            <w:r w:rsidR="00FF1F8C">
              <w:rPr>
                <w:sz w:val="22"/>
                <w:szCs w:val="22"/>
              </w:rPr>
              <w:instrText xml:space="preserve"> ADDIN REFMGR.CITE &lt;Refman&gt;&lt;Cite&gt;&lt;Author&gt;Fauci&lt;/Author&gt;&lt;Year&gt;2008&lt;/Year&gt;&lt;RecNum&gt;308&lt;/RecNum&gt;&lt;IDText&gt;Harrison&amp;apos;s Principles of Internal Medicine&lt;/IDText&gt;&lt;MDL Ref_Type="Book, Whole"&gt;&lt;Ref_Type&gt;Book, Whole&lt;/Ref_Type&gt;&lt;Ref_ID&gt;308&lt;/Ref_ID&gt;&lt;Title_Primary&gt;Harrison&amp;apos;s Principles of Internal Medicine&lt;/Title_Primary&gt;&lt;Authors_Primary&gt;Fauci,AS&lt;/Authors_Primary&gt;&lt;Authors_Primary&gt;Braunwald,E&lt;/Authors_Primary&gt;&lt;Authors_Primary&gt;Kasper,DL&lt;/Authors_Primary&gt;&lt;Authors_Primary&gt;Hauser,S&lt;/Authors_Primary&gt;&lt;Authors_Primary&gt;Longo,D&lt;/Authors_Primary&gt;&lt;Authors_Primary&gt;Jameson,J&lt;/Authors_Primary&gt;&lt;Authors_Primary&gt;Loscalzo,J&lt;/Authors_Primary&gt;&lt;Date_Primary&gt;2008&lt;/Date_Primary&gt;&lt;Keywords&gt;Medicine&lt;/Keywords&gt;&lt;Reprint&gt;Not in File&lt;/Reprint&gt;&lt;Volume&gt;17th&lt;/Volume&gt;&lt;Pub_Place&gt;New York&lt;/Pub_Place&gt;&lt;Publisher&gt;McGraw-Hill Professional&lt;/Publisher&gt;&lt;ZZ_WorkformID&gt;2&lt;/ZZ_WorkformID&gt;&lt;/MDL&gt;&lt;/Cite&gt;&lt;/Refman&gt;</w:instrText>
            </w:r>
            <w:r w:rsidR="00FF1F8C">
              <w:rPr>
                <w:sz w:val="22"/>
                <w:szCs w:val="22"/>
              </w:rPr>
              <w:fldChar w:fldCharType="separate"/>
            </w:r>
            <w:r w:rsidR="00FF1F8C" w:rsidRPr="00FF1F8C">
              <w:rPr>
                <w:rFonts w:ascii="Arial" w:hAnsi="Arial" w:cs="Arial"/>
                <w:sz w:val="22"/>
                <w:szCs w:val="22"/>
              </w:rPr>
              <w:t>[</w:t>
            </w:r>
            <w:r w:rsidR="00FF1F8C">
              <w:rPr>
                <w:sz w:val="22"/>
                <w:szCs w:val="22"/>
              </w:rPr>
              <w:t>2</w:t>
            </w:r>
            <w:r w:rsidR="00FF1F8C" w:rsidRPr="00FF1F8C">
              <w:rPr>
                <w:rFonts w:ascii="Arial" w:hAnsi="Arial" w:cs="Arial"/>
                <w:sz w:val="22"/>
                <w:szCs w:val="22"/>
              </w:rPr>
              <w:t>]</w:t>
            </w:r>
            <w:r w:rsidR="00FF1F8C">
              <w:rPr>
                <w:sz w:val="22"/>
                <w:szCs w:val="22"/>
              </w:rPr>
              <w:fldChar w:fldCharType="end"/>
            </w:r>
          </w:p>
        </w:tc>
        <w:tc>
          <w:tcPr>
            <w:tcW w:w="990" w:type="dxa"/>
          </w:tcPr>
          <w:p w:rsidR="002E506A" w:rsidRPr="00530136" w:rsidRDefault="002E506A" w:rsidP="002E506A">
            <w:pPr>
              <w:jc w:val="center"/>
              <w:rPr>
                <w:sz w:val="22"/>
                <w:szCs w:val="22"/>
              </w:rPr>
            </w:pPr>
            <w:r w:rsidRPr="00530136">
              <w:rPr>
                <w:sz w:val="22"/>
                <w:szCs w:val="22"/>
              </w:rPr>
              <w:t>60</w:t>
            </w:r>
            <w:r w:rsidR="00FF1F8C">
              <w:rPr>
                <w:sz w:val="22"/>
                <w:szCs w:val="22"/>
              </w:rPr>
              <w:fldChar w:fldCharType="begin"/>
            </w:r>
            <w:r w:rsidR="00FF1F8C">
              <w:rPr>
                <w:sz w:val="22"/>
                <w:szCs w:val="22"/>
              </w:rPr>
              <w:instrText xml:space="preserve"> ADDIN REFMGR.CITE &lt;Refman&gt;&lt;Cite&gt;&lt;Author&gt;Murphy&lt;/Author&gt;&lt;Year&gt;2010&lt;/Year&gt;&lt;RecNum&gt;4256&lt;/RecNum&gt;&lt;IDText&gt;Personal communication with Dr. Joan Murphy, University Hospital Network, Toronto, Canada.&lt;/IDText&gt;&lt;MDL Ref_Type="Personal Communication"&gt;&lt;Ref_Type&gt;Personal Communication&lt;/Ref_Type&gt;&lt;Ref_ID&gt;4256&lt;/Ref_ID&gt;&lt;Title_Primary&gt;Personal communication with Dr. Joan Murphy, University Hospital Network, Toronto, Canada.&lt;/Title_Primary&gt;&lt;Authors_Primary&gt;Murphy,J&lt;/Authors_Primary&gt;&lt;Authors_Primary&gt;Kwong,J.C.&lt;/Authors_Primary&gt;&lt;Date_Primary&gt;2010/3/1&lt;/Date_Primary&gt;&lt;Keywords&gt;Communication&lt;/Keywords&gt;&lt;Keywords&gt;Canada&lt;/Keywords&gt;&lt;Reprint&gt;Not in File&lt;/Reprint&gt;&lt;Date_Secondary&gt;2010/3/1&lt;/Date_Secondary&gt;&lt;ZZ_WorkformID&gt;23&lt;/ZZ_WorkformID&gt;&lt;/MDL&gt;&lt;/Cite&gt;&lt;/Refman&gt;</w:instrText>
            </w:r>
            <w:r w:rsidR="00FF1F8C">
              <w:rPr>
                <w:sz w:val="22"/>
                <w:szCs w:val="22"/>
              </w:rPr>
              <w:fldChar w:fldCharType="separate"/>
            </w:r>
            <w:r w:rsidR="00FF1F8C" w:rsidRPr="00FF1F8C">
              <w:rPr>
                <w:rFonts w:ascii="Arial" w:hAnsi="Arial" w:cs="Arial"/>
                <w:sz w:val="22"/>
                <w:szCs w:val="22"/>
              </w:rPr>
              <w:t>[</w:t>
            </w:r>
            <w:r w:rsidR="00FF1F8C">
              <w:rPr>
                <w:sz w:val="22"/>
                <w:szCs w:val="22"/>
              </w:rPr>
              <w:t>3</w:t>
            </w:r>
            <w:r w:rsidR="00FF1F8C" w:rsidRPr="00FF1F8C">
              <w:rPr>
                <w:rFonts w:ascii="Arial" w:hAnsi="Arial" w:cs="Arial"/>
                <w:sz w:val="22"/>
                <w:szCs w:val="22"/>
              </w:rPr>
              <w:t>]</w:t>
            </w:r>
            <w:r w:rsidR="00FF1F8C">
              <w:rPr>
                <w:sz w:val="22"/>
                <w:szCs w:val="22"/>
              </w:rPr>
              <w:fldChar w:fldCharType="end"/>
            </w:r>
          </w:p>
        </w:tc>
        <w:tc>
          <w:tcPr>
            <w:tcW w:w="1161"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r w:rsidRPr="00530136">
              <w:rPr>
                <w:sz w:val="22"/>
                <w:szCs w:val="22"/>
              </w:rPr>
              <w:t>25</w:t>
            </w:r>
          </w:p>
        </w:tc>
        <w:tc>
          <w:tcPr>
            <w:tcW w:w="1275" w:type="dxa"/>
          </w:tcPr>
          <w:p w:rsidR="002E506A" w:rsidRPr="00530136" w:rsidRDefault="002E506A" w:rsidP="002E506A">
            <w:pPr>
              <w:jc w:val="center"/>
              <w:rPr>
                <w:sz w:val="22"/>
                <w:szCs w:val="22"/>
              </w:rPr>
            </w:pPr>
            <w:r w:rsidRPr="00530136">
              <w:rPr>
                <w:sz w:val="22"/>
                <w:szCs w:val="22"/>
              </w:rPr>
              <w:t>15</w:t>
            </w:r>
          </w:p>
        </w:tc>
      </w:tr>
      <w:tr w:rsidR="002E506A" w:rsidRPr="00530136" w:rsidTr="00FF1F8C">
        <w:tc>
          <w:tcPr>
            <w:tcW w:w="1488" w:type="dxa"/>
            <w:vMerge/>
          </w:tcPr>
          <w:p w:rsidR="002E506A" w:rsidRPr="00530136" w:rsidRDefault="002E506A" w:rsidP="002E506A">
            <w:pPr>
              <w:rPr>
                <w:sz w:val="22"/>
                <w:szCs w:val="22"/>
              </w:rPr>
            </w:pPr>
          </w:p>
        </w:tc>
        <w:tc>
          <w:tcPr>
            <w:tcW w:w="1275" w:type="dxa"/>
          </w:tcPr>
          <w:p w:rsidR="002E506A" w:rsidRPr="00530136" w:rsidRDefault="002E506A" w:rsidP="002E506A">
            <w:pPr>
              <w:jc w:val="center"/>
              <w:rPr>
                <w:sz w:val="22"/>
                <w:szCs w:val="22"/>
              </w:rPr>
            </w:pPr>
          </w:p>
        </w:tc>
        <w:tc>
          <w:tcPr>
            <w:tcW w:w="850" w:type="dxa"/>
          </w:tcPr>
          <w:p w:rsidR="002E506A" w:rsidRPr="00530136" w:rsidRDefault="002E506A" w:rsidP="002E506A">
            <w:pPr>
              <w:jc w:val="center"/>
              <w:rPr>
                <w:sz w:val="22"/>
                <w:szCs w:val="22"/>
              </w:rPr>
            </w:pPr>
            <w:r w:rsidRPr="00530136">
              <w:rPr>
                <w:sz w:val="22"/>
                <w:szCs w:val="22"/>
              </w:rPr>
              <w:t>II</w:t>
            </w:r>
          </w:p>
        </w:tc>
        <w:tc>
          <w:tcPr>
            <w:tcW w:w="1337" w:type="dxa"/>
          </w:tcPr>
          <w:p w:rsidR="002E506A" w:rsidRPr="00530136" w:rsidRDefault="002E506A" w:rsidP="002E506A">
            <w:pPr>
              <w:jc w:val="center"/>
              <w:rPr>
                <w:sz w:val="22"/>
                <w:szCs w:val="22"/>
              </w:rPr>
            </w:pPr>
            <w:r w:rsidRPr="00530136">
              <w:rPr>
                <w:sz w:val="22"/>
                <w:szCs w:val="22"/>
              </w:rPr>
              <w:t>21</w:t>
            </w:r>
          </w:p>
        </w:tc>
        <w:tc>
          <w:tcPr>
            <w:tcW w:w="1260" w:type="dxa"/>
          </w:tcPr>
          <w:p w:rsidR="002E506A" w:rsidRPr="00530136" w:rsidRDefault="002E506A" w:rsidP="002E506A">
            <w:pPr>
              <w:jc w:val="center"/>
              <w:rPr>
                <w:sz w:val="22"/>
                <w:szCs w:val="22"/>
              </w:rPr>
            </w:pPr>
            <w:r w:rsidRPr="00530136">
              <w:rPr>
                <w:sz w:val="22"/>
                <w:szCs w:val="22"/>
              </w:rPr>
              <w:t>0.147</w:t>
            </w:r>
          </w:p>
        </w:tc>
        <w:tc>
          <w:tcPr>
            <w:tcW w:w="990" w:type="dxa"/>
          </w:tcPr>
          <w:p w:rsidR="002E506A" w:rsidRPr="00530136" w:rsidRDefault="002E506A" w:rsidP="002E506A">
            <w:pPr>
              <w:jc w:val="center"/>
              <w:rPr>
                <w:sz w:val="22"/>
                <w:szCs w:val="22"/>
              </w:rPr>
            </w:pPr>
            <w:r w:rsidRPr="00530136">
              <w:rPr>
                <w:sz w:val="22"/>
                <w:szCs w:val="22"/>
              </w:rPr>
              <w:t>65</w:t>
            </w:r>
          </w:p>
        </w:tc>
        <w:tc>
          <w:tcPr>
            <w:tcW w:w="990" w:type="dxa"/>
          </w:tcPr>
          <w:p w:rsidR="002E506A" w:rsidRPr="00530136" w:rsidRDefault="002E506A" w:rsidP="002E506A">
            <w:pPr>
              <w:jc w:val="center"/>
              <w:rPr>
                <w:sz w:val="22"/>
                <w:szCs w:val="22"/>
              </w:rPr>
            </w:pPr>
          </w:p>
        </w:tc>
        <w:tc>
          <w:tcPr>
            <w:tcW w:w="1161"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r w:rsidRPr="00530136">
              <w:rPr>
                <w:sz w:val="22"/>
                <w:szCs w:val="22"/>
              </w:rPr>
              <w:t>100</w:t>
            </w:r>
          </w:p>
        </w:tc>
        <w:tc>
          <w:tcPr>
            <w:tcW w:w="1275" w:type="dxa"/>
          </w:tcPr>
          <w:p w:rsidR="002E506A" w:rsidRPr="00530136" w:rsidRDefault="002E506A" w:rsidP="002E506A">
            <w:pPr>
              <w:jc w:val="center"/>
              <w:rPr>
                <w:sz w:val="22"/>
                <w:szCs w:val="22"/>
              </w:rPr>
            </w:pPr>
          </w:p>
        </w:tc>
      </w:tr>
      <w:tr w:rsidR="002E506A" w:rsidRPr="00530136" w:rsidTr="00FF1F8C">
        <w:tc>
          <w:tcPr>
            <w:tcW w:w="1488" w:type="dxa"/>
            <w:vMerge/>
          </w:tcPr>
          <w:p w:rsidR="002E506A" w:rsidRPr="00530136" w:rsidRDefault="002E506A" w:rsidP="002E506A">
            <w:pPr>
              <w:rPr>
                <w:sz w:val="22"/>
                <w:szCs w:val="22"/>
              </w:rPr>
            </w:pPr>
          </w:p>
        </w:tc>
        <w:tc>
          <w:tcPr>
            <w:tcW w:w="1275" w:type="dxa"/>
          </w:tcPr>
          <w:p w:rsidR="002E506A" w:rsidRPr="00530136" w:rsidRDefault="002E506A" w:rsidP="002E506A">
            <w:pPr>
              <w:jc w:val="center"/>
              <w:rPr>
                <w:sz w:val="22"/>
                <w:szCs w:val="22"/>
              </w:rPr>
            </w:pPr>
          </w:p>
        </w:tc>
        <w:tc>
          <w:tcPr>
            <w:tcW w:w="850" w:type="dxa"/>
          </w:tcPr>
          <w:p w:rsidR="002E506A" w:rsidRPr="00530136" w:rsidRDefault="002E506A" w:rsidP="002E506A">
            <w:pPr>
              <w:jc w:val="center"/>
              <w:rPr>
                <w:sz w:val="22"/>
                <w:szCs w:val="22"/>
              </w:rPr>
            </w:pPr>
            <w:r w:rsidRPr="00530136">
              <w:rPr>
                <w:sz w:val="22"/>
                <w:szCs w:val="22"/>
              </w:rPr>
              <w:t>III/IV</w:t>
            </w:r>
          </w:p>
        </w:tc>
        <w:tc>
          <w:tcPr>
            <w:tcW w:w="1337" w:type="dxa"/>
          </w:tcPr>
          <w:p w:rsidR="002E506A" w:rsidRPr="00530136" w:rsidRDefault="002E506A" w:rsidP="002E506A">
            <w:pPr>
              <w:jc w:val="center"/>
              <w:rPr>
                <w:sz w:val="22"/>
                <w:szCs w:val="22"/>
              </w:rPr>
            </w:pPr>
            <w:r w:rsidRPr="00530136">
              <w:rPr>
                <w:sz w:val="22"/>
                <w:szCs w:val="22"/>
              </w:rPr>
              <w:t>27</w:t>
            </w:r>
          </w:p>
        </w:tc>
        <w:tc>
          <w:tcPr>
            <w:tcW w:w="1260" w:type="dxa"/>
          </w:tcPr>
          <w:p w:rsidR="002E506A" w:rsidRPr="00530136" w:rsidRDefault="002E506A" w:rsidP="002E506A">
            <w:pPr>
              <w:jc w:val="center"/>
              <w:rPr>
                <w:sz w:val="22"/>
                <w:szCs w:val="22"/>
              </w:rPr>
            </w:pPr>
            <w:r w:rsidRPr="00530136">
              <w:rPr>
                <w:sz w:val="22"/>
                <w:szCs w:val="22"/>
              </w:rPr>
              <w:t>0.191</w:t>
            </w:r>
          </w:p>
        </w:tc>
        <w:tc>
          <w:tcPr>
            <w:tcW w:w="990" w:type="dxa"/>
          </w:tcPr>
          <w:p w:rsidR="002E506A" w:rsidRPr="00530136" w:rsidRDefault="002E506A" w:rsidP="002E506A">
            <w:pPr>
              <w:jc w:val="center"/>
              <w:rPr>
                <w:sz w:val="22"/>
                <w:szCs w:val="22"/>
              </w:rPr>
            </w:pPr>
            <w:r w:rsidRPr="00530136">
              <w:rPr>
                <w:sz w:val="22"/>
                <w:szCs w:val="22"/>
              </w:rPr>
              <w:t>30</w:t>
            </w:r>
          </w:p>
        </w:tc>
        <w:tc>
          <w:tcPr>
            <w:tcW w:w="990" w:type="dxa"/>
          </w:tcPr>
          <w:p w:rsidR="002E506A" w:rsidRPr="00530136" w:rsidRDefault="002E506A" w:rsidP="002E506A">
            <w:pPr>
              <w:jc w:val="center"/>
              <w:rPr>
                <w:sz w:val="22"/>
                <w:szCs w:val="22"/>
              </w:rPr>
            </w:pPr>
          </w:p>
        </w:tc>
        <w:tc>
          <w:tcPr>
            <w:tcW w:w="1161" w:type="dxa"/>
          </w:tcPr>
          <w:p w:rsidR="002E506A" w:rsidRPr="00530136" w:rsidRDefault="002E506A" w:rsidP="002E506A">
            <w:pPr>
              <w:jc w:val="center"/>
              <w:rPr>
                <w:sz w:val="22"/>
                <w:szCs w:val="22"/>
              </w:rPr>
            </w:pPr>
            <w:r w:rsidRPr="00530136">
              <w:rPr>
                <w:sz w:val="22"/>
                <w:szCs w:val="22"/>
              </w:rPr>
              <w:t>10</w:t>
            </w: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r w:rsidRPr="00530136">
              <w:rPr>
                <w:sz w:val="22"/>
                <w:szCs w:val="22"/>
              </w:rPr>
              <w:t>90</w:t>
            </w:r>
          </w:p>
        </w:tc>
        <w:tc>
          <w:tcPr>
            <w:tcW w:w="1275" w:type="dxa"/>
          </w:tcPr>
          <w:p w:rsidR="002E506A" w:rsidRPr="00530136" w:rsidRDefault="002E506A" w:rsidP="002E506A">
            <w:pPr>
              <w:jc w:val="center"/>
              <w:rPr>
                <w:sz w:val="22"/>
                <w:szCs w:val="22"/>
              </w:rPr>
            </w:pPr>
          </w:p>
        </w:tc>
      </w:tr>
      <w:tr w:rsidR="002E506A" w:rsidRPr="00530136" w:rsidTr="00FF1F8C">
        <w:tc>
          <w:tcPr>
            <w:tcW w:w="1488" w:type="dxa"/>
            <w:vMerge w:val="restart"/>
          </w:tcPr>
          <w:p w:rsidR="002E506A" w:rsidRPr="00530136" w:rsidRDefault="002E506A" w:rsidP="002E506A">
            <w:pPr>
              <w:rPr>
                <w:sz w:val="22"/>
                <w:szCs w:val="22"/>
              </w:rPr>
            </w:pPr>
            <w:r w:rsidRPr="00530136">
              <w:rPr>
                <w:sz w:val="22"/>
                <w:szCs w:val="22"/>
              </w:rPr>
              <w:t>Vulva</w:t>
            </w:r>
          </w:p>
        </w:tc>
        <w:tc>
          <w:tcPr>
            <w:tcW w:w="1275" w:type="dxa"/>
          </w:tcPr>
          <w:p w:rsidR="002E506A" w:rsidRPr="00530136" w:rsidRDefault="002E506A" w:rsidP="002E506A">
            <w:pPr>
              <w:jc w:val="center"/>
              <w:rPr>
                <w:sz w:val="22"/>
                <w:szCs w:val="22"/>
              </w:rPr>
            </w:pPr>
            <w:r w:rsidRPr="00530136">
              <w:rPr>
                <w:sz w:val="22"/>
                <w:szCs w:val="22"/>
              </w:rPr>
              <w:t>36–40</w:t>
            </w:r>
            <w:r w:rsidR="00FF1F8C">
              <w:rPr>
                <w:sz w:val="22"/>
                <w:szCs w:val="22"/>
              </w:rPr>
              <w:fldChar w:fldCharType="begin"/>
            </w:r>
            <w:r w:rsidR="00FF1F8C">
              <w:rPr>
                <w:sz w:val="22"/>
                <w:szCs w:val="22"/>
              </w:rPr>
              <w:instrText xml:space="preserve"> ADDIN REFMGR.CITE &lt;Refman&gt;&lt;Cite&gt;&lt;Author&gt;Giuliano&lt;/Author&gt;&lt;Year&gt;2008&lt;/Year&gt;&lt;RecNum&gt;4255&lt;/RecNum&gt;&lt;IDText&gt;Epidemiology of human papillomavirus infection in men, cancers other than cervical and benign conditions&lt;/IDText&gt;&lt;MDL Ref_Type="Journal"&gt;&lt;Ref_Type&gt;Journal&lt;/Ref_Type&gt;&lt;Ref_ID&gt;4255&lt;/Ref_ID&gt;&lt;Title_Primary&gt;Epidemiology of human papillomavirus infection in men, cancers other than cervical and benign conditions&lt;/Title_Primary&gt;&lt;Authors_Primary&gt;Giuliano,A.R.&lt;/Authors_Primary&gt;&lt;Authors_Primary&gt;Tortolero-Luna,G.&lt;/Authors_Primary&gt;&lt;Authors_Primary&gt;Ferrer,E.&lt;/Authors_Primary&gt;&lt;Authors_Primary&gt;Burchell,A.N.&lt;/Authors_Primary&gt;&lt;Authors_Primary&gt;de Sanjose,S.&lt;/Authors_Primary&gt;&lt;Authors_Primary&gt;Kjaer,S.K.&lt;/Authors_Primary&gt;&lt;Authors_Primary&gt;Munoz,N.&lt;/Authors_Primary&gt;&lt;Authors_Primary&gt;Schiffman,M.&lt;/Authors_Primary&gt;&lt;Authors_Primary&gt;Bosch,F.X.&lt;/Authors_Primary&gt;&lt;Date_Primary&gt;2008/8/19&lt;/Date_Primary&gt;&lt;Keywords&gt;Anus Neoplasms&lt;/Keywords&gt;&lt;Keywords&gt;complications&lt;/Keywords&gt;&lt;Keywords&gt;Condylomata Acuminata&lt;/Keywords&gt;&lt;Keywords&gt;Disease&lt;/Keywords&gt;&lt;Keywords&gt;epidemiology&lt;/Keywords&gt;&lt;Keywords&gt;etiology&lt;/Keywords&gt;&lt;Keywords&gt;Female&lt;/Keywords&gt;&lt;Keywords&gt;Genital Diseases,Male&lt;/Keywords&gt;&lt;Keywords&gt;Genital Neoplasms,Male&lt;/Keywords&gt;&lt;Keywords&gt;Humans&lt;/Keywords&gt;&lt;Keywords&gt;immunology&lt;/Keywords&gt;&lt;Keywords&gt;Male&lt;/Keywords&gt;&lt;Keywords&gt;Neck&lt;/Keywords&gt;&lt;Keywords&gt;Papillomaviridae&lt;/Keywords&gt;&lt;Keywords&gt;Papillomavirus Infections&lt;/Keywords&gt;&lt;Keywords&gt;pathogenicity&lt;/Keywords&gt;&lt;Keywords&gt;Research&lt;/Keywords&gt;&lt;Keywords&gt;Respiratory Tract Infections&lt;/Keywords&gt;&lt;Keywords&gt;Risk&lt;/Keywords&gt;&lt;Keywords&gt;Risk Assessment&lt;/Keywords&gt;&lt;Keywords&gt;Uterine Cervical Diseases&lt;/Keywords&gt;&lt;Keywords&gt;Vagina&lt;/Keywords&gt;&lt;Keywords&gt;virology&lt;/Keywords&gt;&lt;Reprint&gt;Not in File&lt;/Reprint&gt;&lt;Start_Page&gt;K17&lt;/Start_Page&gt;&lt;End_Page&gt;K28&lt;/End_Page&gt;&lt;Periodical&gt;Vaccine&lt;/Periodical&gt;&lt;Volume&gt;26 Suppl 10&lt;/Volume&gt;&lt;Address&gt;Risk Assessment, Detection and Intervention Program, H. Lee Moffitt Cancer Center and Research Institute, Tampa, FL, USA. anna.giuliano@moffitt.org&lt;/Address&gt;&lt;Web_URL&gt;&lt;u&gt;PM:18847554&lt;/u&gt;&lt;/Web_URL&gt;&lt;ZZ_JournalFull&gt;&lt;f name="System"&gt;Vaccine&lt;/f&gt;&lt;/ZZ_JournalFull&gt;&lt;ZZ_WorkformID&gt;1&lt;/ZZ_WorkformID&gt;&lt;/MDL&gt;&lt;/Cite&gt;&lt;/Refman&gt;</w:instrText>
            </w:r>
            <w:r w:rsidR="00FF1F8C">
              <w:rPr>
                <w:sz w:val="22"/>
                <w:szCs w:val="22"/>
              </w:rPr>
              <w:fldChar w:fldCharType="separate"/>
            </w:r>
            <w:r w:rsidR="00FF1F8C" w:rsidRPr="00FF1F8C">
              <w:rPr>
                <w:rFonts w:ascii="Arial" w:hAnsi="Arial" w:cs="Arial"/>
                <w:sz w:val="22"/>
                <w:szCs w:val="22"/>
              </w:rPr>
              <w:t>[</w:t>
            </w:r>
            <w:r w:rsidR="00FF1F8C" w:rsidRPr="00FF1F8C">
              <w:rPr>
                <w:sz w:val="22"/>
                <w:szCs w:val="22"/>
              </w:rPr>
              <w:t>4</w:t>
            </w:r>
            <w:r w:rsidR="00FF1F8C" w:rsidRPr="00FF1F8C">
              <w:rPr>
                <w:rFonts w:ascii="Arial" w:hAnsi="Arial" w:cs="Arial"/>
                <w:sz w:val="22"/>
                <w:szCs w:val="22"/>
              </w:rPr>
              <w:t>]</w:t>
            </w:r>
            <w:r w:rsidR="00FF1F8C">
              <w:rPr>
                <w:sz w:val="22"/>
                <w:szCs w:val="22"/>
              </w:rPr>
              <w:fldChar w:fldCharType="end"/>
            </w:r>
          </w:p>
        </w:tc>
        <w:tc>
          <w:tcPr>
            <w:tcW w:w="850" w:type="dxa"/>
          </w:tcPr>
          <w:p w:rsidR="002E506A" w:rsidRPr="00530136" w:rsidRDefault="002E506A" w:rsidP="002E506A">
            <w:pPr>
              <w:jc w:val="center"/>
              <w:rPr>
                <w:sz w:val="22"/>
                <w:szCs w:val="22"/>
              </w:rPr>
            </w:pPr>
            <w:r w:rsidRPr="00530136">
              <w:rPr>
                <w:sz w:val="22"/>
                <w:szCs w:val="22"/>
              </w:rPr>
              <w:t>I/II</w:t>
            </w:r>
          </w:p>
        </w:tc>
        <w:tc>
          <w:tcPr>
            <w:tcW w:w="1337" w:type="dxa"/>
          </w:tcPr>
          <w:p w:rsidR="002E506A" w:rsidRPr="00530136" w:rsidRDefault="002E506A" w:rsidP="002E506A">
            <w:pPr>
              <w:jc w:val="center"/>
              <w:rPr>
                <w:sz w:val="22"/>
                <w:szCs w:val="22"/>
              </w:rPr>
            </w:pPr>
            <w:r w:rsidRPr="00530136">
              <w:rPr>
                <w:sz w:val="22"/>
                <w:szCs w:val="22"/>
              </w:rPr>
              <w:t>66</w:t>
            </w:r>
          </w:p>
        </w:tc>
        <w:tc>
          <w:tcPr>
            <w:tcW w:w="1260" w:type="dxa"/>
          </w:tcPr>
          <w:p w:rsidR="002E506A" w:rsidRPr="00530136" w:rsidRDefault="002E506A" w:rsidP="002E506A">
            <w:pPr>
              <w:jc w:val="center"/>
              <w:rPr>
                <w:sz w:val="22"/>
                <w:szCs w:val="22"/>
              </w:rPr>
            </w:pPr>
            <w:r w:rsidRPr="00530136">
              <w:rPr>
                <w:sz w:val="22"/>
                <w:szCs w:val="22"/>
              </w:rPr>
              <w:t>0.109</w:t>
            </w:r>
          </w:p>
        </w:tc>
        <w:tc>
          <w:tcPr>
            <w:tcW w:w="990" w:type="dxa"/>
          </w:tcPr>
          <w:p w:rsidR="002E506A" w:rsidRPr="00530136" w:rsidRDefault="002E506A" w:rsidP="002E506A">
            <w:pPr>
              <w:jc w:val="center"/>
              <w:rPr>
                <w:sz w:val="22"/>
                <w:szCs w:val="22"/>
              </w:rPr>
            </w:pPr>
            <w:r w:rsidRPr="00530136">
              <w:rPr>
                <w:sz w:val="22"/>
                <w:szCs w:val="22"/>
              </w:rPr>
              <w:t>85</w:t>
            </w:r>
          </w:p>
        </w:tc>
        <w:tc>
          <w:tcPr>
            <w:tcW w:w="990" w:type="dxa"/>
          </w:tcPr>
          <w:p w:rsidR="002E506A" w:rsidRPr="00530136" w:rsidRDefault="002E506A" w:rsidP="002E506A">
            <w:pPr>
              <w:jc w:val="center"/>
              <w:rPr>
                <w:sz w:val="22"/>
                <w:szCs w:val="22"/>
              </w:rPr>
            </w:pPr>
            <w:r w:rsidRPr="00530136">
              <w:rPr>
                <w:sz w:val="22"/>
                <w:szCs w:val="22"/>
              </w:rPr>
              <w:t>80</w:t>
            </w:r>
            <w:r w:rsidRPr="0093539E">
              <w:rPr>
                <w:rFonts w:ascii="Arial" w:hAnsi="Arial" w:cs="Arial"/>
                <w:sz w:val="22"/>
                <w:szCs w:val="22"/>
              </w:rPr>
              <w:t>[</w:t>
            </w:r>
            <w:r w:rsidRPr="0093539E">
              <w:rPr>
                <w:sz w:val="22"/>
                <w:szCs w:val="22"/>
              </w:rPr>
              <w:t>3</w:t>
            </w:r>
            <w:r w:rsidRPr="0093539E">
              <w:rPr>
                <w:rFonts w:ascii="Arial" w:hAnsi="Arial" w:cs="Arial"/>
                <w:sz w:val="22"/>
                <w:szCs w:val="22"/>
              </w:rPr>
              <w:t>]</w:t>
            </w:r>
          </w:p>
        </w:tc>
        <w:tc>
          <w:tcPr>
            <w:tcW w:w="1161"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r w:rsidRPr="00530136">
              <w:rPr>
                <w:sz w:val="22"/>
                <w:szCs w:val="22"/>
              </w:rPr>
              <w:t>10</w:t>
            </w:r>
          </w:p>
        </w:tc>
        <w:tc>
          <w:tcPr>
            <w:tcW w:w="1275" w:type="dxa"/>
          </w:tcPr>
          <w:p w:rsidR="002E506A" w:rsidRPr="00530136" w:rsidRDefault="002E506A" w:rsidP="002E506A">
            <w:pPr>
              <w:jc w:val="center"/>
              <w:rPr>
                <w:sz w:val="22"/>
                <w:szCs w:val="22"/>
              </w:rPr>
            </w:pPr>
            <w:r w:rsidRPr="00530136">
              <w:rPr>
                <w:sz w:val="22"/>
                <w:szCs w:val="22"/>
              </w:rPr>
              <w:t>10</w:t>
            </w:r>
          </w:p>
        </w:tc>
      </w:tr>
      <w:tr w:rsidR="002E506A" w:rsidRPr="00530136" w:rsidTr="00FF1F8C">
        <w:tc>
          <w:tcPr>
            <w:tcW w:w="1488" w:type="dxa"/>
            <w:vMerge/>
          </w:tcPr>
          <w:p w:rsidR="002E506A" w:rsidRPr="00530136" w:rsidRDefault="002E506A" w:rsidP="002E506A">
            <w:pPr>
              <w:rPr>
                <w:sz w:val="22"/>
                <w:szCs w:val="22"/>
              </w:rPr>
            </w:pPr>
          </w:p>
        </w:tc>
        <w:tc>
          <w:tcPr>
            <w:tcW w:w="1275" w:type="dxa"/>
          </w:tcPr>
          <w:p w:rsidR="002E506A" w:rsidRPr="00530136" w:rsidRDefault="002E506A" w:rsidP="002E506A">
            <w:pPr>
              <w:jc w:val="center"/>
              <w:rPr>
                <w:sz w:val="22"/>
                <w:szCs w:val="22"/>
              </w:rPr>
            </w:pPr>
          </w:p>
        </w:tc>
        <w:tc>
          <w:tcPr>
            <w:tcW w:w="850" w:type="dxa"/>
          </w:tcPr>
          <w:p w:rsidR="002E506A" w:rsidRPr="00530136" w:rsidRDefault="002E506A" w:rsidP="002E506A">
            <w:pPr>
              <w:jc w:val="center"/>
              <w:rPr>
                <w:sz w:val="22"/>
                <w:szCs w:val="22"/>
              </w:rPr>
            </w:pPr>
            <w:r w:rsidRPr="00530136">
              <w:rPr>
                <w:sz w:val="22"/>
                <w:szCs w:val="22"/>
              </w:rPr>
              <w:t>III/IV</w:t>
            </w:r>
          </w:p>
        </w:tc>
        <w:tc>
          <w:tcPr>
            <w:tcW w:w="1337" w:type="dxa"/>
          </w:tcPr>
          <w:p w:rsidR="002E506A" w:rsidRPr="00530136" w:rsidRDefault="002E506A" w:rsidP="002E506A">
            <w:pPr>
              <w:jc w:val="center"/>
              <w:rPr>
                <w:sz w:val="22"/>
                <w:szCs w:val="22"/>
              </w:rPr>
            </w:pPr>
            <w:r w:rsidRPr="00530136">
              <w:rPr>
                <w:sz w:val="22"/>
                <w:szCs w:val="22"/>
              </w:rPr>
              <w:t>34</w:t>
            </w:r>
          </w:p>
        </w:tc>
        <w:tc>
          <w:tcPr>
            <w:tcW w:w="1260" w:type="dxa"/>
          </w:tcPr>
          <w:p w:rsidR="002E506A" w:rsidRPr="00530136" w:rsidRDefault="002E506A" w:rsidP="002E506A">
            <w:pPr>
              <w:jc w:val="center"/>
              <w:rPr>
                <w:sz w:val="22"/>
                <w:szCs w:val="22"/>
              </w:rPr>
            </w:pPr>
            <w:r w:rsidRPr="00530136">
              <w:rPr>
                <w:sz w:val="22"/>
                <w:szCs w:val="22"/>
              </w:rPr>
              <w:t>0.191</w:t>
            </w:r>
          </w:p>
        </w:tc>
        <w:tc>
          <w:tcPr>
            <w:tcW w:w="990" w:type="dxa"/>
          </w:tcPr>
          <w:p w:rsidR="002E506A" w:rsidRPr="00530136" w:rsidRDefault="002E506A" w:rsidP="002E506A">
            <w:pPr>
              <w:jc w:val="center"/>
              <w:rPr>
                <w:sz w:val="22"/>
                <w:szCs w:val="22"/>
              </w:rPr>
            </w:pPr>
            <w:r w:rsidRPr="00530136">
              <w:rPr>
                <w:sz w:val="22"/>
                <w:szCs w:val="22"/>
              </w:rPr>
              <w:t>25</w:t>
            </w:r>
          </w:p>
        </w:tc>
        <w:tc>
          <w:tcPr>
            <w:tcW w:w="990" w:type="dxa"/>
          </w:tcPr>
          <w:p w:rsidR="002E506A" w:rsidRPr="00530136" w:rsidRDefault="002E506A" w:rsidP="002E506A">
            <w:pPr>
              <w:jc w:val="center"/>
              <w:rPr>
                <w:sz w:val="22"/>
                <w:szCs w:val="22"/>
              </w:rPr>
            </w:pPr>
            <w:r w:rsidRPr="00530136">
              <w:rPr>
                <w:sz w:val="22"/>
                <w:szCs w:val="22"/>
              </w:rPr>
              <w:t>35</w:t>
            </w:r>
          </w:p>
        </w:tc>
        <w:tc>
          <w:tcPr>
            <w:tcW w:w="1161"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r w:rsidRPr="00530136">
              <w:rPr>
                <w:sz w:val="22"/>
                <w:szCs w:val="22"/>
              </w:rPr>
              <w:t>50</w:t>
            </w:r>
          </w:p>
        </w:tc>
        <w:tc>
          <w:tcPr>
            <w:tcW w:w="1275" w:type="dxa"/>
          </w:tcPr>
          <w:p w:rsidR="002E506A" w:rsidRPr="00530136" w:rsidRDefault="002E506A" w:rsidP="002E506A">
            <w:pPr>
              <w:jc w:val="center"/>
              <w:rPr>
                <w:sz w:val="22"/>
                <w:szCs w:val="22"/>
              </w:rPr>
            </w:pPr>
            <w:r w:rsidRPr="00530136">
              <w:rPr>
                <w:sz w:val="22"/>
                <w:szCs w:val="22"/>
              </w:rPr>
              <w:t>15</w:t>
            </w:r>
          </w:p>
        </w:tc>
      </w:tr>
      <w:tr w:rsidR="002E506A" w:rsidRPr="00530136" w:rsidTr="00FF1F8C">
        <w:tc>
          <w:tcPr>
            <w:tcW w:w="1488" w:type="dxa"/>
          </w:tcPr>
          <w:p w:rsidR="002E506A" w:rsidRPr="00530136" w:rsidRDefault="002E506A" w:rsidP="002E506A">
            <w:pPr>
              <w:rPr>
                <w:sz w:val="22"/>
                <w:szCs w:val="22"/>
              </w:rPr>
            </w:pPr>
            <w:r w:rsidRPr="00530136">
              <w:rPr>
                <w:sz w:val="22"/>
                <w:szCs w:val="22"/>
              </w:rPr>
              <w:t>Vagina</w:t>
            </w:r>
          </w:p>
        </w:tc>
        <w:tc>
          <w:tcPr>
            <w:tcW w:w="1275" w:type="dxa"/>
          </w:tcPr>
          <w:p w:rsidR="002E506A" w:rsidRPr="00530136" w:rsidRDefault="002E506A" w:rsidP="002E506A">
            <w:pPr>
              <w:jc w:val="center"/>
              <w:rPr>
                <w:sz w:val="22"/>
                <w:szCs w:val="22"/>
              </w:rPr>
            </w:pPr>
            <w:r w:rsidRPr="00530136">
              <w:rPr>
                <w:sz w:val="22"/>
                <w:szCs w:val="22"/>
              </w:rPr>
              <w:t>90</w:t>
            </w:r>
            <w:r w:rsidR="00FF1F8C">
              <w:rPr>
                <w:sz w:val="22"/>
                <w:szCs w:val="22"/>
              </w:rPr>
              <w:fldChar w:fldCharType="begin"/>
            </w:r>
            <w:r w:rsidR="00FF1F8C">
              <w:rPr>
                <w:sz w:val="22"/>
                <w:szCs w:val="22"/>
              </w:rPr>
              <w:instrText xml:space="preserve"> ADDIN REFMGR.CITE &lt;Refman&gt;&lt;Cite&gt;&lt;Author&gt;Giuliano&lt;/Author&gt;&lt;Year&gt;2008&lt;/Year&gt;&lt;RecNum&gt;4255&lt;/RecNum&gt;&lt;IDText&gt;Epidemiology of human papillomavirus infection in men, cancers other than cervical and benign conditions&lt;/IDText&gt;&lt;MDL Ref_Type="Journal"&gt;&lt;Ref_Type&gt;Journal&lt;/Ref_Type&gt;&lt;Ref_ID&gt;4255&lt;/Ref_ID&gt;&lt;Title_Primary&gt;Epidemiology of human papillomavirus infection in men, cancers other than cervical and benign conditions&lt;/Title_Primary&gt;&lt;Authors_Primary&gt;Giuliano,A.R.&lt;/Authors_Primary&gt;&lt;Authors_Primary&gt;Tortolero-Luna,G.&lt;/Authors_Primary&gt;&lt;Authors_Primary&gt;Ferrer,E.&lt;/Authors_Primary&gt;&lt;Authors_Primary&gt;Burchell,A.N.&lt;/Authors_Primary&gt;&lt;Authors_Primary&gt;de Sanjose,S.&lt;/Authors_Primary&gt;&lt;Authors_Primary&gt;Kjaer,S.K.&lt;/Authors_Primary&gt;&lt;Authors_Primary&gt;Munoz,N.&lt;/Authors_Primary&gt;&lt;Authors_Primary&gt;Schiffman,M.&lt;/Authors_Primary&gt;&lt;Authors_Primary&gt;Bosch,F.X.&lt;/Authors_Primary&gt;&lt;Date_Primary&gt;2008/8/19&lt;/Date_Primary&gt;&lt;Keywords&gt;Anus Neoplasms&lt;/Keywords&gt;&lt;Keywords&gt;complications&lt;/Keywords&gt;&lt;Keywords&gt;Condylomata Acuminata&lt;/Keywords&gt;&lt;Keywords&gt;Disease&lt;/Keywords&gt;&lt;Keywords&gt;epidemiology&lt;/Keywords&gt;&lt;Keywords&gt;etiology&lt;/Keywords&gt;&lt;Keywords&gt;Female&lt;/Keywords&gt;&lt;Keywords&gt;Genital Diseases,Male&lt;/Keywords&gt;&lt;Keywords&gt;Genital Neoplasms,Male&lt;/Keywords&gt;&lt;Keywords&gt;Humans&lt;/Keywords&gt;&lt;Keywords&gt;immunology&lt;/Keywords&gt;&lt;Keywords&gt;Male&lt;/Keywords&gt;&lt;Keywords&gt;Neck&lt;/Keywords&gt;&lt;Keywords&gt;Papillomaviridae&lt;/Keywords&gt;&lt;Keywords&gt;Papillomavirus Infections&lt;/Keywords&gt;&lt;Keywords&gt;pathogenicity&lt;/Keywords&gt;&lt;Keywords&gt;Research&lt;/Keywords&gt;&lt;Keywords&gt;Respiratory Tract Infections&lt;/Keywords&gt;&lt;Keywords&gt;Risk&lt;/Keywords&gt;&lt;Keywords&gt;Risk Assessment&lt;/Keywords&gt;&lt;Keywords&gt;Uterine Cervical Diseases&lt;/Keywords&gt;&lt;Keywords&gt;Vagina&lt;/Keywords&gt;&lt;Keywords&gt;virology&lt;/Keywords&gt;&lt;Reprint&gt;Not in File&lt;/Reprint&gt;&lt;Start_Page&gt;K17&lt;/Start_Page&gt;&lt;End_Page&gt;K28&lt;/End_Page&gt;&lt;Periodical&gt;Vaccine&lt;/Periodical&gt;&lt;Volume&gt;26 Suppl 10&lt;/Volume&gt;&lt;Address&gt;Risk Assessment, Detection and Intervention Program, H. Lee Moffitt Cancer Center and Research Institute, Tampa, FL, USA. anna.giuliano@moffitt.org&lt;/Address&gt;&lt;Web_URL&gt;&lt;u&gt;PM:18847554&lt;/u&gt;&lt;/Web_URL&gt;&lt;ZZ_JournalFull&gt;&lt;f name="System"&gt;Vaccine&lt;/f&gt;&lt;/ZZ_JournalFull&gt;&lt;ZZ_WorkformID&gt;1&lt;/ZZ_WorkformID&gt;&lt;/MDL&gt;&lt;/Cite&gt;&lt;/Refman&gt;</w:instrText>
            </w:r>
            <w:r w:rsidR="00FF1F8C">
              <w:rPr>
                <w:sz w:val="22"/>
                <w:szCs w:val="22"/>
              </w:rPr>
              <w:fldChar w:fldCharType="separate"/>
            </w:r>
            <w:r w:rsidR="00FF1F8C" w:rsidRPr="00FF1F8C">
              <w:rPr>
                <w:rFonts w:ascii="Arial" w:hAnsi="Arial" w:cs="Arial"/>
                <w:sz w:val="22"/>
                <w:szCs w:val="22"/>
              </w:rPr>
              <w:t>[</w:t>
            </w:r>
            <w:r w:rsidR="00FF1F8C" w:rsidRPr="00FF1F8C">
              <w:rPr>
                <w:sz w:val="22"/>
                <w:szCs w:val="22"/>
              </w:rPr>
              <w:t>4</w:t>
            </w:r>
            <w:r w:rsidR="00FF1F8C" w:rsidRPr="00FF1F8C">
              <w:rPr>
                <w:rFonts w:ascii="Arial" w:hAnsi="Arial" w:cs="Arial"/>
                <w:sz w:val="22"/>
                <w:szCs w:val="22"/>
              </w:rPr>
              <w:t>]</w:t>
            </w:r>
            <w:r w:rsidR="00FF1F8C">
              <w:rPr>
                <w:sz w:val="22"/>
                <w:szCs w:val="22"/>
              </w:rPr>
              <w:fldChar w:fldCharType="end"/>
            </w:r>
          </w:p>
        </w:tc>
        <w:tc>
          <w:tcPr>
            <w:tcW w:w="850" w:type="dxa"/>
          </w:tcPr>
          <w:p w:rsidR="002E506A" w:rsidRPr="00530136" w:rsidRDefault="002E506A" w:rsidP="002E506A">
            <w:pPr>
              <w:jc w:val="center"/>
              <w:rPr>
                <w:sz w:val="22"/>
                <w:szCs w:val="22"/>
              </w:rPr>
            </w:pPr>
            <w:r w:rsidRPr="00530136">
              <w:rPr>
                <w:sz w:val="22"/>
                <w:szCs w:val="22"/>
              </w:rPr>
              <w:t>All</w:t>
            </w:r>
          </w:p>
        </w:tc>
        <w:tc>
          <w:tcPr>
            <w:tcW w:w="1337" w:type="dxa"/>
          </w:tcPr>
          <w:p w:rsidR="002E506A" w:rsidRPr="00530136" w:rsidRDefault="002E506A" w:rsidP="002E506A">
            <w:pPr>
              <w:jc w:val="center"/>
              <w:rPr>
                <w:sz w:val="22"/>
                <w:szCs w:val="22"/>
              </w:rPr>
            </w:pPr>
            <w:r w:rsidRPr="00530136">
              <w:rPr>
                <w:sz w:val="22"/>
                <w:szCs w:val="22"/>
              </w:rPr>
              <w:t>100</w:t>
            </w:r>
          </w:p>
        </w:tc>
        <w:tc>
          <w:tcPr>
            <w:tcW w:w="1260" w:type="dxa"/>
          </w:tcPr>
          <w:p w:rsidR="002E506A" w:rsidRPr="00530136" w:rsidRDefault="002E506A" w:rsidP="002E506A">
            <w:pPr>
              <w:jc w:val="center"/>
              <w:rPr>
                <w:sz w:val="22"/>
                <w:szCs w:val="22"/>
              </w:rPr>
            </w:pPr>
            <w:r w:rsidRPr="00530136">
              <w:rPr>
                <w:sz w:val="22"/>
                <w:szCs w:val="22"/>
              </w:rPr>
              <w:t>0.147</w:t>
            </w:r>
          </w:p>
        </w:tc>
        <w:tc>
          <w:tcPr>
            <w:tcW w:w="990" w:type="dxa"/>
          </w:tcPr>
          <w:p w:rsidR="002E506A" w:rsidRPr="00530136" w:rsidRDefault="002E506A" w:rsidP="002E506A">
            <w:pPr>
              <w:jc w:val="center"/>
              <w:rPr>
                <w:sz w:val="22"/>
                <w:szCs w:val="22"/>
              </w:rPr>
            </w:pPr>
            <w:r w:rsidRPr="00530136">
              <w:rPr>
                <w:sz w:val="22"/>
                <w:szCs w:val="22"/>
              </w:rPr>
              <w:t>54</w:t>
            </w:r>
            <w:r w:rsidR="00FF1F8C">
              <w:rPr>
                <w:sz w:val="22"/>
                <w:szCs w:val="22"/>
              </w:rPr>
              <w:fldChar w:fldCharType="begin"/>
            </w:r>
            <w:r w:rsidR="00FF1F8C">
              <w:rPr>
                <w:sz w:val="22"/>
                <w:szCs w:val="22"/>
              </w:rPr>
              <w:instrText xml:space="preserve"> ADDIN REFMGR.CITE &lt;Refman&gt;&lt;Cite&gt;&lt;Author&gt;Kosary&lt;/Author&gt;&lt;Year&gt;1994&lt;/Year&gt;&lt;RecNum&gt;4257&lt;/RecNum&gt;&lt;IDText&gt;FIGO stage, histology, histologic grade, age and race as prognostic factors in determining survival for cancers of the female gynecological system: an analysis of 1973-87 SEER cases of cancers of the endometrium, cervix, ovary, vulva, and vagina&lt;/IDText&gt;&lt;MDL Ref_Type="Journal"&gt;&lt;Ref_Type&gt;Journal&lt;/Ref_Type&gt;&lt;Ref_ID&gt;4257&lt;/Ref_ID&gt;&lt;Title_Primary&gt;FIGO stage, histology, histologic grade, age and race as prognostic factors in determining survival for cancers of the female gynecological system: an analysis of 1973-87 SEER cases of cancers of the endometrium, cervix, ovary, vulva, and vagina&lt;/Title_Primary&gt;&lt;Authors_Primary&gt;Kosary,C.L.&lt;/Authors_Primary&gt;&lt;Date_Primary&gt;1994/1&lt;/Date_Primary&gt;&lt;Keywords&gt;Adenocarcinoma&lt;/Keywords&gt;&lt;Keywords&gt;Adult&lt;/Keywords&gt;&lt;Keywords&gt;Age Factors&lt;/Keywords&gt;&lt;Keywords&gt;Age of Onset&lt;/Keywords&gt;&lt;Keywords&gt;Aged&lt;/Keywords&gt;&lt;Keywords&gt;analysis&lt;/Keywords&gt;&lt;Keywords&gt;Analysis of Variance&lt;/Keywords&gt;&lt;Keywords&gt;Carcinoma,Squamous Cell&lt;/Keywords&gt;&lt;Keywords&gt;Databases,Factual&lt;/Keywords&gt;&lt;Keywords&gt;diagnosis&lt;/Keywords&gt;&lt;Keywords&gt;Endometrial Neoplasms&lt;/Keywords&gt;&lt;Keywords&gt;epidemiology&lt;/Keywords&gt;&lt;Keywords&gt;ethnology&lt;/Keywords&gt;&lt;Keywords&gt;Female&lt;/Keywords&gt;&lt;Keywords&gt;Forecasting&lt;/Keywords&gt;&lt;Keywords&gt;Genital Neoplasms,Female&lt;/Keywords&gt;&lt;Keywords&gt;Gynecology&lt;/Keywords&gt;&lt;Keywords&gt;Humans&lt;/Keywords&gt;&lt;Keywords&gt;Lymphatic Metastasis&lt;/Keywords&gt;&lt;Keywords&gt;Middle Aged&lt;/Keywords&gt;&lt;Keywords&gt;mortality&lt;/Keywords&gt;&lt;Keywords&gt;Multivariate Analysis&lt;/Keywords&gt;&lt;Keywords&gt;National Institutes of Health (U.S.)&lt;/Keywords&gt;&lt;Keywords&gt;Neoplasm Staging&lt;/Keywords&gt;&lt;Keywords&gt;Ovarian Neoplasms&lt;/Keywords&gt;&lt;Keywords&gt;pathology&lt;/Keywords&gt;&lt;Keywords&gt;Population Surveillance&lt;/Keywords&gt;&lt;Keywords&gt;Prognosis&lt;/Keywords&gt;&lt;Keywords&gt;Proportional Hazards Models&lt;/Keywords&gt;&lt;Keywords&gt;Registries&lt;/Keywords&gt;&lt;Keywords&gt;Survival Analysis&lt;/Keywords&gt;&lt;Keywords&gt;Survival Rate&lt;/Keywords&gt;&lt;Keywords&gt;United States&lt;/Keywords&gt;&lt;Keywords&gt;Uterine Cervical Neoplasms&lt;/Keywords&gt;&lt;Keywords&gt;Vagina&lt;/Keywords&gt;&lt;Keywords&gt;Vaginal Neoplasms&lt;/Keywords&gt;&lt;Keywords&gt;Vulvar Neoplasms&lt;/Keywords&gt;&lt;Reprint&gt;Not in File&lt;/Reprint&gt;&lt;Start_Page&gt;31&lt;/Start_Page&gt;&lt;End_Page&gt;46&lt;/End_Page&gt;&lt;Periodical&gt;Semin Surg Oncol&lt;/Periodical&gt;&lt;Volume&gt;10&lt;/Volume&gt;&lt;Issue&gt;1&lt;/Issue&gt;&lt;Address&gt;Div. of Cancer Prevention and Control, National Cancer Institute, Bethesda, MD 20892&lt;/Address&gt;&lt;Web_URL&gt;PM:8115784&lt;/Web_URL&gt;&lt;ZZ_JournalStdAbbrev&gt;&lt;f name="System"&gt;Semin Surg Oncol&lt;/f&gt;&lt;/ZZ_JournalStdAbbrev&gt;&lt;ZZ_WorkformID&gt;1&lt;/ZZ_WorkformID&gt;&lt;/MDL&gt;&lt;/Cite&gt;&lt;/Refman&gt;</w:instrText>
            </w:r>
            <w:r w:rsidR="00FF1F8C">
              <w:rPr>
                <w:sz w:val="22"/>
                <w:szCs w:val="22"/>
              </w:rPr>
              <w:fldChar w:fldCharType="separate"/>
            </w:r>
            <w:r w:rsidR="00FF1F8C" w:rsidRPr="00FF1F8C">
              <w:rPr>
                <w:rFonts w:ascii="Arial" w:hAnsi="Arial" w:cs="Arial"/>
                <w:sz w:val="22"/>
                <w:szCs w:val="22"/>
              </w:rPr>
              <w:t>[</w:t>
            </w:r>
            <w:r w:rsidR="00FF1F8C">
              <w:rPr>
                <w:sz w:val="22"/>
                <w:szCs w:val="22"/>
              </w:rPr>
              <w:t>5</w:t>
            </w:r>
            <w:r w:rsidR="00FF1F8C" w:rsidRPr="00FF1F8C">
              <w:rPr>
                <w:rFonts w:ascii="Arial" w:hAnsi="Arial" w:cs="Arial"/>
                <w:sz w:val="22"/>
                <w:szCs w:val="22"/>
              </w:rPr>
              <w:t>]</w:t>
            </w:r>
            <w:r w:rsidR="00FF1F8C">
              <w:rPr>
                <w:sz w:val="22"/>
                <w:szCs w:val="22"/>
              </w:rPr>
              <w:fldChar w:fldCharType="end"/>
            </w:r>
          </w:p>
        </w:tc>
        <w:tc>
          <w:tcPr>
            <w:tcW w:w="990" w:type="dxa"/>
          </w:tcPr>
          <w:p w:rsidR="002E506A" w:rsidRPr="00530136" w:rsidRDefault="002E506A" w:rsidP="002E506A">
            <w:pPr>
              <w:jc w:val="center"/>
              <w:rPr>
                <w:sz w:val="22"/>
                <w:szCs w:val="22"/>
              </w:rPr>
            </w:pPr>
          </w:p>
        </w:tc>
        <w:tc>
          <w:tcPr>
            <w:tcW w:w="1161" w:type="dxa"/>
          </w:tcPr>
          <w:p w:rsidR="002E506A" w:rsidRPr="00530136" w:rsidRDefault="002E506A" w:rsidP="002E506A">
            <w:pPr>
              <w:jc w:val="center"/>
              <w:rPr>
                <w:sz w:val="22"/>
                <w:szCs w:val="22"/>
              </w:rPr>
            </w:pPr>
            <w:r w:rsidRPr="00530136">
              <w:rPr>
                <w:sz w:val="22"/>
                <w:szCs w:val="22"/>
              </w:rPr>
              <w:t>10</w:t>
            </w:r>
            <w:r w:rsidR="00FF1F8C">
              <w:rPr>
                <w:sz w:val="22"/>
                <w:szCs w:val="22"/>
              </w:rPr>
              <w:fldChar w:fldCharType="begin"/>
            </w:r>
            <w:r w:rsidR="00FF1F8C">
              <w:rPr>
                <w:sz w:val="22"/>
                <w:szCs w:val="22"/>
              </w:rPr>
              <w:instrText xml:space="preserve"> ADDIN REFMGR.CITE &lt;Refman&gt;&lt;Cite&gt;&lt;Author&gt;Murphy&lt;/Author&gt;&lt;Year&gt;2010&lt;/Year&gt;&lt;RecNum&gt;4256&lt;/RecNum&gt;&lt;IDText&gt;Personal communication with Dr. Joan Murphy, University Hospital Network, Toronto, Canada.&lt;/IDText&gt;&lt;MDL Ref_Type="Personal Communication"&gt;&lt;Ref_Type&gt;Personal Communication&lt;/Ref_Type&gt;&lt;Ref_ID&gt;4256&lt;/Ref_ID&gt;&lt;Title_Primary&gt;Personal communication with Dr. Joan Murphy, University Hospital Network, Toronto, Canada.&lt;/Title_Primary&gt;&lt;Authors_Primary&gt;Murphy,J&lt;/Authors_Primary&gt;&lt;Authors_Primary&gt;Kwong,J.C.&lt;/Authors_Primary&gt;&lt;Date_Primary&gt;2010/3/1&lt;/Date_Primary&gt;&lt;Keywords&gt;Communication&lt;/Keywords&gt;&lt;Keywords&gt;Canada&lt;/Keywords&gt;&lt;Reprint&gt;Not in File&lt;/Reprint&gt;&lt;Date_Secondary&gt;2010/3/1&lt;/Date_Secondary&gt;&lt;ZZ_WorkformID&gt;23&lt;/ZZ_WorkformID&gt;&lt;/MDL&gt;&lt;/Cite&gt;&lt;/Refman&gt;</w:instrText>
            </w:r>
            <w:r w:rsidR="00FF1F8C">
              <w:rPr>
                <w:sz w:val="22"/>
                <w:szCs w:val="22"/>
              </w:rPr>
              <w:fldChar w:fldCharType="separate"/>
            </w:r>
            <w:r w:rsidR="00FF1F8C" w:rsidRPr="00FF1F8C">
              <w:rPr>
                <w:rFonts w:ascii="Arial" w:hAnsi="Arial" w:cs="Arial"/>
                <w:sz w:val="22"/>
                <w:szCs w:val="22"/>
              </w:rPr>
              <w:t>[</w:t>
            </w:r>
            <w:r w:rsidR="00FF1F8C">
              <w:rPr>
                <w:sz w:val="22"/>
                <w:szCs w:val="22"/>
              </w:rPr>
              <w:t>3</w:t>
            </w:r>
            <w:r w:rsidR="00FF1F8C" w:rsidRPr="00FF1F8C">
              <w:rPr>
                <w:rFonts w:ascii="Arial" w:hAnsi="Arial" w:cs="Arial"/>
                <w:sz w:val="22"/>
                <w:szCs w:val="22"/>
              </w:rPr>
              <w:t>]</w:t>
            </w:r>
            <w:r w:rsidR="00FF1F8C">
              <w:rPr>
                <w:sz w:val="22"/>
                <w:szCs w:val="22"/>
              </w:rPr>
              <w:fldChar w:fldCharType="end"/>
            </w: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r w:rsidRPr="00530136">
              <w:rPr>
                <w:sz w:val="22"/>
                <w:szCs w:val="22"/>
              </w:rPr>
              <w:t>90</w:t>
            </w:r>
          </w:p>
        </w:tc>
        <w:tc>
          <w:tcPr>
            <w:tcW w:w="1275" w:type="dxa"/>
          </w:tcPr>
          <w:p w:rsidR="002E506A" w:rsidRPr="00530136" w:rsidRDefault="002E506A" w:rsidP="002E506A">
            <w:pPr>
              <w:jc w:val="center"/>
              <w:rPr>
                <w:sz w:val="22"/>
                <w:szCs w:val="22"/>
              </w:rPr>
            </w:pPr>
          </w:p>
        </w:tc>
      </w:tr>
      <w:tr w:rsidR="002E506A" w:rsidRPr="00530136" w:rsidTr="00FF1F8C">
        <w:tc>
          <w:tcPr>
            <w:tcW w:w="1488" w:type="dxa"/>
            <w:vMerge w:val="restart"/>
          </w:tcPr>
          <w:p w:rsidR="002E506A" w:rsidRPr="00530136" w:rsidRDefault="002E506A" w:rsidP="002E506A">
            <w:pPr>
              <w:rPr>
                <w:sz w:val="22"/>
                <w:szCs w:val="22"/>
              </w:rPr>
            </w:pPr>
            <w:r w:rsidRPr="00530136">
              <w:rPr>
                <w:sz w:val="22"/>
                <w:szCs w:val="22"/>
              </w:rPr>
              <w:t>Anal canal</w:t>
            </w:r>
          </w:p>
        </w:tc>
        <w:tc>
          <w:tcPr>
            <w:tcW w:w="1275" w:type="dxa"/>
          </w:tcPr>
          <w:p w:rsidR="002E506A" w:rsidRPr="00530136" w:rsidRDefault="002E506A" w:rsidP="002E506A">
            <w:pPr>
              <w:jc w:val="center"/>
              <w:rPr>
                <w:sz w:val="22"/>
                <w:szCs w:val="22"/>
              </w:rPr>
            </w:pPr>
            <w:r w:rsidRPr="00530136">
              <w:rPr>
                <w:sz w:val="22"/>
                <w:szCs w:val="22"/>
              </w:rPr>
              <w:t>85</w:t>
            </w:r>
            <w:r w:rsidR="00FF1F8C">
              <w:rPr>
                <w:sz w:val="22"/>
                <w:szCs w:val="22"/>
              </w:rPr>
              <w:fldChar w:fldCharType="begin"/>
            </w:r>
            <w:r w:rsidR="00FF1F8C">
              <w:rPr>
                <w:sz w:val="22"/>
                <w:szCs w:val="22"/>
              </w:rPr>
              <w:instrText xml:space="preserve"> ADDIN REFMGR.CITE &lt;Refman&gt;&lt;Cite&gt;&lt;Author&gt;Giuliano&lt;/Author&gt;&lt;Year&gt;2008&lt;/Year&gt;&lt;RecNum&gt;4255&lt;/RecNum&gt;&lt;IDText&gt;Epidemiology of human papillomavirus infection in men, cancers other than cervical and benign conditions&lt;/IDText&gt;&lt;MDL Ref_Type="Journal"&gt;&lt;Ref_Type&gt;Journal&lt;/Ref_Type&gt;&lt;Ref_ID&gt;4255&lt;/Ref_ID&gt;&lt;Title_Primary&gt;Epidemiology of human papillomavirus infection in men, cancers other than cervical and benign conditions&lt;/Title_Primary&gt;&lt;Authors_Primary&gt;Giuliano,A.R.&lt;/Authors_Primary&gt;&lt;Authors_Primary&gt;Tortolero-Luna,G.&lt;/Authors_Primary&gt;&lt;Authors_Primary&gt;Ferrer,E.&lt;/Authors_Primary&gt;&lt;Authors_Primary&gt;Burchell,A.N.&lt;/Authors_Primary&gt;&lt;Authors_Primary&gt;de Sanjose,S.&lt;/Authors_Primary&gt;&lt;Authors_Primary&gt;Kjaer,S.K.&lt;/Authors_Primary&gt;&lt;Authors_Primary&gt;Munoz,N.&lt;/Authors_Primary&gt;&lt;Authors_Primary&gt;Schiffman,M.&lt;/Authors_Primary&gt;&lt;Authors_Primary&gt;Bosch,F.X.&lt;/Authors_Primary&gt;&lt;Date_Primary&gt;2008/8/19&lt;/Date_Primary&gt;&lt;Keywords&gt;Anus Neoplasms&lt;/Keywords&gt;&lt;Keywords&gt;complications&lt;/Keywords&gt;&lt;Keywords&gt;Condylomata Acuminata&lt;/Keywords&gt;&lt;Keywords&gt;Disease&lt;/Keywords&gt;&lt;Keywords&gt;epidemiology&lt;/Keywords&gt;&lt;Keywords&gt;etiology&lt;/Keywords&gt;&lt;Keywords&gt;Female&lt;/Keywords&gt;&lt;Keywords&gt;Genital Diseases,Male&lt;/Keywords&gt;&lt;Keywords&gt;Genital Neoplasms,Male&lt;/Keywords&gt;&lt;Keywords&gt;Humans&lt;/Keywords&gt;&lt;Keywords&gt;immunology&lt;/Keywords&gt;&lt;Keywords&gt;Male&lt;/Keywords&gt;&lt;Keywords&gt;Neck&lt;/Keywords&gt;&lt;Keywords&gt;Papillomaviridae&lt;/Keywords&gt;&lt;Keywords&gt;Papillomavirus Infections&lt;/Keywords&gt;&lt;Keywords&gt;pathogenicity&lt;/Keywords&gt;&lt;Keywords&gt;Research&lt;/Keywords&gt;&lt;Keywords&gt;Respiratory Tract Infections&lt;/Keywords&gt;&lt;Keywords&gt;Risk&lt;/Keywords&gt;&lt;Keywords&gt;Risk Assessment&lt;/Keywords&gt;&lt;Keywords&gt;Uterine Cervical Diseases&lt;/Keywords&gt;&lt;Keywords&gt;Vagina&lt;/Keywords&gt;&lt;Keywords&gt;virology&lt;/Keywords&gt;&lt;Reprint&gt;Not in File&lt;/Reprint&gt;&lt;Start_Page&gt;K17&lt;/Start_Page&gt;&lt;End_Page&gt;K28&lt;/End_Page&gt;&lt;Periodical&gt;Vaccine&lt;/Periodical&gt;&lt;Volume&gt;26 Suppl 10&lt;/Volume&gt;&lt;Address&gt;Risk Assessment, Detection and Intervention Program, H. Lee Moffitt Cancer Center and Research Institute, Tampa, FL, USA. anna.giuliano@moffitt.org&lt;/Address&gt;&lt;Web_URL&gt;&lt;u&gt;PM:18847554&lt;/u&gt;&lt;/Web_URL&gt;&lt;ZZ_JournalFull&gt;&lt;f name="System"&gt;Vaccine&lt;/f&gt;&lt;/ZZ_JournalFull&gt;&lt;ZZ_WorkformID&gt;1&lt;/ZZ_WorkformID&gt;&lt;/MDL&gt;&lt;/Cite&gt;&lt;/Refman&gt;</w:instrText>
            </w:r>
            <w:r w:rsidR="00FF1F8C">
              <w:rPr>
                <w:sz w:val="22"/>
                <w:szCs w:val="22"/>
              </w:rPr>
              <w:fldChar w:fldCharType="separate"/>
            </w:r>
            <w:r w:rsidR="00FF1F8C" w:rsidRPr="00FF1F8C">
              <w:rPr>
                <w:rFonts w:ascii="Arial" w:hAnsi="Arial" w:cs="Arial"/>
                <w:sz w:val="22"/>
                <w:szCs w:val="22"/>
              </w:rPr>
              <w:t>[</w:t>
            </w:r>
            <w:r w:rsidR="00FF1F8C" w:rsidRPr="00FF1F8C">
              <w:rPr>
                <w:sz w:val="22"/>
                <w:szCs w:val="22"/>
              </w:rPr>
              <w:t>4</w:t>
            </w:r>
            <w:r w:rsidR="00FF1F8C" w:rsidRPr="00FF1F8C">
              <w:rPr>
                <w:rFonts w:ascii="Arial" w:hAnsi="Arial" w:cs="Arial"/>
                <w:sz w:val="22"/>
                <w:szCs w:val="22"/>
              </w:rPr>
              <w:t>]</w:t>
            </w:r>
            <w:r w:rsidR="00FF1F8C">
              <w:rPr>
                <w:sz w:val="22"/>
                <w:szCs w:val="22"/>
              </w:rPr>
              <w:fldChar w:fldCharType="end"/>
            </w:r>
          </w:p>
        </w:tc>
        <w:tc>
          <w:tcPr>
            <w:tcW w:w="850" w:type="dxa"/>
          </w:tcPr>
          <w:p w:rsidR="002E506A" w:rsidRPr="00530136" w:rsidRDefault="002E506A" w:rsidP="002E506A">
            <w:pPr>
              <w:jc w:val="center"/>
              <w:rPr>
                <w:sz w:val="22"/>
                <w:szCs w:val="22"/>
              </w:rPr>
            </w:pPr>
            <w:r w:rsidRPr="00530136">
              <w:rPr>
                <w:sz w:val="22"/>
                <w:szCs w:val="22"/>
              </w:rPr>
              <w:t>I/II</w:t>
            </w:r>
          </w:p>
        </w:tc>
        <w:tc>
          <w:tcPr>
            <w:tcW w:w="1337" w:type="dxa"/>
          </w:tcPr>
          <w:p w:rsidR="002E506A" w:rsidRPr="00530136" w:rsidRDefault="002E506A" w:rsidP="002E506A">
            <w:pPr>
              <w:jc w:val="center"/>
              <w:rPr>
                <w:sz w:val="22"/>
                <w:szCs w:val="22"/>
              </w:rPr>
            </w:pPr>
            <w:r w:rsidRPr="00530136">
              <w:rPr>
                <w:sz w:val="22"/>
                <w:szCs w:val="22"/>
              </w:rPr>
              <w:t>56</w:t>
            </w:r>
          </w:p>
        </w:tc>
        <w:tc>
          <w:tcPr>
            <w:tcW w:w="1260" w:type="dxa"/>
          </w:tcPr>
          <w:p w:rsidR="002E506A" w:rsidRPr="00530136" w:rsidRDefault="002E506A" w:rsidP="002E506A">
            <w:pPr>
              <w:jc w:val="center"/>
              <w:rPr>
                <w:sz w:val="22"/>
                <w:szCs w:val="22"/>
              </w:rPr>
            </w:pPr>
            <w:r w:rsidRPr="00530136">
              <w:rPr>
                <w:sz w:val="22"/>
                <w:szCs w:val="22"/>
              </w:rPr>
              <w:t>0.109</w:t>
            </w:r>
          </w:p>
        </w:tc>
        <w:tc>
          <w:tcPr>
            <w:tcW w:w="990" w:type="dxa"/>
          </w:tcPr>
          <w:p w:rsidR="002E506A" w:rsidRPr="00530136" w:rsidRDefault="002E506A" w:rsidP="002E506A">
            <w:pPr>
              <w:jc w:val="center"/>
              <w:rPr>
                <w:sz w:val="22"/>
                <w:szCs w:val="22"/>
              </w:rPr>
            </w:pPr>
            <w:r w:rsidRPr="00530136">
              <w:rPr>
                <w:sz w:val="22"/>
                <w:szCs w:val="22"/>
              </w:rPr>
              <w:t>80</w:t>
            </w:r>
            <w:r w:rsidR="00FF1F8C">
              <w:rPr>
                <w:sz w:val="22"/>
                <w:szCs w:val="22"/>
              </w:rPr>
              <w:fldChar w:fldCharType="begin"/>
            </w:r>
            <w:r w:rsidR="00FF1F8C">
              <w:rPr>
                <w:sz w:val="22"/>
                <w:szCs w:val="22"/>
              </w:rPr>
              <w:instrText xml:space="preserve"> ADDIN REFMGR.CITE &lt;Refman&gt;&lt;Cite&gt;&lt;Author&gt;Cummings&lt;/Author&gt;&lt;Year&gt;2010&lt;/Year&gt;&lt;RecNum&gt;4258&lt;/RecNum&gt;&lt;IDText&gt;Personal communication with Dr. Bernard Cummings, University Health Network, Toronto, Canada&lt;/IDText&gt;&lt;MDL Ref_Type="Personal Communication"&gt;&lt;Ref_Type&gt;Personal Communication&lt;/Ref_Type&gt;&lt;Ref_ID&gt;4258&lt;/Ref_ID&gt;&lt;Title_Primary&gt;Personal communication with Dr. Bernard Cummings, University Health Network, Toronto, Canada&lt;/Title_Primary&gt;&lt;Authors_Primary&gt;Cummings,B.&lt;/Authors_Primary&gt;&lt;Authors_Primary&gt;Kwong,J.C.&lt;/Authors_Primary&gt;&lt;Date_Primary&gt;2010/3/16&lt;/Date_Primary&gt;&lt;Keywords&gt;Communication&lt;/Keywords&gt;&lt;Keywords&gt;Health&lt;/Keywords&gt;&lt;Keywords&gt;Canada&lt;/Keywords&gt;&lt;Reprint&gt;Not in File&lt;/Reprint&gt;&lt;Date_Secondary&gt;2010/3/16&lt;/Date_Secondary&gt;&lt;ZZ_WorkformID&gt;23&lt;/ZZ_WorkformID&gt;&lt;/MDL&gt;&lt;/Cite&gt;&lt;/Refman&gt;</w:instrText>
            </w:r>
            <w:r w:rsidR="00FF1F8C">
              <w:rPr>
                <w:sz w:val="22"/>
                <w:szCs w:val="22"/>
              </w:rPr>
              <w:fldChar w:fldCharType="separate"/>
            </w:r>
            <w:r w:rsidR="00FF1F8C" w:rsidRPr="00FF1F8C">
              <w:rPr>
                <w:rFonts w:ascii="Arial" w:hAnsi="Arial" w:cs="Arial"/>
                <w:sz w:val="22"/>
                <w:szCs w:val="22"/>
              </w:rPr>
              <w:t>[</w:t>
            </w:r>
            <w:r w:rsidR="00FF1F8C">
              <w:rPr>
                <w:sz w:val="22"/>
                <w:szCs w:val="22"/>
              </w:rPr>
              <w:t>6</w:t>
            </w:r>
            <w:r w:rsidR="00FF1F8C" w:rsidRPr="00FF1F8C">
              <w:rPr>
                <w:rFonts w:ascii="Arial" w:hAnsi="Arial" w:cs="Arial"/>
                <w:sz w:val="22"/>
                <w:szCs w:val="22"/>
              </w:rPr>
              <w:t>]</w:t>
            </w:r>
            <w:r w:rsidR="00FF1F8C">
              <w:rPr>
                <w:sz w:val="22"/>
                <w:szCs w:val="22"/>
              </w:rPr>
              <w:fldChar w:fldCharType="end"/>
            </w:r>
          </w:p>
        </w:tc>
        <w:tc>
          <w:tcPr>
            <w:tcW w:w="990" w:type="dxa"/>
          </w:tcPr>
          <w:p w:rsidR="002E506A" w:rsidRPr="00530136" w:rsidRDefault="002E506A" w:rsidP="002E506A">
            <w:pPr>
              <w:jc w:val="center"/>
              <w:rPr>
                <w:sz w:val="22"/>
                <w:szCs w:val="22"/>
              </w:rPr>
            </w:pPr>
          </w:p>
        </w:tc>
        <w:tc>
          <w:tcPr>
            <w:tcW w:w="1161" w:type="dxa"/>
          </w:tcPr>
          <w:p w:rsidR="002E506A" w:rsidRPr="00530136" w:rsidRDefault="002E506A" w:rsidP="002E506A">
            <w:pPr>
              <w:jc w:val="center"/>
              <w:rPr>
                <w:sz w:val="22"/>
                <w:szCs w:val="22"/>
              </w:rPr>
            </w:pPr>
            <w:r w:rsidRPr="00530136">
              <w:rPr>
                <w:sz w:val="22"/>
                <w:szCs w:val="22"/>
              </w:rPr>
              <w:t>5</w:t>
            </w:r>
            <w:r w:rsidR="00FF1F8C">
              <w:rPr>
                <w:sz w:val="22"/>
                <w:szCs w:val="22"/>
              </w:rPr>
              <w:fldChar w:fldCharType="begin"/>
            </w:r>
            <w:r w:rsidR="00FF1F8C">
              <w:rPr>
                <w:sz w:val="22"/>
                <w:szCs w:val="22"/>
              </w:rPr>
              <w:instrText xml:space="preserve"> ADDIN REFMGR.CITE &lt;Refman&gt;&lt;Cite&gt;&lt;Author&gt;Cummings&lt;/Author&gt;&lt;Year&gt;2010&lt;/Year&gt;&lt;RecNum&gt;4258&lt;/RecNum&gt;&lt;IDText&gt;Personal communication with Dr. Bernard Cummings, University Health Network, Toronto, Canada&lt;/IDText&gt;&lt;MDL Ref_Type="Personal Communication"&gt;&lt;Ref_Type&gt;Personal Communication&lt;/Ref_Type&gt;&lt;Ref_ID&gt;4258&lt;/Ref_ID&gt;&lt;Title_Primary&gt;Personal communication with Dr. Bernard Cummings, University Health Network, Toronto, Canada&lt;/Title_Primary&gt;&lt;Authors_Primary&gt;Cummings,B.&lt;/Authors_Primary&gt;&lt;Authors_Primary&gt;Kwong,J.C.&lt;/Authors_Primary&gt;&lt;Date_Primary&gt;2010/3/16&lt;/Date_Primary&gt;&lt;Keywords&gt;Communication&lt;/Keywords&gt;&lt;Keywords&gt;Health&lt;/Keywords&gt;&lt;Keywords&gt;Canada&lt;/Keywords&gt;&lt;Reprint&gt;Not in File&lt;/Reprint&gt;&lt;Date_Secondary&gt;2010/3/16&lt;/Date_Secondary&gt;&lt;ZZ_WorkformID&gt;23&lt;/ZZ_WorkformID&gt;&lt;/MDL&gt;&lt;/Cite&gt;&lt;/Refman&gt;</w:instrText>
            </w:r>
            <w:r w:rsidR="00FF1F8C">
              <w:rPr>
                <w:sz w:val="22"/>
                <w:szCs w:val="22"/>
              </w:rPr>
              <w:fldChar w:fldCharType="separate"/>
            </w:r>
            <w:r w:rsidR="00FF1F8C" w:rsidRPr="00FF1F8C">
              <w:rPr>
                <w:rFonts w:ascii="Arial" w:hAnsi="Arial" w:cs="Arial"/>
                <w:sz w:val="22"/>
                <w:szCs w:val="22"/>
              </w:rPr>
              <w:t>[</w:t>
            </w:r>
            <w:r w:rsidR="00FF1F8C">
              <w:rPr>
                <w:sz w:val="22"/>
                <w:szCs w:val="22"/>
              </w:rPr>
              <w:t>6</w:t>
            </w:r>
            <w:r w:rsidR="00FF1F8C" w:rsidRPr="00FF1F8C">
              <w:rPr>
                <w:rFonts w:ascii="Arial" w:hAnsi="Arial" w:cs="Arial"/>
                <w:sz w:val="22"/>
                <w:szCs w:val="22"/>
              </w:rPr>
              <w:t>]</w:t>
            </w:r>
            <w:r w:rsidR="00FF1F8C">
              <w:rPr>
                <w:sz w:val="22"/>
                <w:szCs w:val="22"/>
              </w:rPr>
              <w:fldChar w:fldCharType="end"/>
            </w:r>
          </w:p>
        </w:tc>
        <w:tc>
          <w:tcPr>
            <w:tcW w:w="1275" w:type="dxa"/>
          </w:tcPr>
          <w:p w:rsidR="002E506A" w:rsidRPr="00530136" w:rsidRDefault="002E506A" w:rsidP="002E506A">
            <w:pPr>
              <w:jc w:val="center"/>
              <w:rPr>
                <w:sz w:val="22"/>
                <w:szCs w:val="22"/>
              </w:rPr>
            </w:pPr>
            <w:r w:rsidRPr="00530136">
              <w:rPr>
                <w:sz w:val="22"/>
                <w:szCs w:val="22"/>
              </w:rPr>
              <w:t>95</w:t>
            </w: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r>
      <w:tr w:rsidR="002E506A" w:rsidRPr="00530136" w:rsidTr="00FF1F8C">
        <w:tc>
          <w:tcPr>
            <w:tcW w:w="1488" w:type="dxa"/>
            <w:vMerge/>
          </w:tcPr>
          <w:p w:rsidR="002E506A" w:rsidRPr="00530136" w:rsidRDefault="002E506A" w:rsidP="002E506A">
            <w:pPr>
              <w:rPr>
                <w:sz w:val="22"/>
                <w:szCs w:val="22"/>
              </w:rPr>
            </w:pPr>
          </w:p>
        </w:tc>
        <w:tc>
          <w:tcPr>
            <w:tcW w:w="1275" w:type="dxa"/>
          </w:tcPr>
          <w:p w:rsidR="002E506A" w:rsidRPr="00530136" w:rsidRDefault="002E506A" w:rsidP="002E506A">
            <w:pPr>
              <w:jc w:val="center"/>
              <w:rPr>
                <w:sz w:val="22"/>
                <w:szCs w:val="22"/>
              </w:rPr>
            </w:pPr>
          </w:p>
        </w:tc>
        <w:tc>
          <w:tcPr>
            <w:tcW w:w="850" w:type="dxa"/>
          </w:tcPr>
          <w:p w:rsidR="002E506A" w:rsidRPr="00530136" w:rsidRDefault="002E506A" w:rsidP="002E506A">
            <w:pPr>
              <w:jc w:val="center"/>
              <w:rPr>
                <w:sz w:val="22"/>
                <w:szCs w:val="22"/>
              </w:rPr>
            </w:pPr>
            <w:r w:rsidRPr="00530136">
              <w:rPr>
                <w:sz w:val="22"/>
                <w:szCs w:val="22"/>
              </w:rPr>
              <w:t>III/IV</w:t>
            </w:r>
          </w:p>
        </w:tc>
        <w:tc>
          <w:tcPr>
            <w:tcW w:w="1337" w:type="dxa"/>
          </w:tcPr>
          <w:p w:rsidR="002E506A" w:rsidRPr="00530136" w:rsidRDefault="002E506A" w:rsidP="002E506A">
            <w:pPr>
              <w:jc w:val="center"/>
              <w:rPr>
                <w:sz w:val="22"/>
                <w:szCs w:val="22"/>
              </w:rPr>
            </w:pPr>
            <w:r w:rsidRPr="00530136">
              <w:rPr>
                <w:sz w:val="22"/>
                <w:szCs w:val="22"/>
              </w:rPr>
              <w:t>44</w:t>
            </w:r>
          </w:p>
        </w:tc>
        <w:tc>
          <w:tcPr>
            <w:tcW w:w="1260" w:type="dxa"/>
          </w:tcPr>
          <w:p w:rsidR="002E506A" w:rsidRPr="00530136" w:rsidRDefault="002E506A" w:rsidP="002E506A">
            <w:pPr>
              <w:jc w:val="center"/>
              <w:rPr>
                <w:sz w:val="22"/>
                <w:szCs w:val="22"/>
              </w:rPr>
            </w:pPr>
            <w:r w:rsidRPr="00530136">
              <w:rPr>
                <w:sz w:val="22"/>
                <w:szCs w:val="22"/>
              </w:rPr>
              <w:t>0.147</w:t>
            </w:r>
          </w:p>
        </w:tc>
        <w:tc>
          <w:tcPr>
            <w:tcW w:w="990" w:type="dxa"/>
          </w:tcPr>
          <w:p w:rsidR="002E506A" w:rsidRPr="00530136" w:rsidRDefault="002E506A" w:rsidP="002E506A">
            <w:pPr>
              <w:jc w:val="center"/>
              <w:rPr>
                <w:sz w:val="22"/>
                <w:szCs w:val="22"/>
              </w:rPr>
            </w:pPr>
            <w:r w:rsidRPr="00530136">
              <w:rPr>
                <w:sz w:val="22"/>
                <w:szCs w:val="22"/>
              </w:rPr>
              <w:t>55</w:t>
            </w:r>
          </w:p>
        </w:tc>
        <w:tc>
          <w:tcPr>
            <w:tcW w:w="990" w:type="dxa"/>
          </w:tcPr>
          <w:p w:rsidR="002E506A" w:rsidRPr="00530136" w:rsidRDefault="002E506A" w:rsidP="002E506A">
            <w:pPr>
              <w:jc w:val="center"/>
              <w:rPr>
                <w:sz w:val="22"/>
                <w:szCs w:val="22"/>
              </w:rPr>
            </w:pPr>
          </w:p>
        </w:tc>
        <w:tc>
          <w:tcPr>
            <w:tcW w:w="1161" w:type="dxa"/>
          </w:tcPr>
          <w:p w:rsidR="002E506A" w:rsidRPr="00530136" w:rsidRDefault="002E506A" w:rsidP="002E506A">
            <w:pPr>
              <w:jc w:val="center"/>
              <w:rPr>
                <w:sz w:val="22"/>
                <w:szCs w:val="22"/>
              </w:rPr>
            </w:pPr>
            <w:r w:rsidRPr="00530136">
              <w:rPr>
                <w:sz w:val="22"/>
                <w:szCs w:val="22"/>
              </w:rPr>
              <w:t>5</w:t>
            </w:r>
          </w:p>
        </w:tc>
        <w:tc>
          <w:tcPr>
            <w:tcW w:w="1275" w:type="dxa"/>
          </w:tcPr>
          <w:p w:rsidR="002E506A" w:rsidRPr="00530136" w:rsidRDefault="002E506A" w:rsidP="002E506A">
            <w:pPr>
              <w:jc w:val="center"/>
              <w:rPr>
                <w:sz w:val="22"/>
                <w:szCs w:val="22"/>
              </w:rPr>
            </w:pPr>
            <w:r w:rsidRPr="00530136">
              <w:rPr>
                <w:sz w:val="22"/>
                <w:szCs w:val="22"/>
              </w:rPr>
              <w:t>85</w:t>
            </w: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r w:rsidRPr="00530136">
              <w:rPr>
                <w:sz w:val="22"/>
                <w:szCs w:val="22"/>
              </w:rPr>
              <w:t>10</w:t>
            </w:r>
          </w:p>
        </w:tc>
      </w:tr>
      <w:tr w:rsidR="002E506A" w:rsidRPr="00530136" w:rsidTr="00FF1F8C">
        <w:tc>
          <w:tcPr>
            <w:tcW w:w="1488" w:type="dxa"/>
          </w:tcPr>
          <w:p w:rsidR="002E506A" w:rsidRPr="00530136" w:rsidRDefault="002E506A" w:rsidP="002E506A">
            <w:pPr>
              <w:rPr>
                <w:sz w:val="22"/>
                <w:szCs w:val="22"/>
              </w:rPr>
            </w:pPr>
            <w:r w:rsidRPr="00530136">
              <w:rPr>
                <w:sz w:val="22"/>
                <w:szCs w:val="22"/>
              </w:rPr>
              <w:t>Penis</w:t>
            </w:r>
          </w:p>
        </w:tc>
        <w:tc>
          <w:tcPr>
            <w:tcW w:w="1275" w:type="dxa"/>
          </w:tcPr>
          <w:p w:rsidR="002E506A" w:rsidRPr="00530136" w:rsidRDefault="002E506A" w:rsidP="002E506A">
            <w:pPr>
              <w:jc w:val="center"/>
              <w:rPr>
                <w:sz w:val="22"/>
                <w:szCs w:val="22"/>
              </w:rPr>
            </w:pPr>
            <w:r w:rsidRPr="00530136">
              <w:rPr>
                <w:sz w:val="22"/>
                <w:szCs w:val="22"/>
              </w:rPr>
              <w:t>50</w:t>
            </w:r>
            <w:r w:rsidR="00FF1F8C">
              <w:rPr>
                <w:sz w:val="22"/>
                <w:szCs w:val="22"/>
              </w:rPr>
              <w:fldChar w:fldCharType="begin"/>
            </w:r>
            <w:r w:rsidR="00FF1F8C">
              <w:rPr>
                <w:sz w:val="22"/>
                <w:szCs w:val="22"/>
              </w:rPr>
              <w:instrText xml:space="preserve"> ADDIN REFMGR.CITE &lt;Refman&gt;&lt;Cite&gt;&lt;Author&gt;Giuliano&lt;/Author&gt;&lt;Year&gt;2008&lt;/Year&gt;&lt;RecNum&gt;4255&lt;/RecNum&gt;&lt;IDText&gt;Epidemiology of human papillomavirus infection in men, cancers other than cervical and benign conditions&lt;/IDText&gt;&lt;MDL Ref_Type="Journal"&gt;&lt;Ref_Type&gt;Journal&lt;/Ref_Type&gt;&lt;Ref_ID&gt;4255&lt;/Ref_ID&gt;&lt;Title_Primary&gt;Epidemiology of human papillomavirus infection in men, cancers other than cervical and benign conditions&lt;/Title_Primary&gt;&lt;Authors_Primary&gt;Giuliano,A.R.&lt;/Authors_Primary&gt;&lt;Authors_Primary&gt;Tortolero-Luna,G.&lt;/Authors_Primary&gt;&lt;Authors_Primary&gt;Ferrer,E.&lt;/Authors_Primary&gt;&lt;Authors_Primary&gt;Burchell,A.N.&lt;/Authors_Primary&gt;&lt;Authors_Primary&gt;de Sanjose,S.&lt;/Authors_Primary&gt;&lt;Authors_Primary&gt;Kjaer,S.K.&lt;/Authors_Primary&gt;&lt;Authors_Primary&gt;Munoz,N.&lt;/Authors_Primary&gt;&lt;Authors_Primary&gt;Schiffman,M.&lt;/Authors_Primary&gt;&lt;Authors_Primary&gt;Bosch,F.X.&lt;/Authors_Primary&gt;&lt;Date_Primary&gt;2008/8/19&lt;/Date_Primary&gt;&lt;Keywords&gt;Anus Neoplasms&lt;/Keywords&gt;&lt;Keywords&gt;complications&lt;/Keywords&gt;&lt;Keywords&gt;Condylomata Acuminata&lt;/Keywords&gt;&lt;Keywords&gt;Disease&lt;/Keywords&gt;&lt;Keywords&gt;epidemiology&lt;/Keywords&gt;&lt;Keywords&gt;etiology&lt;/Keywords&gt;&lt;Keywords&gt;Female&lt;/Keywords&gt;&lt;Keywords&gt;Genital Diseases,Male&lt;/Keywords&gt;&lt;Keywords&gt;Genital Neoplasms,Male&lt;/Keywords&gt;&lt;Keywords&gt;Humans&lt;/Keywords&gt;&lt;Keywords&gt;immunology&lt;/Keywords&gt;&lt;Keywords&gt;Male&lt;/Keywords&gt;&lt;Keywords&gt;Neck&lt;/Keywords&gt;&lt;Keywords&gt;Papillomaviridae&lt;/Keywords&gt;&lt;Keywords&gt;Papillomavirus Infections&lt;/Keywords&gt;&lt;Keywords&gt;pathogenicity&lt;/Keywords&gt;&lt;Keywords&gt;Research&lt;/Keywords&gt;&lt;Keywords&gt;Respiratory Tract Infections&lt;/Keywords&gt;&lt;Keywords&gt;Risk&lt;/Keywords&gt;&lt;Keywords&gt;Risk Assessment&lt;/Keywords&gt;&lt;Keywords&gt;Uterine Cervical Diseases&lt;/Keywords&gt;&lt;Keywords&gt;Vagina&lt;/Keywords&gt;&lt;Keywords&gt;virology&lt;/Keywords&gt;&lt;Reprint&gt;Not in File&lt;/Reprint&gt;&lt;Start_Page&gt;K17&lt;/Start_Page&gt;&lt;End_Page&gt;K28&lt;/End_Page&gt;&lt;Periodical&gt;Vaccine&lt;/Periodical&gt;&lt;Volume&gt;26 Suppl 10&lt;/Volume&gt;&lt;Address&gt;Risk Assessment, Detection and Intervention Program, H. Lee Moffitt Cancer Center and Research Institute, Tampa, FL, USA. anna.giuliano@moffitt.org&lt;/Address&gt;&lt;Web_URL&gt;&lt;u&gt;PM:18847554&lt;/u&gt;&lt;/Web_URL&gt;&lt;ZZ_JournalFull&gt;&lt;f name="System"&gt;Vaccine&lt;/f&gt;&lt;/ZZ_JournalFull&gt;&lt;ZZ_WorkformID&gt;1&lt;/ZZ_WorkformID&gt;&lt;/MDL&gt;&lt;/Cite&gt;&lt;/Refman&gt;</w:instrText>
            </w:r>
            <w:r w:rsidR="00FF1F8C">
              <w:rPr>
                <w:sz w:val="22"/>
                <w:szCs w:val="22"/>
              </w:rPr>
              <w:fldChar w:fldCharType="separate"/>
            </w:r>
            <w:r w:rsidR="00FF1F8C" w:rsidRPr="00FF1F8C">
              <w:rPr>
                <w:rFonts w:ascii="Arial" w:hAnsi="Arial" w:cs="Arial"/>
                <w:sz w:val="22"/>
                <w:szCs w:val="22"/>
              </w:rPr>
              <w:t>[</w:t>
            </w:r>
            <w:r w:rsidR="00FF1F8C" w:rsidRPr="00FF1F8C">
              <w:rPr>
                <w:sz w:val="22"/>
                <w:szCs w:val="22"/>
              </w:rPr>
              <w:t>4</w:t>
            </w:r>
            <w:r w:rsidR="00FF1F8C" w:rsidRPr="00FF1F8C">
              <w:rPr>
                <w:rFonts w:ascii="Arial" w:hAnsi="Arial" w:cs="Arial"/>
                <w:sz w:val="22"/>
                <w:szCs w:val="22"/>
              </w:rPr>
              <w:t>]</w:t>
            </w:r>
            <w:r w:rsidR="00FF1F8C">
              <w:rPr>
                <w:sz w:val="22"/>
                <w:szCs w:val="22"/>
              </w:rPr>
              <w:fldChar w:fldCharType="end"/>
            </w:r>
          </w:p>
        </w:tc>
        <w:tc>
          <w:tcPr>
            <w:tcW w:w="850" w:type="dxa"/>
          </w:tcPr>
          <w:p w:rsidR="002E506A" w:rsidRPr="00530136" w:rsidRDefault="002E506A" w:rsidP="002E506A">
            <w:pPr>
              <w:jc w:val="center"/>
              <w:rPr>
                <w:sz w:val="22"/>
                <w:szCs w:val="22"/>
              </w:rPr>
            </w:pPr>
            <w:r w:rsidRPr="00530136">
              <w:rPr>
                <w:sz w:val="22"/>
                <w:szCs w:val="22"/>
              </w:rPr>
              <w:t>All</w:t>
            </w:r>
          </w:p>
        </w:tc>
        <w:tc>
          <w:tcPr>
            <w:tcW w:w="1337" w:type="dxa"/>
          </w:tcPr>
          <w:p w:rsidR="002E506A" w:rsidRPr="00530136" w:rsidRDefault="002E506A" w:rsidP="002E506A">
            <w:pPr>
              <w:jc w:val="center"/>
              <w:rPr>
                <w:sz w:val="22"/>
                <w:szCs w:val="22"/>
              </w:rPr>
            </w:pPr>
            <w:r w:rsidRPr="00530136">
              <w:rPr>
                <w:sz w:val="22"/>
                <w:szCs w:val="22"/>
              </w:rPr>
              <w:t>100</w:t>
            </w:r>
          </w:p>
        </w:tc>
        <w:tc>
          <w:tcPr>
            <w:tcW w:w="1260" w:type="dxa"/>
          </w:tcPr>
          <w:p w:rsidR="002E506A" w:rsidRPr="00530136" w:rsidRDefault="002E506A" w:rsidP="002E506A">
            <w:pPr>
              <w:jc w:val="center"/>
              <w:rPr>
                <w:sz w:val="22"/>
                <w:szCs w:val="22"/>
              </w:rPr>
            </w:pPr>
            <w:r w:rsidRPr="00530136">
              <w:rPr>
                <w:sz w:val="22"/>
                <w:szCs w:val="22"/>
              </w:rPr>
              <w:t>0.109</w:t>
            </w:r>
          </w:p>
        </w:tc>
        <w:tc>
          <w:tcPr>
            <w:tcW w:w="990" w:type="dxa"/>
          </w:tcPr>
          <w:p w:rsidR="002E506A" w:rsidRPr="00530136" w:rsidRDefault="002E506A" w:rsidP="002E506A">
            <w:pPr>
              <w:jc w:val="center"/>
              <w:rPr>
                <w:sz w:val="22"/>
                <w:szCs w:val="22"/>
              </w:rPr>
            </w:pPr>
            <w:r w:rsidRPr="00530136">
              <w:rPr>
                <w:sz w:val="22"/>
                <w:szCs w:val="22"/>
              </w:rPr>
              <w:t>85</w:t>
            </w:r>
          </w:p>
        </w:tc>
        <w:tc>
          <w:tcPr>
            <w:tcW w:w="990" w:type="dxa"/>
          </w:tcPr>
          <w:p w:rsidR="002E506A" w:rsidRPr="00530136" w:rsidRDefault="002E506A" w:rsidP="002E506A">
            <w:pPr>
              <w:jc w:val="center"/>
              <w:rPr>
                <w:sz w:val="22"/>
                <w:szCs w:val="22"/>
              </w:rPr>
            </w:pPr>
            <w:r w:rsidRPr="00530136">
              <w:rPr>
                <w:sz w:val="22"/>
                <w:szCs w:val="22"/>
              </w:rPr>
              <w:t>100</w:t>
            </w:r>
          </w:p>
        </w:tc>
        <w:tc>
          <w:tcPr>
            <w:tcW w:w="1161"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r>
      <w:tr w:rsidR="002E506A" w:rsidRPr="00530136" w:rsidTr="00FF1F8C">
        <w:tc>
          <w:tcPr>
            <w:tcW w:w="1488" w:type="dxa"/>
            <w:vMerge w:val="restart"/>
          </w:tcPr>
          <w:p w:rsidR="002E506A" w:rsidRPr="00530136" w:rsidRDefault="002E506A" w:rsidP="002E506A">
            <w:pPr>
              <w:rPr>
                <w:sz w:val="22"/>
                <w:szCs w:val="22"/>
              </w:rPr>
            </w:pPr>
            <w:r w:rsidRPr="00530136">
              <w:rPr>
                <w:sz w:val="22"/>
                <w:szCs w:val="22"/>
              </w:rPr>
              <w:t>Oropharynx</w:t>
            </w:r>
          </w:p>
        </w:tc>
        <w:tc>
          <w:tcPr>
            <w:tcW w:w="1275" w:type="dxa"/>
          </w:tcPr>
          <w:p w:rsidR="002E506A" w:rsidRPr="00530136" w:rsidRDefault="002E506A" w:rsidP="002E506A">
            <w:pPr>
              <w:jc w:val="center"/>
              <w:rPr>
                <w:sz w:val="22"/>
                <w:szCs w:val="22"/>
              </w:rPr>
            </w:pPr>
            <w:r w:rsidRPr="00530136">
              <w:rPr>
                <w:sz w:val="22"/>
                <w:szCs w:val="22"/>
              </w:rPr>
              <w:t>33–72</w:t>
            </w:r>
            <w:r w:rsidR="00FF1F8C">
              <w:rPr>
                <w:sz w:val="22"/>
                <w:szCs w:val="22"/>
              </w:rPr>
              <w:fldChar w:fldCharType="begin"/>
            </w:r>
            <w:r w:rsidR="00FF1F8C">
              <w:rPr>
                <w:sz w:val="22"/>
                <w:szCs w:val="22"/>
              </w:rPr>
              <w:instrText xml:space="preserve"> ADDIN REFMGR.CITE &lt;Refman&gt;&lt;Cite&gt;&lt;Author&gt;Giuliano&lt;/Author&gt;&lt;Year&gt;2008&lt;/Year&gt;&lt;RecNum&gt;4255&lt;/RecNum&gt;&lt;IDText&gt;Epidemiology of human papillomavirus infection in men, cancers other than cervical and benign conditions&lt;/IDText&gt;&lt;MDL Ref_Type="Journal"&gt;&lt;Ref_Type&gt;Journal&lt;/Ref_Type&gt;&lt;Ref_ID&gt;4255&lt;/Ref_ID&gt;&lt;Title_Primary&gt;Epidemiology of human papillomavirus infection in men, cancers other than cervical and benign conditions&lt;/Title_Primary&gt;&lt;Authors_Primary&gt;Giuliano,A.R.&lt;/Authors_Primary&gt;&lt;Authors_Primary&gt;Tortolero-Luna,G.&lt;/Authors_Primary&gt;&lt;Authors_Primary&gt;Ferrer,E.&lt;/Authors_Primary&gt;&lt;Authors_Primary&gt;Burchell,A.N.&lt;/Authors_Primary&gt;&lt;Authors_Primary&gt;de Sanjose,S.&lt;/Authors_Primary&gt;&lt;Authors_Primary&gt;Kjaer,S.K.&lt;/Authors_Primary&gt;&lt;Authors_Primary&gt;Munoz,N.&lt;/Authors_Primary&gt;&lt;Authors_Primary&gt;Schiffman,M.&lt;/Authors_Primary&gt;&lt;Authors_Primary&gt;Bosch,F.X.&lt;/Authors_Primary&gt;&lt;Date_Primary&gt;2008/8/19&lt;/Date_Primary&gt;&lt;Keywords&gt;Anus Neoplasms&lt;/Keywords&gt;&lt;Keywords&gt;complications&lt;/Keywords&gt;&lt;Keywords&gt;Condylomata Acuminata&lt;/Keywords&gt;&lt;Keywords&gt;Disease&lt;/Keywords&gt;&lt;Keywords&gt;epidemiology&lt;/Keywords&gt;&lt;Keywords&gt;etiology&lt;/Keywords&gt;&lt;Keywords&gt;Female&lt;/Keywords&gt;&lt;Keywords&gt;Genital Diseases,Male&lt;/Keywords&gt;&lt;Keywords&gt;Genital Neoplasms,Male&lt;/Keywords&gt;&lt;Keywords&gt;Humans&lt;/Keywords&gt;&lt;Keywords&gt;immunology&lt;/Keywords&gt;&lt;Keywords&gt;Male&lt;/Keywords&gt;&lt;Keywords&gt;Neck&lt;/Keywords&gt;&lt;Keywords&gt;Papillomaviridae&lt;/Keywords&gt;&lt;Keywords&gt;Papillomavirus Infections&lt;/Keywords&gt;&lt;Keywords&gt;pathogenicity&lt;/Keywords&gt;&lt;Keywords&gt;Research&lt;/Keywords&gt;&lt;Keywords&gt;Respiratory Tract Infections&lt;/Keywords&gt;&lt;Keywords&gt;Risk&lt;/Keywords&gt;&lt;Keywords&gt;Risk Assessment&lt;/Keywords&gt;&lt;Keywords&gt;Uterine Cervical Diseases&lt;/Keywords&gt;&lt;Keywords&gt;Vagina&lt;/Keywords&gt;&lt;Keywords&gt;virology&lt;/Keywords&gt;&lt;Reprint&gt;Not in File&lt;/Reprint&gt;&lt;Start_Page&gt;K17&lt;/Start_Page&gt;&lt;End_Page&gt;K28&lt;/End_Page&gt;&lt;Periodical&gt;Vaccine&lt;/Periodical&gt;&lt;Volume&gt;26 Suppl 10&lt;/Volume&gt;&lt;Address&gt;Risk Assessment, Detection and Intervention Program, H. Lee Moffitt Cancer Center and Research Institute, Tampa, FL, USA. anna.giuliano@moffitt.org&lt;/Address&gt;&lt;Web_URL&gt;&lt;u&gt;PM:18847554&lt;/u&gt;&lt;/Web_URL&gt;&lt;ZZ_JournalFull&gt;&lt;f name="System"&gt;Vaccine&lt;/f&gt;&lt;/ZZ_JournalFull&gt;&lt;ZZ_WorkformID&gt;1&lt;/ZZ_WorkformID&gt;&lt;/MDL&gt;&lt;/Cite&gt;&lt;/Refman&gt;</w:instrText>
            </w:r>
            <w:r w:rsidR="00FF1F8C">
              <w:rPr>
                <w:sz w:val="22"/>
                <w:szCs w:val="22"/>
              </w:rPr>
              <w:fldChar w:fldCharType="separate"/>
            </w:r>
            <w:r w:rsidR="00FF1F8C" w:rsidRPr="00FF1F8C">
              <w:rPr>
                <w:rFonts w:ascii="Arial" w:hAnsi="Arial" w:cs="Arial"/>
                <w:sz w:val="22"/>
                <w:szCs w:val="22"/>
              </w:rPr>
              <w:t>[</w:t>
            </w:r>
            <w:r w:rsidR="00FF1F8C" w:rsidRPr="00FF1F8C">
              <w:rPr>
                <w:sz w:val="22"/>
                <w:szCs w:val="22"/>
              </w:rPr>
              <w:t>4</w:t>
            </w:r>
            <w:r w:rsidR="00FF1F8C" w:rsidRPr="00FF1F8C">
              <w:rPr>
                <w:rFonts w:ascii="Arial" w:hAnsi="Arial" w:cs="Arial"/>
                <w:sz w:val="22"/>
                <w:szCs w:val="22"/>
              </w:rPr>
              <w:t>]</w:t>
            </w:r>
            <w:r w:rsidR="00FF1F8C">
              <w:rPr>
                <w:sz w:val="22"/>
                <w:szCs w:val="22"/>
              </w:rPr>
              <w:fldChar w:fldCharType="end"/>
            </w:r>
          </w:p>
        </w:tc>
        <w:tc>
          <w:tcPr>
            <w:tcW w:w="850" w:type="dxa"/>
          </w:tcPr>
          <w:p w:rsidR="002E506A" w:rsidRPr="00530136" w:rsidRDefault="002E506A" w:rsidP="002E506A">
            <w:pPr>
              <w:jc w:val="center"/>
              <w:rPr>
                <w:sz w:val="22"/>
                <w:szCs w:val="22"/>
              </w:rPr>
            </w:pPr>
            <w:r w:rsidRPr="00530136">
              <w:rPr>
                <w:sz w:val="22"/>
                <w:szCs w:val="22"/>
              </w:rPr>
              <w:t>I/II</w:t>
            </w:r>
          </w:p>
        </w:tc>
        <w:tc>
          <w:tcPr>
            <w:tcW w:w="1337" w:type="dxa"/>
          </w:tcPr>
          <w:p w:rsidR="002E506A" w:rsidRPr="00530136" w:rsidRDefault="002E506A" w:rsidP="002E506A">
            <w:pPr>
              <w:jc w:val="center"/>
              <w:rPr>
                <w:sz w:val="22"/>
                <w:szCs w:val="22"/>
              </w:rPr>
            </w:pPr>
            <w:r w:rsidRPr="00530136">
              <w:rPr>
                <w:sz w:val="22"/>
                <w:szCs w:val="22"/>
              </w:rPr>
              <w:t>18</w:t>
            </w:r>
          </w:p>
        </w:tc>
        <w:tc>
          <w:tcPr>
            <w:tcW w:w="1260" w:type="dxa"/>
          </w:tcPr>
          <w:p w:rsidR="002E506A" w:rsidRPr="00530136" w:rsidRDefault="002E506A" w:rsidP="002E506A">
            <w:pPr>
              <w:jc w:val="center"/>
              <w:rPr>
                <w:sz w:val="22"/>
                <w:szCs w:val="22"/>
              </w:rPr>
            </w:pPr>
            <w:r w:rsidRPr="00530136">
              <w:rPr>
                <w:sz w:val="22"/>
                <w:szCs w:val="22"/>
              </w:rPr>
              <w:t>0.109</w:t>
            </w:r>
          </w:p>
        </w:tc>
        <w:tc>
          <w:tcPr>
            <w:tcW w:w="990" w:type="dxa"/>
          </w:tcPr>
          <w:p w:rsidR="002E506A" w:rsidRPr="00530136" w:rsidRDefault="002E506A" w:rsidP="002E506A">
            <w:pPr>
              <w:jc w:val="center"/>
              <w:rPr>
                <w:sz w:val="22"/>
                <w:szCs w:val="22"/>
              </w:rPr>
            </w:pPr>
            <w:r w:rsidRPr="00530136">
              <w:rPr>
                <w:sz w:val="22"/>
                <w:szCs w:val="22"/>
              </w:rPr>
              <w:t>85</w:t>
            </w:r>
            <w:r w:rsidR="00FF1F8C">
              <w:rPr>
                <w:sz w:val="22"/>
                <w:szCs w:val="22"/>
              </w:rPr>
              <w:fldChar w:fldCharType="begin"/>
            </w:r>
            <w:r w:rsidR="00FF1F8C">
              <w:rPr>
                <w:sz w:val="22"/>
                <w:szCs w:val="22"/>
              </w:rPr>
              <w:instrText xml:space="preserve"> ADDIN REFMGR.CITE &lt;Refman&gt;&lt;Cite&gt;&lt;Author&gt;Galati&lt;/Author&gt;&lt;Year&gt;2000&lt;/Year&gt;&lt;RecNum&gt;4259&lt;/RecNum&gt;&lt;IDText&gt;Primary surgery as treatment for early squamous cell carcinoma of the tonsil&lt;/IDText&gt;&lt;MDL Ref_Type="Journal"&gt;&lt;Ref_Type&gt;Journal&lt;/Ref_Type&gt;&lt;Ref_ID&gt;4259&lt;/Ref_ID&gt;&lt;Title_Primary&gt;Primary surgery as treatment for early squamous cell carcinoma of the tonsil&lt;/Title_Primary&gt;&lt;Authors_Primary&gt;Galati,L.T.&lt;/Authors_Primary&gt;&lt;Authors_Primary&gt;Myers,E.N.&lt;/Authors_Primary&gt;&lt;Authors_Primary&gt;Johnson,J.T.&lt;/Authors_Primary&gt;&lt;Date_Primary&gt;2000/5&lt;/Date_Primary&gt;&lt;Keywords&gt;Carcinoma,Squamous Cell&lt;/Keywords&gt;&lt;Keywords&gt;Disease&lt;/Keywords&gt;&lt;Keywords&gt;Disease-Free Survival&lt;/Keywords&gt;&lt;Keywords&gt;Female&lt;/Keywords&gt;&lt;Keywords&gt;Follow-Up Studies&lt;/Keywords&gt;&lt;Keywords&gt;Humans&lt;/Keywords&gt;&lt;Keywords&gt;Male&lt;/Keywords&gt;&lt;Keywords&gt;methods&lt;/Keywords&gt;&lt;Keywords&gt;mortality&lt;/Keywords&gt;&lt;Keywords&gt;Neoplasm Staging&lt;/Keywords&gt;&lt;Keywords&gt;pathology&lt;/Keywords&gt;&lt;Keywords&gt;radiotherapy&lt;/Keywords&gt;&lt;Keywords&gt;Radiotherapy,Adjuvant&lt;/Keywords&gt;&lt;Keywords&gt;Retrospective Studies&lt;/Keywords&gt;&lt;Keywords&gt;surgery&lt;/Keywords&gt;&lt;Keywords&gt;Survival Rate&lt;/Keywords&gt;&lt;Keywords&gt;therapy&lt;/Keywords&gt;&lt;Keywords&gt;Tonsillar Neoplasms&lt;/Keywords&gt;&lt;Keywords&gt;Treatment Outcome&lt;/Keywords&gt;&lt;Reprint&gt;Not in File&lt;/Reprint&gt;&lt;Start_Page&gt;294&lt;/Start_Page&gt;&lt;End_Page&gt;296&lt;/End_Page&gt;&lt;Periodical&gt;Head Neck&lt;/Periodical&gt;&lt;Volume&gt;22&lt;/Volume&gt;&lt;Issue&gt;3&lt;/Issue&gt;&lt;Address&gt;Department of Otolaryngology, University of Pittsburgh, 200 Lothrop St, Suite 500, Pittsburgh, PA 15213, USA&lt;/Address&gt;&lt;Web_URL&gt;PM:10748454&lt;/Web_URL&gt;&lt;ZZ_JournalStdAbbrev&gt;&lt;f name="System"&gt;Head Neck&lt;/f&gt;&lt;/ZZ_JournalStdAbbrev&gt;&lt;ZZ_WorkformID&gt;1&lt;/ZZ_WorkformID&gt;&lt;/MDL&gt;&lt;/Cite&gt;&lt;Cite&gt;&lt;Author&gt;Hull&lt;/Author&gt;&lt;Year&gt;2003&lt;/Year&gt;&lt;RecNum&gt;4261&lt;/RecNum&gt;&lt;IDText&gt;Definitive radiotherapy alone or combined with a planned neck dissection for squamous cell carcinoma of the pharyngeal wall&lt;/IDText&gt;&lt;MDL Ref_Type="Journal"&gt;&lt;Ref_Type&gt;Journal&lt;/Ref_Type&gt;&lt;Ref_ID&gt;4261&lt;/Ref_ID&gt;&lt;Title_Primary&gt;Definitive radiotherapy alone or combined with a planned neck dissection for squamous cell carcinoma of the pharyngeal wall&lt;/Title_Primary&gt;&lt;Authors_Primary&gt;Hull,M.C.&lt;/Authors_Primary&gt;&lt;Authors_Primary&gt;Morris,C.G.&lt;/Authors_Primary&gt;&lt;Authors_Primary&gt;Tannehill,S.P.&lt;/Authors_Primary&gt;&lt;Authors_Primary&gt;Werning,J.W.&lt;/Authors_Primary&gt;&lt;Authors_Primary&gt;Amdur,R.J.&lt;/Authors_Primary&gt;&lt;Authors_Primary&gt;Hinerman,R.W.&lt;/Authors_Primary&gt;&lt;Authors_Primary&gt;Villaret,D.B.&lt;/Authors_Primary&gt;&lt;Authors_Primary&gt;Mendenhall,W.M.&lt;/Authors_Primary&gt;&lt;Date_Primary&gt;2003/11/15&lt;/Date_Primary&gt;&lt;Keywords&gt;Adult&lt;/Keywords&gt;&lt;Keywords&gt;Aged&lt;/Keywords&gt;&lt;Keywords&gt;Aged,80 and over&lt;/Keywords&gt;&lt;Keywords&gt;analysis&lt;/Keywords&gt;&lt;Keywords&gt;Carcinoma,Squamous Cell&lt;/Keywords&gt;&lt;Keywords&gt;Combined Modality Therapy&lt;/Keywords&gt;&lt;Keywords&gt;complications&lt;/Keywords&gt;&lt;Keywords&gt;Disease&lt;/Keywords&gt;&lt;Keywords&gt;Disease-Free Survival&lt;/Keywords&gt;&lt;Keywords&gt;Dose Fractionation&lt;/Keywords&gt;&lt;Keywords&gt;Female&lt;/Keywords&gt;&lt;Keywords&gt;Florida&lt;/Keywords&gt;&lt;Keywords&gt;Follow-Up Studies&lt;/Keywords&gt;&lt;Keywords&gt;Humans&lt;/Keywords&gt;&lt;Keywords&gt;Male&lt;/Keywords&gt;&lt;Keywords&gt;Medicine&lt;/Keywords&gt;&lt;Keywords&gt;methods&lt;/Keywords&gt;&lt;Keywords&gt;Middle Aged&lt;/Keywords&gt;&lt;Keywords&gt;Morbidity&lt;/Keywords&gt;&lt;Keywords&gt;Multivariate Analysis&lt;/Keywords&gt;&lt;Keywords&gt;Neck&lt;/Keywords&gt;&lt;Keywords&gt;Neck Dissection&lt;/Keywords&gt;&lt;Keywords&gt;pathology&lt;/Keywords&gt;&lt;Keywords&gt;Pharyngeal Neoplasms&lt;/Keywords&gt;&lt;Keywords&gt;radiotherapy&lt;/Keywords&gt;&lt;Keywords&gt;surgery&lt;/Keywords&gt;&lt;Keywords&gt;Survival Rate&lt;/Keywords&gt;&lt;Keywords&gt;Treatment Outcome&lt;/Keywords&gt;&lt;Reprint&gt;Not in File&lt;/Reprint&gt;&lt;Start_Page&gt;2224&lt;/Start_Page&gt;&lt;End_Page&gt;2231&lt;/End_Page&gt;&lt;Periodical&gt;Cancer&lt;/Periodical&gt;&lt;Volume&gt;98&lt;/Volume&gt;&lt;Issue&gt;10&lt;/Issue&gt;&lt;Address&gt;Department of Radiation Oncology, University of Florida College of Medicine, Gainesville, Florida 32610, USA&lt;/Address&gt;&lt;Web_URL&gt;PM:14601093&lt;/Web_URL&gt;&lt;ZZ_JournalStdAbbrev&gt;&lt;f name="System"&gt;Cancer&lt;/f&gt;&lt;/ZZ_JournalStdAbbrev&gt;&lt;ZZ_WorkformID&gt;1&lt;/ZZ_WorkformID&gt;&lt;/MDL&gt;&lt;/Cite&gt;&lt;/Refman&gt;</w:instrText>
            </w:r>
            <w:r w:rsidR="00FF1F8C">
              <w:rPr>
                <w:sz w:val="22"/>
                <w:szCs w:val="22"/>
              </w:rPr>
              <w:fldChar w:fldCharType="separate"/>
            </w:r>
            <w:r w:rsidR="00FF1F8C" w:rsidRPr="00FF1F8C">
              <w:rPr>
                <w:rFonts w:ascii="Arial" w:hAnsi="Arial" w:cs="Arial"/>
                <w:sz w:val="22"/>
                <w:szCs w:val="22"/>
              </w:rPr>
              <w:t>[</w:t>
            </w:r>
            <w:r w:rsidR="00FF1F8C">
              <w:rPr>
                <w:sz w:val="22"/>
                <w:szCs w:val="22"/>
              </w:rPr>
              <w:t>7</w:t>
            </w:r>
            <w:r w:rsidR="00FF1F8C" w:rsidRPr="00FF1F8C">
              <w:rPr>
                <w:rFonts w:ascii="Arial" w:hAnsi="Arial" w:cs="Arial"/>
                <w:sz w:val="22"/>
                <w:szCs w:val="22"/>
              </w:rPr>
              <w:t>,</w:t>
            </w:r>
            <w:r w:rsidR="00FF1F8C">
              <w:rPr>
                <w:sz w:val="22"/>
                <w:szCs w:val="22"/>
              </w:rPr>
              <w:t>8</w:t>
            </w:r>
            <w:r w:rsidR="00FF1F8C" w:rsidRPr="00FF1F8C">
              <w:rPr>
                <w:rFonts w:ascii="Arial" w:hAnsi="Arial" w:cs="Arial"/>
                <w:sz w:val="22"/>
                <w:szCs w:val="22"/>
              </w:rPr>
              <w:t>]</w:t>
            </w:r>
            <w:r w:rsidR="00FF1F8C">
              <w:rPr>
                <w:sz w:val="22"/>
                <w:szCs w:val="22"/>
              </w:rPr>
              <w:fldChar w:fldCharType="end"/>
            </w:r>
          </w:p>
        </w:tc>
        <w:tc>
          <w:tcPr>
            <w:tcW w:w="990" w:type="dxa"/>
          </w:tcPr>
          <w:p w:rsidR="002E506A" w:rsidRPr="00530136" w:rsidRDefault="002E506A" w:rsidP="002E506A">
            <w:pPr>
              <w:jc w:val="center"/>
              <w:rPr>
                <w:sz w:val="22"/>
                <w:szCs w:val="22"/>
              </w:rPr>
            </w:pPr>
          </w:p>
        </w:tc>
        <w:tc>
          <w:tcPr>
            <w:tcW w:w="1161" w:type="dxa"/>
          </w:tcPr>
          <w:p w:rsidR="002E506A" w:rsidRPr="00530136" w:rsidRDefault="002E506A" w:rsidP="002E506A">
            <w:pPr>
              <w:jc w:val="center"/>
              <w:rPr>
                <w:sz w:val="22"/>
                <w:szCs w:val="22"/>
              </w:rPr>
            </w:pPr>
            <w:r w:rsidRPr="00530136">
              <w:rPr>
                <w:sz w:val="22"/>
                <w:szCs w:val="22"/>
              </w:rPr>
              <w:t>100</w:t>
            </w:r>
            <w:r w:rsidR="00FF1F8C">
              <w:rPr>
                <w:sz w:val="22"/>
                <w:szCs w:val="22"/>
              </w:rPr>
              <w:fldChar w:fldCharType="begin"/>
            </w:r>
            <w:r w:rsidR="00FF1F8C">
              <w:rPr>
                <w:sz w:val="22"/>
                <w:szCs w:val="22"/>
              </w:rPr>
              <w:instrText xml:space="preserve"> ADDIN REFMGR.CITE &lt;Refman&gt;&lt;Cite&gt;&lt;Author&gt;Poon&lt;/Author&gt;&lt;Year&gt;2010&lt;/Year&gt;&lt;RecNum&gt;4260&lt;/RecNum&gt;&lt;IDText&gt;Personal communication with Dr. Ian Poon, Sunnybrook Health Sciences Centre, Toronto, Canada&lt;/IDText&gt;&lt;MDL Ref_Type="Personal Communication"&gt;&lt;Ref_Type&gt;Personal Communication&lt;/Ref_Type&gt;&lt;Ref_ID&gt;4260&lt;/Ref_ID&gt;&lt;Title_Primary&gt;Personal communication with Dr. Ian Poon, Sunnybrook Health Sciences Centre, Toronto, Canada&lt;/Title_Primary&gt;&lt;Authors_Primary&gt;Poon,I.&lt;/Authors_Primary&gt;&lt;Authors_Primary&gt;Kwong,J.C.&lt;/Authors_Primary&gt;&lt;Date_Primary&gt;2010/3/31&lt;/Date_Primary&gt;&lt;Keywords&gt;Communication&lt;/Keywords&gt;&lt;Keywords&gt;Health&lt;/Keywords&gt;&lt;Keywords&gt;Canada&lt;/Keywords&gt;&lt;Reprint&gt;Not in File&lt;/Reprint&gt;&lt;Date_Secondary&gt;2010/3/31&lt;/Date_Secondary&gt;&lt;ZZ_WorkformID&gt;23&lt;/ZZ_WorkformID&gt;&lt;/MDL&gt;&lt;/Cite&gt;&lt;/Refman&gt;</w:instrText>
            </w:r>
            <w:r w:rsidR="00FF1F8C">
              <w:rPr>
                <w:sz w:val="22"/>
                <w:szCs w:val="22"/>
              </w:rPr>
              <w:fldChar w:fldCharType="separate"/>
            </w:r>
            <w:r w:rsidR="00FF1F8C" w:rsidRPr="00FF1F8C">
              <w:rPr>
                <w:rFonts w:ascii="Arial" w:hAnsi="Arial" w:cs="Arial"/>
                <w:sz w:val="22"/>
                <w:szCs w:val="22"/>
              </w:rPr>
              <w:t>[</w:t>
            </w:r>
            <w:r w:rsidR="00FF1F8C" w:rsidRPr="00FF1F8C">
              <w:rPr>
                <w:sz w:val="22"/>
                <w:szCs w:val="22"/>
              </w:rPr>
              <w:t>9</w:t>
            </w:r>
            <w:r w:rsidR="00FF1F8C" w:rsidRPr="00FF1F8C">
              <w:rPr>
                <w:rFonts w:ascii="Arial" w:hAnsi="Arial" w:cs="Arial"/>
                <w:sz w:val="22"/>
                <w:szCs w:val="22"/>
              </w:rPr>
              <w:t>]</w:t>
            </w:r>
            <w:r w:rsidR="00FF1F8C">
              <w:rPr>
                <w:sz w:val="22"/>
                <w:szCs w:val="22"/>
              </w:rPr>
              <w:fldChar w:fldCharType="end"/>
            </w: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p>
        </w:tc>
      </w:tr>
      <w:tr w:rsidR="002E506A" w:rsidRPr="00530136" w:rsidTr="00FF1F8C">
        <w:tc>
          <w:tcPr>
            <w:tcW w:w="1488" w:type="dxa"/>
            <w:vMerge/>
          </w:tcPr>
          <w:p w:rsidR="002E506A" w:rsidRPr="00530136" w:rsidRDefault="002E506A" w:rsidP="002E506A">
            <w:pPr>
              <w:rPr>
                <w:sz w:val="22"/>
                <w:szCs w:val="22"/>
              </w:rPr>
            </w:pPr>
          </w:p>
        </w:tc>
        <w:tc>
          <w:tcPr>
            <w:tcW w:w="1275" w:type="dxa"/>
          </w:tcPr>
          <w:p w:rsidR="002E506A" w:rsidRPr="00530136" w:rsidRDefault="002E506A" w:rsidP="002E506A">
            <w:pPr>
              <w:jc w:val="center"/>
              <w:rPr>
                <w:sz w:val="22"/>
                <w:szCs w:val="22"/>
              </w:rPr>
            </w:pPr>
          </w:p>
        </w:tc>
        <w:tc>
          <w:tcPr>
            <w:tcW w:w="850" w:type="dxa"/>
          </w:tcPr>
          <w:p w:rsidR="002E506A" w:rsidRPr="00530136" w:rsidRDefault="002E506A" w:rsidP="002E506A">
            <w:pPr>
              <w:jc w:val="center"/>
              <w:rPr>
                <w:sz w:val="22"/>
                <w:szCs w:val="22"/>
              </w:rPr>
            </w:pPr>
            <w:r w:rsidRPr="00530136">
              <w:rPr>
                <w:sz w:val="22"/>
                <w:szCs w:val="22"/>
              </w:rPr>
              <w:t>III/IV</w:t>
            </w:r>
          </w:p>
        </w:tc>
        <w:tc>
          <w:tcPr>
            <w:tcW w:w="1337" w:type="dxa"/>
          </w:tcPr>
          <w:p w:rsidR="002E506A" w:rsidRPr="00530136" w:rsidRDefault="002E506A" w:rsidP="002E506A">
            <w:pPr>
              <w:jc w:val="center"/>
              <w:rPr>
                <w:sz w:val="22"/>
                <w:szCs w:val="22"/>
              </w:rPr>
            </w:pPr>
            <w:r w:rsidRPr="00530136">
              <w:rPr>
                <w:sz w:val="22"/>
                <w:szCs w:val="22"/>
              </w:rPr>
              <w:t>82</w:t>
            </w:r>
          </w:p>
        </w:tc>
        <w:tc>
          <w:tcPr>
            <w:tcW w:w="1260" w:type="dxa"/>
          </w:tcPr>
          <w:p w:rsidR="002E506A" w:rsidRPr="00530136" w:rsidRDefault="002E506A" w:rsidP="002E506A">
            <w:pPr>
              <w:jc w:val="center"/>
              <w:rPr>
                <w:sz w:val="22"/>
                <w:szCs w:val="22"/>
              </w:rPr>
            </w:pPr>
            <w:r w:rsidRPr="00530136">
              <w:rPr>
                <w:sz w:val="22"/>
                <w:szCs w:val="22"/>
              </w:rPr>
              <w:t>0.147</w:t>
            </w:r>
          </w:p>
        </w:tc>
        <w:tc>
          <w:tcPr>
            <w:tcW w:w="990" w:type="dxa"/>
          </w:tcPr>
          <w:p w:rsidR="002E506A" w:rsidRPr="00530136" w:rsidRDefault="002E506A" w:rsidP="002E506A">
            <w:pPr>
              <w:jc w:val="center"/>
              <w:rPr>
                <w:sz w:val="22"/>
                <w:szCs w:val="22"/>
              </w:rPr>
            </w:pPr>
            <w:r w:rsidRPr="00530136">
              <w:rPr>
                <w:sz w:val="22"/>
                <w:szCs w:val="22"/>
              </w:rPr>
              <w:t>70</w:t>
            </w:r>
          </w:p>
        </w:tc>
        <w:tc>
          <w:tcPr>
            <w:tcW w:w="990" w:type="dxa"/>
          </w:tcPr>
          <w:p w:rsidR="002E506A" w:rsidRPr="00530136" w:rsidRDefault="002E506A" w:rsidP="002E506A">
            <w:pPr>
              <w:jc w:val="center"/>
              <w:rPr>
                <w:sz w:val="22"/>
                <w:szCs w:val="22"/>
              </w:rPr>
            </w:pPr>
          </w:p>
        </w:tc>
        <w:tc>
          <w:tcPr>
            <w:tcW w:w="1161" w:type="dxa"/>
          </w:tcPr>
          <w:p w:rsidR="002E506A" w:rsidRPr="00530136" w:rsidRDefault="002E506A" w:rsidP="002E506A">
            <w:pPr>
              <w:jc w:val="center"/>
              <w:rPr>
                <w:sz w:val="22"/>
                <w:szCs w:val="22"/>
              </w:rPr>
            </w:pPr>
            <w:r w:rsidRPr="00530136">
              <w:rPr>
                <w:sz w:val="22"/>
                <w:szCs w:val="22"/>
              </w:rPr>
              <w:t>40</w:t>
            </w:r>
          </w:p>
        </w:tc>
        <w:tc>
          <w:tcPr>
            <w:tcW w:w="1275" w:type="dxa"/>
          </w:tcPr>
          <w:p w:rsidR="002E506A" w:rsidRPr="00530136" w:rsidRDefault="002E506A" w:rsidP="002E506A">
            <w:pPr>
              <w:jc w:val="center"/>
              <w:rPr>
                <w:sz w:val="22"/>
                <w:szCs w:val="22"/>
              </w:rPr>
            </w:pPr>
          </w:p>
        </w:tc>
        <w:tc>
          <w:tcPr>
            <w:tcW w:w="1275" w:type="dxa"/>
          </w:tcPr>
          <w:p w:rsidR="002E506A" w:rsidRPr="00530136" w:rsidRDefault="002E506A" w:rsidP="002E506A">
            <w:pPr>
              <w:jc w:val="center"/>
              <w:rPr>
                <w:sz w:val="22"/>
                <w:szCs w:val="22"/>
              </w:rPr>
            </w:pPr>
            <w:r w:rsidRPr="00530136">
              <w:rPr>
                <w:sz w:val="22"/>
                <w:szCs w:val="22"/>
              </w:rPr>
              <w:t>60</w:t>
            </w:r>
          </w:p>
        </w:tc>
        <w:tc>
          <w:tcPr>
            <w:tcW w:w="1275" w:type="dxa"/>
          </w:tcPr>
          <w:p w:rsidR="002E506A" w:rsidRPr="00530136" w:rsidRDefault="002E506A" w:rsidP="002E506A">
            <w:pPr>
              <w:jc w:val="center"/>
              <w:rPr>
                <w:sz w:val="22"/>
                <w:szCs w:val="22"/>
              </w:rPr>
            </w:pPr>
          </w:p>
        </w:tc>
      </w:tr>
    </w:tbl>
    <w:p w:rsidR="002E506A" w:rsidRPr="00530136" w:rsidRDefault="002E506A" w:rsidP="002E506A">
      <w:pPr>
        <w:rPr>
          <w:sz w:val="22"/>
          <w:szCs w:val="22"/>
        </w:rPr>
      </w:pPr>
      <w:r w:rsidRPr="00530136">
        <w:rPr>
          <w:sz w:val="22"/>
          <w:szCs w:val="22"/>
        </w:rPr>
        <w:t>Note: for ranges, the midpoint was used in estimates</w:t>
      </w:r>
    </w:p>
    <w:p w:rsidR="00FF1F8C" w:rsidRDefault="002E506A" w:rsidP="002E506A">
      <w:pPr>
        <w:rPr>
          <w:sz w:val="22"/>
          <w:szCs w:val="22"/>
        </w:rPr>
      </w:pPr>
      <w:r w:rsidRPr="00530136">
        <w:rPr>
          <w:sz w:val="22"/>
          <w:szCs w:val="22"/>
        </w:rPr>
        <w:t xml:space="preserve">*SW for </w:t>
      </w:r>
      <w:proofErr w:type="spellStart"/>
      <w:r w:rsidRPr="00530136">
        <w:rPr>
          <w:sz w:val="22"/>
          <w:szCs w:val="22"/>
        </w:rPr>
        <w:t>Dx</w:t>
      </w:r>
      <w:proofErr w:type="spellEnd"/>
      <w:r w:rsidRPr="00530136">
        <w:rPr>
          <w:sz w:val="22"/>
          <w:szCs w:val="22"/>
        </w:rPr>
        <w:t xml:space="preserve"> was dependent on prognosis (i.e., five-year survival)</w:t>
      </w:r>
    </w:p>
    <w:p w:rsidR="00FF1F8C" w:rsidRDefault="00FF1F8C" w:rsidP="002E506A">
      <w:pPr>
        <w:rPr>
          <w:sz w:val="22"/>
          <w:szCs w:val="22"/>
        </w:rPr>
      </w:pPr>
    </w:p>
    <w:p w:rsidR="00FF1F8C" w:rsidRDefault="00FF1F8C" w:rsidP="00FF1F8C"/>
    <w:p w:rsidR="00FF1F8C" w:rsidRPr="00FF1F8C" w:rsidRDefault="00FF1F8C" w:rsidP="00FF1F8C">
      <w:pPr>
        <w:rPr>
          <w:b/>
        </w:rPr>
      </w:pPr>
      <w:r>
        <w:fldChar w:fldCharType="begin"/>
      </w:r>
      <w:r>
        <w:instrText xml:space="preserve"> ADDIN REFMGR.REFLIST </w:instrText>
      </w:r>
      <w:r>
        <w:fldChar w:fldCharType="separate"/>
      </w:r>
      <w:r w:rsidRPr="00FF1F8C">
        <w:rPr>
          <w:b/>
        </w:rPr>
        <w:t>References</w:t>
      </w:r>
    </w:p>
    <w:p w:rsidR="00FF1F8C" w:rsidRDefault="00FF1F8C" w:rsidP="00FF1F8C">
      <w:pPr>
        <w:jc w:val="center"/>
      </w:pPr>
    </w:p>
    <w:p w:rsidR="00FF1F8C" w:rsidRDefault="00FF1F8C" w:rsidP="00FF1F8C">
      <w:pPr>
        <w:tabs>
          <w:tab w:val="right" w:pos="360"/>
          <w:tab w:val="left" w:pos="540"/>
        </w:tabs>
        <w:spacing w:after="240"/>
        <w:ind w:left="1260" w:hanging="1260"/>
      </w:pPr>
      <w:r>
        <w:tab/>
        <w:t xml:space="preserve">1. </w:t>
      </w:r>
      <w:r>
        <w:tab/>
        <w:t>Munoz N, Castellsague X, de Gonzalez AB, Gissmann L (2006) Chapter 1: HPV in the etiology of human cancer. Vaccine 24 Suppl 3: S3-1-S310.</w:t>
      </w:r>
    </w:p>
    <w:p w:rsidR="00FF1F8C" w:rsidRDefault="00FF1F8C" w:rsidP="00FF1F8C">
      <w:pPr>
        <w:tabs>
          <w:tab w:val="right" w:pos="360"/>
          <w:tab w:val="left" w:pos="540"/>
        </w:tabs>
        <w:spacing w:after="240"/>
        <w:ind w:left="1260" w:hanging="1260"/>
      </w:pPr>
      <w:r>
        <w:tab/>
        <w:t xml:space="preserve">2. </w:t>
      </w:r>
      <w:r>
        <w:tab/>
        <w:t xml:space="preserve">Fauci, AS, Braunwald, E, Kasper, DL, Hauser, S, Longo, D, Jameson, J, and Loscalzo, J (2008) Harrison's Principles of Internal Medicine. New York: McGraw-Hill Professional. </w:t>
      </w:r>
    </w:p>
    <w:p w:rsidR="00FF1F8C" w:rsidRDefault="00FF1F8C" w:rsidP="00FF1F8C">
      <w:pPr>
        <w:tabs>
          <w:tab w:val="right" w:pos="360"/>
          <w:tab w:val="left" w:pos="540"/>
        </w:tabs>
        <w:spacing w:after="240"/>
        <w:ind w:left="1260" w:hanging="1260"/>
      </w:pPr>
      <w:r>
        <w:tab/>
        <w:t xml:space="preserve">3. </w:t>
      </w:r>
      <w:r>
        <w:tab/>
        <w:t xml:space="preserve">Murphy J, Kwong JC (2010) Personal communication with Dr. Joan Murphy, University Hospital Network, Toronto, Canada. </w:t>
      </w:r>
    </w:p>
    <w:p w:rsidR="00FF1F8C" w:rsidRDefault="00FF1F8C" w:rsidP="00FF1F8C">
      <w:pPr>
        <w:tabs>
          <w:tab w:val="right" w:pos="360"/>
          <w:tab w:val="left" w:pos="540"/>
        </w:tabs>
        <w:spacing w:after="240"/>
        <w:ind w:left="1260" w:hanging="1260"/>
      </w:pPr>
      <w:r>
        <w:tab/>
        <w:t xml:space="preserve">4. </w:t>
      </w:r>
      <w:r>
        <w:tab/>
        <w:t>Giuliano AR, Tortolero-Luna G, Ferrer E, Burchell AN, de Sanjose S, Kjaer SK, Munoz N, Schiffman M, Bosch FX (2008) Epidemiology of human papillomavirus infection in men, cancers other than cervical and benign conditions. Vaccine 26 Suppl 10: K17-K28.</w:t>
      </w:r>
    </w:p>
    <w:p w:rsidR="00FF1F8C" w:rsidRDefault="00FF1F8C" w:rsidP="00FF1F8C">
      <w:pPr>
        <w:tabs>
          <w:tab w:val="right" w:pos="360"/>
          <w:tab w:val="left" w:pos="540"/>
        </w:tabs>
        <w:spacing w:after="240"/>
        <w:ind w:left="1260" w:hanging="1260"/>
      </w:pPr>
      <w:r>
        <w:lastRenderedPageBreak/>
        <w:tab/>
        <w:t xml:space="preserve">5. </w:t>
      </w:r>
      <w:r>
        <w:tab/>
        <w:t>Kosary CL (1994) FIGO stage, histology, histologic grade, age and race as prognostic factors in determining survival for cancers of the female gynecological system: an analysis of 1973-87 SEER cases of cancers of the endometrium, cervix, ovary, vulva, and vagina. Semin Surg Oncol 10: 31-46.</w:t>
      </w:r>
    </w:p>
    <w:p w:rsidR="00FF1F8C" w:rsidRDefault="00FF1F8C" w:rsidP="00FF1F8C">
      <w:pPr>
        <w:tabs>
          <w:tab w:val="right" w:pos="360"/>
          <w:tab w:val="left" w:pos="540"/>
        </w:tabs>
        <w:spacing w:after="240"/>
        <w:ind w:left="1260" w:hanging="1260"/>
      </w:pPr>
      <w:r>
        <w:tab/>
        <w:t xml:space="preserve">6. </w:t>
      </w:r>
      <w:r>
        <w:tab/>
        <w:t xml:space="preserve">Cummings B, Kwong JC (2010) Personal communication with Dr. Bernard Cummings, University Health Network, Toronto, Canada. </w:t>
      </w:r>
    </w:p>
    <w:p w:rsidR="00FF1F8C" w:rsidRDefault="00FF1F8C" w:rsidP="00FF1F8C">
      <w:pPr>
        <w:tabs>
          <w:tab w:val="right" w:pos="360"/>
          <w:tab w:val="left" w:pos="540"/>
        </w:tabs>
        <w:spacing w:after="240"/>
        <w:ind w:left="1260" w:hanging="1260"/>
      </w:pPr>
      <w:r>
        <w:tab/>
        <w:t xml:space="preserve">7. </w:t>
      </w:r>
      <w:r>
        <w:tab/>
        <w:t>Galati LT, Myers EN, Johnson JT (2000) Primary surgery as treatment for early squamous cell carcinoma of the tonsil. Head Neck 22: 294-296.</w:t>
      </w:r>
    </w:p>
    <w:p w:rsidR="00FF1F8C" w:rsidRDefault="00FF1F8C" w:rsidP="00FF1F8C">
      <w:pPr>
        <w:tabs>
          <w:tab w:val="right" w:pos="360"/>
          <w:tab w:val="left" w:pos="540"/>
        </w:tabs>
        <w:spacing w:after="240"/>
        <w:ind w:left="1260" w:hanging="1260"/>
      </w:pPr>
      <w:r>
        <w:tab/>
        <w:t xml:space="preserve">8. </w:t>
      </w:r>
      <w:r>
        <w:tab/>
        <w:t>Hull MC, Morris CG, Tannehill SP, Werning JW, Amdur RJ, Hinerman RW, Villaret DB, Mendenhall WM (2003) Definitive radiotherapy alone or combined with a planned neck dissection for squamous cell carcinoma of the pharyngeal wall. Cancer 98: 2224-2231.</w:t>
      </w:r>
    </w:p>
    <w:p w:rsidR="00FF1F8C" w:rsidRDefault="00FF1F8C" w:rsidP="00FF1F8C">
      <w:pPr>
        <w:tabs>
          <w:tab w:val="right" w:pos="360"/>
          <w:tab w:val="left" w:pos="540"/>
        </w:tabs>
        <w:ind w:left="1260" w:hanging="1260"/>
      </w:pPr>
      <w:r>
        <w:tab/>
        <w:t xml:space="preserve">9. </w:t>
      </w:r>
      <w:r>
        <w:tab/>
        <w:t xml:space="preserve">Poon I, Kwong JC (2010) Personal communication with Dr. Ian Poon, Sunnybrook Health Sciences Centre, Toronto, Canada. </w:t>
      </w:r>
    </w:p>
    <w:p w:rsidR="00FF1F8C" w:rsidRDefault="00FF1F8C" w:rsidP="00FF1F8C">
      <w:pPr>
        <w:tabs>
          <w:tab w:val="right" w:pos="360"/>
          <w:tab w:val="left" w:pos="540"/>
        </w:tabs>
        <w:ind w:left="1260" w:hanging="1260"/>
      </w:pPr>
    </w:p>
    <w:p w:rsidR="004A2E95" w:rsidRDefault="00FF1F8C" w:rsidP="00FF1F8C">
      <w:pPr>
        <w:tabs>
          <w:tab w:val="right" w:pos="360"/>
          <w:tab w:val="left" w:pos="540"/>
        </w:tabs>
        <w:ind w:left="1260" w:hanging="1260"/>
      </w:pPr>
      <w:r>
        <w:fldChar w:fldCharType="end"/>
      </w:r>
    </w:p>
    <w:sectPr w:rsidR="004A2E95" w:rsidSect="002E50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PLoS&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onboids&lt;/item&gt;&lt;/Libraries&gt;&lt;/Databases&gt;"/>
  </w:docVars>
  <w:rsids>
    <w:rsidRoot w:val="00852771"/>
    <w:rsid w:val="002E506A"/>
    <w:rsid w:val="004A2E95"/>
    <w:rsid w:val="00745324"/>
    <w:rsid w:val="00852771"/>
    <w:rsid w:val="00A917D1"/>
    <w:rsid w:val="00A92221"/>
    <w:rsid w:val="00EA42FE"/>
    <w:rsid w:val="00FF1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221"/>
    <w:rPr>
      <w:rFonts w:ascii="Tahoma" w:hAnsi="Tahoma" w:cs="Tahoma"/>
      <w:sz w:val="16"/>
      <w:szCs w:val="16"/>
    </w:rPr>
  </w:style>
  <w:style w:type="character" w:customStyle="1" w:styleId="BalloonTextChar">
    <w:name w:val="Balloon Text Char"/>
    <w:basedOn w:val="DefaultParagraphFont"/>
    <w:link w:val="BalloonText"/>
    <w:uiPriority w:val="99"/>
    <w:semiHidden/>
    <w:rsid w:val="00A92221"/>
    <w:rPr>
      <w:rFonts w:ascii="Tahoma" w:eastAsia="Times New Roman" w:hAnsi="Tahoma" w:cs="Tahoma"/>
      <w:sz w:val="16"/>
      <w:szCs w:val="16"/>
      <w:lang w:val="en-US"/>
    </w:rPr>
  </w:style>
  <w:style w:type="character" w:styleId="Hyperlink">
    <w:name w:val="Hyperlink"/>
    <w:basedOn w:val="DefaultParagraphFont"/>
    <w:uiPriority w:val="99"/>
    <w:unhideWhenUsed/>
    <w:rsid w:val="004A2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221"/>
    <w:rPr>
      <w:rFonts w:ascii="Tahoma" w:hAnsi="Tahoma" w:cs="Tahoma"/>
      <w:sz w:val="16"/>
      <w:szCs w:val="16"/>
    </w:rPr>
  </w:style>
  <w:style w:type="character" w:customStyle="1" w:styleId="BalloonTextChar">
    <w:name w:val="Balloon Text Char"/>
    <w:basedOn w:val="DefaultParagraphFont"/>
    <w:link w:val="BalloonText"/>
    <w:uiPriority w:val="99"/>
    <w:semiHidden/>
    <w:rsid w:val="00A92221"/>
    <w:rPr>
      <w:rFonts w:ascii="Tahoma" w:eastAsia="Times New Roman" w:hAnsi="Tahoma" w:cs="Tahoma"/>
      <w:sz w:val="16"/>
      <w:szCs w:val="16"/>
      <w:lang w:val="en-US"/>
    </w:rPr>
  </w:style>
  <w:style w:type="character" w:styleId="Hyperlink">
    <w:name w:val="Hyperlink"/>
    <w:basedOn w:val="DefaultParagraphFont"/>
    <w:uiPriority w:val="99"/>
    <w:unhideWhenUsed/>
    <w:rsid w:val="004A2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1F90-B3DA-46E5-A177-8A092545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2012-08-02T21:40:00Z</dcterms:created>
  <dcterms:modified xsi:type="dcterms:W3CDTF">2012-08-02T21:40:00Z</dcterms:modified>
</cp:coreProperties>
</file>