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E8" w:rsidRPr="00C32050" w:rsidRDefault="00AF2FE8" w:rsidP="00873212">
      <w:pPr>
        <w:spacing w:after="0" w:line="480" w:lineRule="auto"/>
        <w:rPr>
          <w:rFonts w:ascii="Arial" w:hAnsi="Arial" w:cs="Arial"/>
          <w:b/>
        </w:rPr>
      </w:pPr>
      <w:r w:rsidRPr="00C32050">
        <w:rPr>
          <w:rFonts w:ascii="Arial" w:hAnsi="Arial" w:cs="Arial"/>
          <w:b/>
        </w:rPr>
        <w:t>Sensitivity analysis</w:t>
      </w:r>
    </w:p>
    <w:p w:rsidR="00AF2FE8" w:rsidRDefault="00AF2FE8" w:rsidP="006D6D17">
      <w:pPr>
        <w:spacing w:after="0" w:line="480" w:lineRule="auto"/>
        <w:sectPr w:rsidR="00AF2FE8" w:rsidSect="00D300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The appendix t</w:t>
      </w:r>
      <w:r w:rsidRPr="00274F0E">
        <w:rPr>
          <w:rFonts w:ascii="Arial" w:hAnsi="Arial" w:cs="Arial"/>
        </w:rPr>
        <w:t xml:space="preserve">able </w:t>
      </w:r>
      <w:r w:rsidRPr="00BD29CA">
        <w:rPr>
          <w:rFonts w:ascii="Arial" w:hAnsi="Arial" w:cs="Arial"/>
        </w:rPr>
        <w:t>presents regression coefficients</w:t>
      </w:r>
      <w:r>
        <w:rPr>
          <w:rFonts w:ascii="Arial" w:hAnsi="Arial" w:cs="Arial"/>
        </w:rPr>
        <w:t xml:space="preserve"> and</w:t>
      </w:r>
      <w:r w:rsidRPr="00BD29CA">
        <w:rPr>
          <w:rFonts w:ascii="Arial" w:hAnsi="Arial" w:cs="Arial"/>
        </w:rPr>
        <w:t xml:space="preserve"> their standard errors for s</w:t>
      </w:r>
      <w:r>
        <w:rPr>
          <w:rFonts w:ascii="Arial" w:hAnsi="Arial" w:cs="Arial"/>
        </w:rPr>
        <w:t>ix</w:t>
      </w:r>
      <w:r w:rsidRPr="00274F0E">
        <w:rPr>
          <w:rFonts w:ascii="Arial" w:hAnsi="Arial" w:cs="Arial"/>
        </w:rPr>
        <w:t xml:space="preserve"> separate models to assess the sensitivity of the regression coefficients for the asthma control variables to different specifications of ethnic groups, time window </w:t>
      </w:r>
      <w:r>
        <w:rPr>
          <w:rFonts w:ascii="Arial" w:hAnsi="Arial" w:cs="Arial"/>
        </w:rPr>
        <w:t xml:space="preserve">defining active </w:t>
      </w:r>
      <w:r w:rsidRPr="00274F0E">
        <w:rPr>
          <w:rFonts w:ascii="Arial" w:hAnsi="Arial" w:cs="Arial"/>
        </w:rPr>
        <w:t>asthma (</w:t>
      </w:r>
      <w:r>
        <w:rPr>
          <w:rFonts w:ascii="Arial" w:hAnsi="Arial" w:cs="Arial"/>
        </w:rPr>
        <w:t xml:space="preserve">prescription of a bronchodilator within </w:t>
      </w:r>
      <w:r w:rsidRPr="00274F0E">
        <w:rPr>
          <w:rFonts w:ascii="Arial" w:hAnsi="Arial" w:cs="Arial"/>
        </w:rPr>
        <w:t>either three or twelve months prior to Key Stage test), having results for one or two Key Stage tests</w:t>
      </w:r>
      <w:r>
        <w:rPr>
          <w:rFonts w:ascii="Arial" w:hAnsi="Arial" w:cs="Arial"/>
        </w:rPr>
        <w:t xml:space="preserve"> and removing the children for whom a diagnosis of asthma had been imputed from their prescription history</w:t>
      </w:r>
      <w:r w:rsidRPr="00274F0E">
        <w:rPr>
          <w:rFonts w:ascii="Arial" w:hAnsi="Arial" w:cs="Arial"/>
        </w:rPr>
        <w:t xml:space="preserve">.  The first column shows the primary model presented in </w:t>
      </w:r>
      <w:r>
        <w:rPr>
          <w:rFonts w:ascii="Arial" w:hAnsi="Arial" w:cs="Arial"/>
        </w:rPr>
        <w:t>table 2</w:t>
      </w:r>
      <w:r w:rsidRPr="00274F0E">
        <w:rPr>
          <w:rFonts w:ascii="Arial" w:hAnsi="Arial" w:cs="Arial"/>
        </w:rPr>
        <w:t xml:space="preserve">.  The estimates are not particularly sensitive to different model specifications </w:t>
      </w:r>
      <w:r w:rsidRPr="003736EB">
        <w:rPr>
          <w:rFonts w:ascii="Arial" w:hAnsi="Arial" w:cs="Arial"/>
        </w:rPr>
        <w:t>and the overall percentage of the variation in attainment explained was 22% in every case.</w:t>
      </w:r>
      <w:r>
        <w:rPr>
          <w:rFonts w:ascii="Arial" w:hAnsi="Arial" w:cs="Arial"/>
        </w:rPr>
        <w:t xml:space="preserve"> </w:t>
      </w:r>
      <w:r w:rsidRPr="00274F0E">
        <w:rPr>
          <w:rFonts w:ascii="Arial" w:hAnsi="Arial" w:cs="Arial"/>
        </w:rPr>
        <w:t>There was no association with short-term control of asthma and overall attainment</w:t>
      </w:r>
      <w:r>
        <w:rPr>
          <w:rFonts w:ascii="Arial" w:hAnsi="Arial" w:cs="Arial"/>
        </w:rPr>
        <w:t xml:space="preserve">. </w:t>
      </w:r>
      <w:r w:rsidRPr="00274F0E">
        <w:rPr>
          <w:rFonts w:ascii="Arial" w:hAnsi="Arial" w:cs="Arial"/>
        </w:rPr>
        <w:t>To satisfy the linear regression assumption of independent errors, the second test sat by children with results for two Key Stage tests was dropped</w:t>
      </w:r>
      <w:r>
        <w:rPr>
          <w:rFonts w:ascii="Arial" w:hAnsi="Arial" w:cs="Arial"/>
        </w:rPr>
        <w:t xml:space="preserve"> from the data set</w:t>
      </w:r>
      <w:r w:rsidRPr="00274F0E">
        <w:rPr>
          <w:rFonts w:ascii="Arial" w:hAnsi="Arial" w:cs="Arial"/>
        </w:rPr>
        <w:t xml:space="preserve"> (1,0</w:t>
      </w:r>
      <w:r>
        <w:rPr>
          <w:rFonts w:ascii="Arial" w:hAnsi="Arial" w:cs="Arial"/>
        </w:rPr>
        <w:t>02</w:t>
      </w:r>
      <w:r w:rsidRPr="00274F0E">
        <w:rPr>
          <w:rFonts w:ascii="Arial" w:hAnsi="Arial" w:cs="Arial"/>
        </w:rPr>
        <w:t xml:space="preserve"> observations).</w:t>
      </w:r>
      <w:r>
        <w:rPr>
          <w:rFonts w:ascii="Arial" w:hAnsi="Arial" w:cs="Arial"/>
        </w:rPr>
        <w:t xml:space="preserve"> </w:t>
      </w:r>
      <w:r w:rsidRPr="00274F0E">
        <w:rPr>
          <w:rFonts w:ascii="Arial" w:hAnsi="Arial" w:cs="Arial"/>
        </w:rPr>
        <w:t>The regression coefficient comparing attainment in children with treated asthma to children with no asthma diagnosis was 0.06</w:t>
      </w:r>
      <w:r>
        <w:rPr>
          <w:rFonts w:ascii="Arial" w:hAnsi="Arial" w:cs="Arial"/>
        </w:rPr>
        <w:t>9</w:t>
      </w:r>
      <w:r w:rsidRPr="00274F0E">
        <w:rPr>
          <w:rFonts w:ascii="Arial" w:hAnsi="Arial" w:cs="Arial"/>
        </w:rPr>
        <w:t xml:space="preserve"> </w:t>
      </w:r>
      <w:proofErr w:type="gramStart"/>
      <w:r w:rsidRPr="00274F0E">
        <w:rPr>
          <w:rFonts w:ascii="Arial" w:hAnsi="Arial" w:cs="Arial"/>
        </w:rPr>
        <w:t>and</w:t>
      </w:r>
      <w:proofErr w:type="gramEnd"/>
      <w:r w:rsidRPr="00274F0E">
        <w:rPr>
          <w:rFonts w:ascii="Arial" w:hAnsi="Arial" w:cs="Arial"/>
        </w:rPr>
        <w:t xml:space="preserve"> significant at the 5% level. The three models specifying different ethnicity groupings (A, B and C) led to very similar conclusions for the association between treated and untreated asthma and overall attainment. In conclusion, we found some evidence of a small (approx 0.0</w:t>
      </w:r>
      <w:r>
        <w:rPr>
          <w:rFonts w:ascii="Arial" w:hAnsi="Arial" w:cs="Arial"/>
        </w:rPr>
        <w:t>7</w:t>
      </w:r>
      <w:r w:rsidRPr="00274F0E">
        <w:rPr>
          <w:rFonts w:ascii="Arial" w:hAnsi="Arial" w:cs="Arial"/>
        </w:rPr>
        <w:t xml:space="preserve"> SDs) positive association between having asthma and at least one bronchodilator prescription in the 12 month period prior to a Key Stage test, and overall attainment in the test.</w:t>
      </w:r>
      <w:r>
        <w:rPr>
          <w:rFonts w:ascii="Arial" w:hAnsi="Arial" w:cs="Arial"/>
        </w:rPr>
        <w:t xml:space="preserve"> There were 79 children for whom a diagnosis of asthma was imputed on the basis of their prescribing history alone.  Analysing them as children without asthma instead made virtually no difference to the results.</w:t>
      </w:r>
    </w:p>
    <w:p w:rsidR="00AF2FE8" w:rsidRDefault="00AF2FE8" w:rsidP="006D6D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table</w:t>
      </w:r>
      <w:r w:rsidR="009B0A43">
        <w:rPr>
          <w:rFonts w:ascii="Arial" w:hAnsi="Arial" w:cs="Arial"/>
          <w:sz w:val="24"/>
          <w:szCs w:val="24"/>
        </w:rPr>
        <w:t xml:space="preserve"> S1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Sensitivity of effects on standardised attainment to a variety of model specifications.</w:t>
      </w:r>
      <w:proofErr w:type="gramEnd"/>
      <w:r>
        <w:rPr>
          <w:rFonts w:ascii="Arial" w:hAnsi="Arial" w:cs="Arial"/>
          <w:sz w:val="24"/>
          <w:szCs w:val="24"/>
        </w:rPr>
        <w:t xml:space="preserve">  The intra-school correlation coefficient in each of these models is estimated to be 0.06 95% CI (0.04 to 0.08).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</w:p>
    <w:p w:rsidR="00AF2FE8" w:rsidRDefault="0066632A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szCs w:val="20"/>
          <w:lang w:eastAsia="en-GB"/>
        </w:rPr>
        <w:drawing>
          <wp:inline distT="0" distB="0" distL="0" distR="0">
            <wp:extent cx="8091170" cy="3083560"/>
            <wp:effectExtent l="19050" t="0" r="508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 w:rsidRPr="00C4667F">
        <w:rPr>
          <w:rFonts w:ascii="Arial" w:hAnsi="Arial" w:cs="Arial"/>
          <w:sz w:val="20"/>
          <w:szCs w:val="20"/>
        </w:rPr>
        <w:t>Key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 = regression slope, </w:t>
      </w:r>
      <w:proofErr w:type="gramStart"/>
      <w:r>
        <w:rPr>
          <w:rFonts w:ascii="Arial" w:hAnsi="Arial" w:cs="Arial"/>
          <w:sz w:val="20"/>
          <w:szCs w:val="20"/>
        </w:rPr>
        <w:t>se(</w:t>
      </w:r>
      <w:proofErr w:type="gramEnd"/>
      <w:r>
        <w:rPr>
          <w:rFonts w:ascii="Arial" w:hAnsi="Arial" w:cs="Arial"/>
          <w:sz w:val="20"/>
          <w:szCs w:val="20"/>
        </w:rPr>
        <w:t>β) = standard error of regression slope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12m control = bronchodilator prescription in 12 months prior to Key Stage test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3m control = bronchodilator prescription in 3 months prior to Key Stage test</w:t>
      </w:r>
    </w:p>
    <w:p w:rsidR="00AF2FE8" w:rsidRPr="00C4667F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first three</w:t>
      </w:r>
      <w:r w:rsidRPr="00C4667F">
        <w:rPr>
          <w:rFonts w:ascii="Arial" w:hAnsi="Arial" w:cs="Arial"/>
          <w:sz w:val="20"/>
          <w:szCs w:val="20"/>
        </w:rPr>
        <w:t xml:space="preserve"> (models) columns, ethnicity 2 vs. 1 refers to Bangladeshi vs. </w:t>
      </w:r>
      <w:r>
        <w:rPr>
          <w:rFonts w:ascii="Arial" w:hAnsi="Arial" w:cs="Arial"/>
          <w:sz w:val="20"/>
          <w:szCs w:val="20"/>
        </w:rPr>
        <w:t>White</w:t>
      </w:r>
      <w:r w:rsidRPr="00C4667F">
        <w:rPr>
          <w:rFonts w:ascii="Arial" w:hAnsi="Arial" w:cs="Arial"/>
          <w:sz w:val="20"/>
          <w:szCs w:val="20"/>
        </w:rPr>
        <w:t>/unknown</w:t>
      </w:r>
      <w:r>
        <w:rPr>
          <w:rFonts w:ascii="Arial" w:hAnsi="Arial" w:cs="Arial"/>
          <w:sz w:val="20"/>
          <w:szCs w:val="20"/>
        </w:rPr>
        <w:t>,</w:t>
      </w:r>
      <w:r w:rsidRPr="00C4667F">
        <w:rPr>
          <w:rFonts w:ascii="Arial" w:hAnsi="Arial" w:cs="Arial"/>
          <w:sz w:val="20"/>
          <w:szCs w:val="20"/>
        </w:rPr>
        <w:t xml:space="preserve"> and ethnicity 3 vs. 1 refers to </w:t>
      </w:r>
      <w:r>
        <w:rPr>
          <w:rFonts w:ascii="Arial" w:hAnsi="Arial" w:cs="Arial"/>
          <w:sz w:val="20"/>
          <w:szCs w:val="20"/>
        </w:rPr>
        <w:t>‘</w:t>
      </w:r>
      <w:r w:rsidRPr="00C4667F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ethnic groups’</w:t>
      </w:r>
      <w:r w:rsidRPr="00C4667F">
        <w:rPr>
          <w:rFonts w:ascii="Arial" w:hAnsi="Arial" w:cs="Arial"/>
          <w:sz w:val="20"/>
          <w:szCs w:val="20"/>
        </w:rPr>
        <w:t xml:space="preserve"> vs</w:t>
      </w:r>
      <w:r>
        <w:rPr>
          <w:rFonts w:ascii="Arial" w:hAnsi="Arial" w:cs="Arial"/>
          <w:sz w:val="20"/>
          <w:szCs w:val="20"/>
        </w:rPr>
        <w:t>.</w:t>
      </w:r>
      <w:r w:rsidRPr="00C46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White</w:t>
      </w:r>
      <w:r w:rsidRPr="00C4667F">
        <w:rPr>
          <w:rFonts w:ascii="Arial" w:hAnsi="Arial" w:cs="Arial"/>
          <w:sz w:val="20"/>
          <w:szCs w:val="20"/>
        </w:rPr>
        <w:t>/unknown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ethnicity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model, ethnicity 2 vs. 1 refers to Bangladeshi vs. White, and ethnicity 3 vs. 1 refers to ‘other ethnic groups’ vs. White (unknown excluded)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ethnicity B model, ethnicity 2 vs. 1 refers to Bangladeshi vs. White, and ethnicity 3 vs. 1 refers to ‘other ethnic groups’/unknown vs. White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ethnicity C model, ethnicity 2 vs. 1 refers to Bangladeshi/other vs. White/unknown.</w:t>
      </w:r>
    </w:p>
    <w:p w:rsidR="00AF2FE8" w:rsidRDefault="00AF2FE8" w:rsidP="006D6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= not applicable</w:t>
      </w:r>
    </w:p>
    <w:p w:rsidR="00AF2FE8" w:rsidRDefault="00AF2FE8" w:rsidP="006D6D17">
      <w:pPr>
        <w:spacing w:after="0"/>
      </w:pPr>
      <w:proofErr w:type="gramStart"/>
      <w:r>
        <w:rPr>
          <w:rFonts w:ascii="Arial" w:hAnsi="Arial" w:cs="Arial"/>
          <w:sz w:val="20"/>
          <w:szCs w:val="20"/>
        </w:rPr>
        <w:t>No imputed asthma: despite evidence of asthma in the medication history in the absence of a Read code, a diagnosis was not imputed.</w:t>
      </w:r>
      <w:proofErr w:type="gramEnd"/>
    </w:p>
    <w:sectPr w:rsidR="00AF2FE8" w:rsidSect="006D6D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3212"/>
    <w:rsid w:val="00030191"/>
    <w:rsid w:val="0008071F"/>
    <w:rsid w:val="00274F0E"/>
    <w:rsid w:val="0032418A"/>
    <w:rsid w:val="003736EB"/>
    <w:rsid w:val="004C4F3A"/>
    <w:rsid w:val="0066632A"/>
    <w:rsid w:val="006D6D17"/>
    <w:rsid w:val="00873212"/>
    <w:rsid w:val="009B0A43"/>
    <w:rsid w:val="00AF2FE8"/>
    <w:rsid w:val="00B2459E"/>
    <w:rsid w:val="00B8708F"/>
    <w:rsid w:val="00BD29CA"/>
    <w:rsid w:val="00C32050"/>
    <w:rsid w:val="00C4667F"/>
    <w:rsid w:val="00CA56AF"/>
    <w:rsid w:val="00CB1BA3"/>
    <w:rsid w:val="00CC17B0"/>
    <w:rsid w:val="00CD2C91"/>
    <w:rsid w:val="00D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12"/>
    <w:pPr>
      <w:spacing w:after="200" w:line="276" w:lineRule="auto"/>
    </w:pPr>
    <w:rPr>
      <w:rFonts w:eastAsia="Times New Roman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>IHSE - QMUL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cjgriffiths</dc:creator>
  <cp:lastModifiedBy>cjgriffiths</cp:lastModifiedBy>
  <cp:revision>3</cp:revision>
  <dcterms:created xsi:type="dcterms:W3CDTF">2012-01-24T07:57:00Z</dcterms:created>
  <dcterms:modified xsi:type="dcterms:W3CDTF">2012-10-21T16:02:00Z</dcterms:modified>
</cp:coreProperties>
</file>