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BB2DA" w14:textId="43F93D6E" w:rsidR="00A41CC3" w:rsidRDefault="00D4317B" w:rsidP="00F930F6">
      <w:pPr>
        <w:keepNext/>
        <w:keepLines/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2C0757">
        <w:rPr>
          <w:rFonts w:ascii="Times New Roman" w:hAnsi="Times New Roman"/>
          <w:b/>
          <w:sz w:val="24"/>
          <w:szCs w:val="24"/>
          <w:lang w:val="en-GB"/>
        </w:rPr>
        <w:t xml:space="preserve">Table </w:t>
      </w:r>
      <w:r w:rsidR="002C0757">
        <w:rPr>
          <w:rFonts w:ascii="Times New Roman" w:hAnsi="Times New Roman"/>
          <w:b/>
          <w:sz w:val="24"/>
          <w:szCs w:val="24"/>
          <w:lang w:val="en-GB"/>
        </w:rPr>
        <w:t>S</w:t>
      </w:r>
      <w:r w:rsidRPr="002C0757">
        <w:rPr>
          <w:rFonts w:ascii="Times New Roman" w:hAnsi="Times New Roman"/>
          <w:b/>
          <w:sz w:val="24"/>
          <w:szCs w:val="24"/>
          <w:lang w:val="en-GB"/>
        </w:rPr>
        <w:t>1.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Summary information on certified stocks and their estimated current biomass and exploitation rates relative </w:t>
      </w:r>
      <w:r w:rsidR="00A23B95">
        <w:rPr>
          <w:rFonts w:ascii="Times New Roman" w:hAnsi="Times New Roman"/>
          <w:sz w:val="24"/>
          <w:szCs w:val="24"/>
          <w:lang w:val="en-GB"/>
        </w:rPr>
        <w:t xml:space="preserve">to </w:t>
      </w:r>
      <w:r w:rsidRPr="002C0757">
        <w:rPr>
          <w:rFonts w:ascii="Times New Roman" w:hAnsi="Times New Roman"/>
          <w:sz w:val="24"/>
          <w:szCs w:val="24"/>
          <w:lang w:val="en-GB"/>
        </w:rPr>
        <w:t>MSY reference points (</w:t>
      </w:r>
      <w:proofErr w:type="spellStart"/>
      <w:r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current</w:t>
      </w:r>
      <w:proofErr w:type="spellEnd"/>
      <w:r w:rsidRPr="002C0757">
        <w:rPr>
          <w:rFonts w:ascii="Times New Roman" w:hAnsi="Times New Roman"/>
          <w:sz w:val="24"/>
          <w:szCs w:val="24"/>
          <w:lang w:val="en-GB"/>
        </w:rPr>
        <w:t>/</w:t>
      </w:r>
      <w:r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Pr="002C0757">
        <w:rPr>
          <w:rFonts w:ascii="Times New Roman" w:hAnsi="Times New Roman"/>
          <w:sz w:val="24"/>
          <w:szCs w:val="24"/>
          <w:vertAlign w:val="subscript"/>
          <w:lang w:val="en-GB"/>
        </w:rPr>
        <w:t xml:space="preserve">MSY 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and </w:t>
      </w:r>
      <w:proofErr w:type="spellStart"/>
      <w:r w:rsidRPr="002C0757">
        <w:rPr>
          <w:rFonts w:ascii="Times New Roman" w:hAnsi="Times New Roman"/>
          <w:i/>
          <w:sz w:val="24"/>
          <w:szCs w:val="24"/>
          <w:lang w:val="en-GB"/>
        </w:rPr>
        <w:t>u</w:t>
      </w:r>
      <w:r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current</w:t>
      </w:r>
      <w:proofErr w:type="spellEnd"/>
      <w:r w:rsidRPr="002C0757">
        <w:rPr>
          <w:rFonts w:ascii="Times New Roman" w:hAnsi="Times New Roman"/>
          <w:sz w:val="24"/>
          <w:szCs w:val="24"/>
          <w:lang w:val="en-GB"/>
        </w:rPr>
        <w:t>/</w:t>
      </w:r>
      <w:proofErr w:type="spellStart"/>
      <w:r w:rsidRPr="002C0757">
        <w:rPr>
          <w:rFonts w:ascii="Times New Roman" w:hAnsi="Times New Roman"/>
          <w:i/>
          <w:sz w:val="24"/>
          <w:szCs w:val="24"/>
          <w:lang w:val="en-GB"/>
        </w:rPr>
        <w:t>u</w:t>
      </w:r>
      <w:r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proofErr w:type="spellEnd"/>
      <w:r w:rsidR="00A23B95">
        <w:rPr>
          <w:rFonts w:ascii="Times New Roman" w:hAnsi="Times New Roman"/>
          <w:sz w:val="24"/>
          <w:szCs w:val="24"/>
          <w:vertAlign w:val="subscript"/>
          <w:lang w:val="en-GB"/>
        </w:rPr>
        <w:t xml:space="preserve"> </w:t>
      </w:r>
      <w:r w:rsidR="00A23B95" w:rsidRPr="00A23B95">
        <w:rPr>
          <w:rFonts w:ascii="Times New Roman" w:hAnsi="Times New Roman"/>
          <w:sz w:val="24"/>
          <w:szCs w:val="24"/>
          <w:lang w:val="en-GB"/>
        </w:rPr>
        <w:t>or</w:t>
      </w:r>
      <w:r w:rsidR="00A23B95">
        <w:rPr>
          <w:rFonts w:ascii="Times New Roman" w:hAnsi="Times New Roman"/>
          <w:sz w:val="24"/>
          <w:szCs w:val="24"/>
          <w:vertAlign w:val="subscript"/>
          <w:lang w:val="en-GB"/>
        </w:rPr>
        <w:t xml:space="preserve"> </w:t>
      </w:r>
      <w:proofErr w:type="spellStart"/>
      <w:r w:rsidR="00A23B95">
        <w:rPr>
          <w:rFonts w:ascii="Times New Roman" w:hAnsi="Times New Roman"/>
          <w:i/>
          <w:sz w:val="24"/>
          <w:szCs w:val="24"/>
          <w:lang w:val="en-GB"/>
        </w:rPr>
        <w:t>F</w:t>
      </w:r>
      <w:r w:rsidR="00A23B95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current</w:t>
      </w:r>
      <w:proofErr w:type="spellEnd"/>
      <w:r w:rsidR="00A23B95" w:rsidRPr="002C0757">
        <w:rPr>
          <w:rFonts w:ascii="Times New Roman" w:hAnsi="Times New Roman"/>
          <w:sz w:val="24"/>
          <w:szCs w:val="24"/>
          <w:lang w:val="en-GB"/>
        </w:rPr>
        <w:t>/</w:t>
      </w:r>
      <w:r w:rsidR="00A23B95">
        <w:rPr>
          <w:rFonts w:ascii="Times New Roman" w:hAnsi="Times New Roman"/>
          <w:i/>
          <w:sz w:val="24"/>
          <w:szCs w:val="24"/>
          <w:lang w:val="en-GB"/>
        </w:rPr>
        <w:t>F</w:t>
      </w:r>
      <w:r w:rsidR="00A23B95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). Rows in </w:t>
      </w:r>
      <w:r w:rsidR="002F58EF" w:rsidRPr="002C0757">
        <w:rPr>
          <w:rFonts w:ascii="Times New Roman" w:hAnsi="Times New Roman"/>
          <w:sz w:val="24"/>
          <w:szCs w:val="24"/>
          <w:lang w:val="en-GB"/>
        </w:rPr>
        <w:t>grey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indicate certified stocks without available reference points or biomass estimates. </w:t>
      </w:r>
      <w:r w:rsidR="005E3AFE" w:rsidRPr="002C0757">
        <w:rPr>
          <w:rFonts w:ascii="Times New Roman" w:hAnsi="Times New Roman"/>
          <w:sz w:val="24"/>
          <w:szCs w:val="24"/>
          <w:lang w:val="en-GB"/>
        </w:rPr>
        <w:t xml:space="preserve">These stocks were not used in the analysis (Fig. 1A). </w:t>
      </w:r>
      <w:r w:rsidR="00F8740F" w:rsidRPr="002C0757">
        <w:rPr>
          <w:rFonts w:ascii="Times New Roman" w:hAnsi="Times New Roman"/>
          <w:sz w:val="24"/>
          <w:szCs w:val="24"/>
          <w:lang w:val="en-GB"/>
        </w:rPr>
        <w:t>“</w:t>
      </w:r>
      <w:r w:rsidR="009B345D">
        <w:rPr>
          <w:rFonts w:ascii="Times New Roman" w:hAnsi="Times New Roman"/>
          <w:sz w:val="24"/>
          <w:szCs w:val="24"/>
          <w:lang w:val="en-GB"/>
        </w:rPr>
        <w:t>Method u</w:t>
      </w:r>
      <w:r w:rsidR="005E3AFE" w:rsidRPr="002C0757">
        <w:rPr>
          <w:rFonts w:ascii="Times New Roman" w:hAnsi="Times New Roman"/>
          <w:sz w:val="24"/>
          <w:szCs w:val="24"/>
          <w:lang w:val="en-GB"/>
        </w:rPr>
        <w:t>sed</w:t>
      </w:r>
      <w:proofErr w:type="gramStart"/>
      <w:r w:rsidR="00F8740F" w:rsidRPr="002C0757">
        <w:rPr>
          <w:rFonts w:ascii="Times New Roman" w:hAnsi="Times New Roman"/>
          <w:sz w:val="24"/>
          <w:szCs w:val="24"/>
          <w:lang w:val="en-GB"/>
        </w:rPr>
        <w:t>”</w:t>
      </w:r>
      <w:proofErr w:type="gramEnd"/>
      <w:r w:rsidR="005E3AFE" w:rsidRPr="002C0757">
        <w:rPr>
          <w:rFonts w:ascii="Times New Roman" w:hAnsi="Times New Roman"/>
          <w:sz w:val="24"/>
          <w:szCs w:val="24"/>
          <w:lang w:val="en-GB"/>
        </w:rPr>
        <w:t xml:space="preserve"> indicates the method used to estimate </w:t>
      </w:r>
      <w:r w:rsidR="005E3AFE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5E3AFE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DD3F5C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E3AFE" w:rsidRPr="002C0757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D83E7C">
        <w:rPr>
          <w:rFonts w:ascii="Times New Roman" w:hAnsi="Times New Roman"/>
          <w:i/>
          <w:sz w:val="24"/>
          <w:szCs w:val="24"/>
          <w:lang w:val="en-GB"/>
        </w:rPr>
        <w:t>F</w:t>
      </w:r>
      <w:r w:rsidR="00D83E7C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D83E7C" w:rsidRPr="002C075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D83E7C" w:rsidRPr="00D83E7C">
        <w:rPr>
          <w:rFonts w:ascii="Times New Roman" w:hAnsi="Times New Roman"/>
          <w:sz w:val="24"/>
          <w:szCs w:val="24"/>
          <w:lang w:val="en-GB"/>
        </w:rPr>
        <w:t>or</w:t>
      </w:r>
      <w:r w:rsidR="00D83E7C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5E3AFE" w:rsidRPr="002C0757">
        <w:rPr>
          <w:rFonts w:ascii="Times New Roman" w:hAnsi="Times New Roman"/>
          <w:i/>
          <w:sz w:val="24"/>
          <w:szCs w:val="24"/>
          <w:lang w:val="en-GB"/>
        </w:rPr>
        <w:t>u</w:t>
      </w:r>
      <w:r w:rsidR="005E3AFE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proofErr w:type="spellEnd"/>
      <w:r w:rsidR="005E3AFE" w:rsidRPr="002C0757">
        <w:rPr>
          <w:rFonts w:ascii="Times New Roman" w:hAnsi="Times New Roman"/>
          <w:sz w:val="24"/>
          <w:szCs w:val="24"/>
          <w:lang w:val="en-GB"/>
        </w:rPr>
        <w:t>: 1 = stock assessment model, 2 = surplus production model</w:t>
      </w:r>
      <w:r w:rsidR="007B7B8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13215A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7B7B83">
        <w:rPr>
          <w:rFonts w:ascii="Times New Roman" w:hAnsi="Times New Roman"/>
          <w:sz w:val="24"/>
          <w:szCs w:val="24"/>
          <w:lang w:val="en-GB"/>
        </w:rPr>
        <w:t>3=combination</w:t>
      </w:r>
      <w:r w:rsidR="0013215A">
        <w:rPr>
          <w:rFonts w:ascii="Times New Roman" w:hAnsi="Times New Roman"/>
          <w:sz w:val="24"/>
          <w:szCs w:val="24"/>
          <w:lang w:val="en-GB"/>
        </w:rPr>
        <w:t>.</w:t>
      </w:r>
    </w:p>
    <w:p w14:paraId="34DAB2C2" w14:textId="77777777" w:rsidR="00F930F6" w:rsidRPr="00F930F6" w:rsidRDefault="00F930F6" w:rsidP="00F930F6">
      <w:pPr>
        <w:keepNext/>
        <w:keepLines/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19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694"/>
        <w:gridCol w:w="1056"/>
        <w:gridCol w:w="773"/>
        <w:gridCol w:w="773"/>
        <w:gridCol w:w="816"/>
        <w:gridCol w:w="986"/>
      </w:tblGrid>
      <w:tr w:rsidR="00F930F6" w:rsidRPr="00F930F6" w14:paraId="3EC18362" w14:textId="77777777" w:rsidTr="00F930F6">
        <w:trPr>
          <w:trHeight w:val="439"/>
        </w:trPr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412DD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  <w:t>Large Marine Ecosystem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886A1F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  <w:t>Scientific name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5BF903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  <w:t>Stock and common name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6CA21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  <w:t>Year of assessment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92F019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ar-SA"/>
              </w:rPr>
              <w:t>B</w:t>
            </w:r>
            <w:r w:rsidRPr="00F930F6"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  <w:t>/</w:t>
            </w:r>
            <w:r w:rsidRPr="00F930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ar-SA"/>
              </w:rPr>
              <w:t>B</w:t>
            </w:r>
            <w:r w:rsidRPr="00F930F6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  <w:lang w:bidi="ar-SA"/>
              </w:rPr>
              <w:t>MSY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11BB49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ar-SA"/>
              </w:rPr>
              <w:t>F</w:t>
            </w:r>
            <w:r w:rsidRPr="00F930F6"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  <w:t>/</w:t>
            </w:r>
            <w:r w:rsidRPr="00F930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ar-SA"/>
              </w:rPr>
              <w:t>F</w:t>
            </w:r>
            <w:r w:rsidRPr="00F930F6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  <w:lang w:bidi="ar-SA"/>
              </w:rPr>
              <w:t>MSY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4AAEF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  <w:t>Method used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264213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  <w:t>Reference</w:t>
            </w:r>
          </w:p>
        </w:tc>
      </w:tr>
      <w:tr w:rsidR="00F930F6" w:rsidRPr="00F930F6" w14:paraId="57573784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DA0E16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Atlantic High Seas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5B2068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Xiphias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gladius</w:t>
            </w:r>
            <w:proofErr w:type="spellEnd"/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F71B63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 West Atlantic swordfish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E2642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28248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0EF18A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551D7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50648618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9706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Atlantic High Seas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9360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Xiphias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gladius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ADAD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Swordfish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C3F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2008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360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1.05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1126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932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2447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S5</w:t>
            </w:r>
          </w:p>
        </w:tc>
      </w:tr>
      <w:tr w:rsidR="00F930F6" w:rsidRPr="00F930F6" w14:paraId="20F45F4F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1971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Baltic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CBE9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Gadus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morhua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648A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Eastern Baltic cod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D32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806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0.31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4947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178A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CE97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S6</w:t>
            </w:r>
          </w:p>
        </w:tc>
      </w:tr>
      <w:tr w:rsidR="00F930F6" w:rsidRPr="00F930F6" w14:paraId="75A2D7D5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1544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Barents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BB0D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Pollachius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virens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CA6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Barents Sea saithe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7B62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074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1.08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6D8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F252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18D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S7</w:t>
            </w:r>
          </w:p>
        </w:tc>
      </w:tr>
      <w:tr w:rsidR="00F930F6" w:rsidRPr="00F930F6" w14:paraId="01C39EA5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08C2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Barents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B00D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Gadus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morhua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B7B2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Atlantic cod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F16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7F56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1.02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09B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8F79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D972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S7</w:t>
            </w:r>
          </w:p>
        </w:tc>
      </w:tr>
      <w:tr w:rsidR="00F930F6" w:rsidRPr="00F930F6" w14:paraId="05330CF6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C435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Barents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FBCD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Melanogrammus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aeglefinus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AA16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Barents Sea haddock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D3D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2A9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634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84C6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66C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S7</w:t>
            </w:r>
          </w:p>
        </w:tc>
      </w:tr>
      <w:tr w:rsidR="00F930F6" w:rsidRPr="00F930F6" w14:paraId="517004D3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F33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Benguela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Current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412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Merluccius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capensis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232D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Shallow-water cape hake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3D0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1568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1.81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100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7679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ADB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S8</w:t>
            </w:r>
          </w:p>
        </w:tc>
      </w:tr>
      <w:tr w:rsidR="00F930F6" w:rsidRPr="00F930F6" w14:paraId="0EDAD3E7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F256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Benguela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Current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A55C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Merluccius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paradoxus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8546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Deep-water cape hake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B9E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B259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0.88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D05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0C99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25B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S8</w:t>
            </w:r>
          </w:p>
        </w:tc>
      </w:tr>
      <w:tr w:rsidR="00F930F6" w:rsidRPr="00F930F6" w14:paraId="3EDE9792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EB4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California Current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02FF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Panulirus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interuptus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C263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Baja California red rock lobster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09F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EC78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1.50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AA29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B66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0FD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S9</w:t>
            </w:r>
          </w:p>
        </w:tc>
      </w:tr>
      <w:tr w:rsidR="00F930F6" w:rsidRPr="00F930F6" w14:paraId="6D030818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A349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California Current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3342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Hippoglossus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stenolepis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620A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Pacific halibut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E53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133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1.43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74A7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FE7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026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S10</w:t>
            </w:r>
          </w:p>
        </w:tc>
      </w:tr>
      <w:tr w:rsidR="00F930F6" w:rsidRPr="00F930F6" w14:paraId="227B1C40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5A7E2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California Current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A65458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Pandalus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jordani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FE73F5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Oregon pink shrimp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B35C7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F0031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B4A2B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D21F63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0B16E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22D0B290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85DC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California Current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351F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Merluccius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productus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A4D3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Pacific hake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263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031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1.75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424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5F9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C322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S11</w:t>
            </w:r>
          </w:p>
        </w:tc>
      </w:tr>
      <w:tr w:rsidR="00F930F6" w:rsidRPr="00F930F6" w14:paraId="4B157207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1588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California Current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C65E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Anoplopoma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fimbria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D452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Sablefish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354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45A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0.76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CF63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CEA7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8D4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S12</w:t>
            </w:r>
          </w:p>
        </w:tc>
      </w:tr>
      <w:tr w:rsidR="00F930F6" w:rsidRPr="00F930F6" w14:paraId="5A7652C7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C45315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California Current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B40C9E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Cancer magister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54E7E2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Oregon Dungeness crab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50A4D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CFA5F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1FC05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23876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0D54A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0EC9F9DA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85A5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Celtic-Biscay Shelf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CD40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Scomber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scombrus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06F0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 East Atlantic mackerel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F43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93D6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1.37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641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919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0F26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S13</w:t>
            </w:r>
          </w:p>
        </w:tc>
      </w:tr>
      <w:tr w:rsidR="00F930F6" w:rsidRPr="00F930F6" w14:paraId="0736952D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D9E3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Celtic-Biscay Shelf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46C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Solea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solea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0FEC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Eastern Channel sole (</w:t>
            </w: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VIId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9EA8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8FA3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1.35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3CC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781A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5BE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S14</w:t>
            </w:r>
          </w:p>
        </w:tc>
      </w:tr>
      <w:tr w:rsidR="00F930F6" w:rsidRPr="00F930F6" w14:paraId="5DC70B6F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9F69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Celtic-Biscay Shelf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6498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Nephrops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norvegicus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192C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Nephrops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North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93D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47E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1.49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086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A2E6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F85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S15</w:t>
            </w:r>
          </w:p>
        </w:tc>
      </w:tr>
      <w:tr w:rsidR="00F930F6" w:rsidRPr="00F930F6" w14:paraId="59861707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80B5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Celtic-Biscay Shelf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825D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Nephrops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norvegicus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DEC3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Nephrops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South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A26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034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1.86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29F7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BAC6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3A29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S15</w:t>
            </w:r>
          </w:p>
        </w:tc>
      </w:tr>
      <w:tr w:rsidR="00F930F6" w:rsidRPr="00F930F6" w14:paraId="4E6788AF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432F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Celtic-Biscay Shelf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1B2B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Sardina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pilchardus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2A31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Iberian sardine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977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2E83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0.32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0452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A87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901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S16</w:t>
            </w:r>
          </w:p>
        </w:tc>
      </w:tr>
      <w:tr w:rsidR="00F930F6" w:rsidRPr="00F930F6" w14:paraId="059138E1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775D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East Bering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2A2A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Pleuronectes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q.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5F01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Alaska plaice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89B8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485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1.47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F13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AD43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8953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S17</w:t>
            </w:r>
          </w:p>
        </w:tc>
      </w:tr>
      <w:tr w:rsidR="00F930F6" w:rsidRPr="00F930F6" w14:paraId="75F0C00C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CFCE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East Bering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D0ED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Lepidopsetta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polyxystra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EBB1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Northern rock sole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A5B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2597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2.06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FB3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E29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A50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S18</w:t>
            </w:r>
          </w:p>
        </w:tc>
      </w:tr>
      <w:tr w:rsidR="00F930F6" w:rsidRPr="00F930F6" w14:paraId="5F1A5D0B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7E6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East Bering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FA94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Limanda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aspera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CC58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Yellowfin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sole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17D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9FE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1.75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1FB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6AE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FB1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S19</w:t>
            </w:r>
          </w:p>
        </w:tc>
      </w:tr>
      <w:tr w:rsidR="00F930F6" w:rsidRPr="00F930F6" w14:paraId="2EEEA46E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704CBC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East Bering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3C84B1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Oncorhynchus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gorbuscha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BB3D36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Alaska salmon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282253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B99E98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062243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5D0D53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D510B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20AD7880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26DE0A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East Bering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20E373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Oncorhynchus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keta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C286FF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Alaska salmon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C1C4C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A69522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B3EBA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6354C2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B7651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10E55B0C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F47DDF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East Bering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8DB6C4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Oncorhynchus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kisutch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A9667B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Alaska salmon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CD381A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EE18D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3C7A7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3369E6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724C48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233653D0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E29C9F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East Bering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9F619F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Oncorhynchus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nerka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70CCC8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Alaska salmon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6CDB16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1DD14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F36FE9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18F79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DE38C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4AB8916D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3A1AB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East Bering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1FDB9D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Oncorhynchus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tshawytscha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38D6B3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Alaska salmon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91617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56487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27A6E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3B7876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8920B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551F4FAB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DC24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East Bering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06E0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Theragra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chalcogramma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A940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Aleutian Is. walleye </w:t>
            </w: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pollock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C8FA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F8A9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0.74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3D12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8E9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1EE7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S20</w:t>
            </w:r>
          </w:p>
        </w:tc>
      </w:tr>
      <w:tr w:rsidR="00F930F6" w:rsidRPr="00F930F6" w14:paraId="1A26FA66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457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East Bering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A0C1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Theragra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chalcogramma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BA44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Bering Sea walleye </w:t>
            </w: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pollock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BEB6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1746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1.25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9306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28A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F9A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S21</w:t>
            </w:r>
          </w:p>
        </w:tc>
      </w:tr>
      <w:tr w:rsidR="00F930F6" w:rsidRPr="00F930F6" w14:paraId="44102AA0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CB28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East Bering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AEE5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Anoplopoma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fimbria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8092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Sablefish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6B2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C833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0.93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2612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3657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6B1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S22</w:t>
            </w:r>
          </w:p>
        </w:tc>
      </w:tr>
      <w:tr w:rsidR="00F930F6" w:rsidRPr="00F930F6" w14:paraId="4FC2DCA2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15F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East Bering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7668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Reinhardtius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stomias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26CE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Arrowtooth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flounder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A16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9E5A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2.68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AEA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DD5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33B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S23</w:t>
            </w:r>
          </w:p>
        </w:tc>
      </w:tr>
      <w:tr w:rsidR="00F930F6" w:rsidRPr="00F930F6" w14:paraId="142E5B75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202D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East Bering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125A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Hippoglossoides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elassodon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BC6D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Flathead sole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4346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DA49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1.75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22D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A4B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18D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S24</w:t>
            </w:r>
          </w:p>
        </w:tc>
      </w:tr>
      <w:tr w:rsidR="00F930F6" w:rsidRPr="00F930F6" w14:paraId="537548E6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5F6F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East Bering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0D8C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Gadus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macrocephalus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A719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Pacific cod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5202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EE18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0.86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E09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0.88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D55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DFB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S25</w:t>
            </w:r>
          </w:p>
        </w:tc>
      </w:tr>
      <w:tr w:rsidR="00F930F6" w:rsidRPr="00F930F6" w14:paraId="291A4B58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8754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Gulf of Alaska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914F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Theragra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chalcogramma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5DD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Walleye </w:t>
            </w: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pollock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C849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87C9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0.78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201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8FD8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F16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S26</w:t>
            </w:r>
          </w:p>
        </w:tc>
      </w:tr>
      <w:tr w:rsidR="00F930F6" w:rsidRPr="00F930F6" w14:paraId="7A310A87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3A6B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lastRenderedPageBreak/>
              <w:t>Gulf of Alaska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17B3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Gadus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macrocephalus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1F8C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Pacific cod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F888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357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1.21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3CE7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35D2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933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S27</w:t>
            </w:r>
          </w:p>
        </w:tc>
      </w:tr>
      <w:tr w:rsidR="00F930F6" w:rsidRPr="00F930F6" w14:paraId="455F3955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D8AD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Gulf of Alaska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3398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Reinhardtius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stomias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4AC0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Arrowtooth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flounder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7D6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56C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2.62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9DB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0.09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F003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72F7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S28</w:t>
            </w:r>
          </w:p>
        </w:tc>
      </w:tr>
      <w:tr w:rsidR="00F930F6" w:rsidRPr="00F930F6" w14:paraId="40DBF4F1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5648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Gulf of Alaska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F149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Hippoglossoides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elassodon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2B01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Flathead sole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82A8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30D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2.40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585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9A5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AC9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S29</w:t>
            </w:r>
          </w:p>
        </w:tc>
      </w:tr>
      <w:tr w:rsidR="00F930F6" w:rsidRPr="00F930F6" w14:paraId="7416D62D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993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Gulf of Alaska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C0C1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Glyptocephalus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zachirus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6390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Rex sole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4EA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2009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01A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2.30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AC4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B089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31D7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S30</w:t>
            </w:r>
          </w:p>
        </w:tc>
      </w:tr>
      <w:tr w:rsidR="00F930F6" w:rsidRPr="00F930F6" w14:paraId="052A1A25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236AB8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Kuroshio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Current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C1DDC1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Hippoglossoides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dubius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64DE7A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Kyoto flathead flounder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B7ABF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4DCF32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12732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D9602A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4AE46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40A3866A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39AA2D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Kuroshio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Current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4244AF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Chionoecetes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opilio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51BA3A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Kyotosnow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crab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6215F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F09457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77CCF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FFB14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416A9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7AF97964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685CA2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Kuroshio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Current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B6A1AC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Oncorhynchus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gorbuscha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650FC3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Iturup Island pink salmon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1A823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02FBD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83F18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D55EA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9DC0C7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391A5E59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B2EF22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Kuroshio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Current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8CC44B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Oncorhynchus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keta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533C0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Iturup Island chum salmon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3296A9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CA9B2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ADEA46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015C7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46182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6EE9F1F7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A25AAB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N/A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7D1FE6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Sander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lucioperca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3D82DC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Lake </w:t>
            </w: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Hjälmaren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pikeperch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D216A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BAD6C3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CDBA2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6A3BC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855A67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632D09A5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74B0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New Zealand Shelf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4368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Macruronus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novaezelandiae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9A7C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Eastern New Zealand </w:t>
            </w: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hoki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7F9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4F7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2.29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B472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562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D13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S31</w:t>
            </w:r>
          </w:p>
        </w:tc>
      </w:tr>
      <w:tr w:rsidR="00F930F6" w:rsidRPr="00F930F6" w14:paraId="69BEC21E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DBC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New Zealand Shelf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3D2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Macruronus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novaezelandiae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F588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Western New Zealand </w:t>
            </w: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hoki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3F9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68B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1.80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FA6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B9F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B2B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S31</w:t>
            </w:r>
          </w:p>
        </w:tc>
      </w:tr>
      <w:tr w:rsidR="00F930F6" w:rsidRPr="00F930F6" w14:paraId="1D9FCFDE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E159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 East Atlantic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F51E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Clupea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harengus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34F3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 East Atlantic herring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18D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72F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1.24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D0B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8AD2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81E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S12</w:t>
            </w:r>
          </w:p>
        </w:tc>
      </w:tr>
      <w:tr w:rsidR="00F930F6" w:rsidRPr="00F930F6" w14:paraId="07A7C0AA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33AB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ED8D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Solea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solea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308A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 Sea sole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CA6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2BC3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0.73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ADD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987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6C13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S32</w:t>
            </w:r>
          </w:p>
        </w:tc>
      </w:tr>
      <w:tr w:rsidR="00F930F6" w:rsidRPr="00F930F6" w14:paraId="1A807F13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F03B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E34C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Clupea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harengus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A89B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 Sea herring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45E3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2009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C77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0.93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19D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F948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2C4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S33</w:t>
            </w:r>
          </w:p>
        </w:tc>
      </w:tr>
      <w:tr w:rsidR="00F930F6" w:rsidRPr="00F930F6" w14:paraId="398F2902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97BE10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635490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Dicentrarchus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labrax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AFEF9B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North Eastern Sea </w:t>
            </w: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sea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bass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87D83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7F6837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CDC78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6CF6D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474E2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2B632350" w14:textId="77777777" w:rsidTr="00F930F6">
        <w:trPr>
          <w:trHeight w:val="2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F39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B4BB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Pollachius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virens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51B5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 Sea saithe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7C8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E10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0.37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842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C7F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B7E9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S34</w:t>
            </w:r>
          </w:p>
        </w:tc>
      </w:tr>
      <w:tr w:rsidR="00F930F6" w:rsidRPr="00F930F6" w14:paraId="13C5A179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4E7A59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B86A5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Mytilus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edulis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D48CC9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Denmark blue shell mussel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29B43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F285F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0AC148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A5AB7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B0CD6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2B9ACB27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D04E64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5C04FC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Mytilus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edulis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37E2EF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North </w:t>
            </w: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Menai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Strait mussel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09A4D2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04D66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A1ACD2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6FBCB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A8B7A9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5E8ABE68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5B33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B109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Melanogrammus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aeglefinus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6355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 Sea haddock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B58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F8F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0.41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0E06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EFA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6342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S34</w:t>
            </w:r>
          </w:p>
        </w:tc>
      </w:tr>
      <w:tr w:rsidR="00F930F6" w:rsidRPr="00F930F6" w14:paraId="0BD5F395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770C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C3FB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Pleuronectes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platessa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25A4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European Plaice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B39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4A8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1.04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946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F7B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B9F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S34</w:t>
            </w:r>
          </w:p>
        </w:tc>
      </w:tr>
      <w:tr w:rsidR="00F930F6" w:rsidRPr="00F930F6" w14:paraId="574CAD9F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5859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Northeast U.S. Shelf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112B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Limanda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ferruginea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795C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Yellowtail Flounder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96F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3636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1.64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8857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3976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452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S35</w:t>
            </w:r>
          </w:p>
        </w:tc>
      </w:tr>
      <w:tr w:rsidR="00F930F6" w:rsidRPr="00F930F6" w14:paraId="30175166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AD942A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Northeast U.S. Shelf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19DC36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Homarus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americanus</w:t>
            </w:r>
            <w:proofErr w:type="spellEnd"/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21CBFF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Eastern Canada offshore lobster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9BE14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1F6E49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D6D782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169322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21F70FBC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9A8BED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Northeast U.S. Shelf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F6BCB9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Geryon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quinquedens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B2AC7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Atlantic deep sea red crab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8F5853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3C552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9C5DEA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CBA72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D9935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39A46E19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5493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Northeast U.S. Shelf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447F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Melanogrammus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aeglefinus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A5B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Haddock 4X5Y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0E5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2009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BD33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1.14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441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014A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47C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S34</w:t>
            </w:r>
          </w:p>
        </w:tc>
      </w:tr>
      <w:tr w:rsidR="00F930F6" w:rsidRPr="00F930F6" w14:paraId="0631C9A2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7AC3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Northeast U.S. Shelf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8833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Melanogrammus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aeglefinus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BBA8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Haddock 5Zejm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FF89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2009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0CF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1.13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97E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8B0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931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S37</w:t>
            </w:r>
          </w:p>
        </w:tc>
      </w:tr>
      <w:tr w:rsidR="00F930F6" w:rsidRPr="00F930F6" w14:paraId="62167215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F643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Pacific High Seas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3AD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Thunnus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alalunga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FD0E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South Pacific albacore tuna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EFB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2006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C2B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2.46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45F6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CEA6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9FC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S38</w:t>
            </w:r>
          </w:p>
        </w:tc>
      </w:tr>
      <w:tr w:rsidR="00F930F6" w:rsidRPr="00F930F6" w14:paraId="64D9C5E4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7E2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Pacific High Seas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4E92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Katsuwonus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pelamis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1DEB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Skipjack tuna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82F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C36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2.67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452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4FD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024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S39</w:t>
            </w:r>
          </w:p>
        </w:tc>
      </w:tr>
      <w:tr w:rsidR="00F930F6" w:rsidRPr="00F930F6" w14:paraId="0BD8F4D9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8997D8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Pacific High Seas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92EF0A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Thunnus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alalunga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E94DF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North Pacific albacore tuna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60D5D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F7B202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74AC99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0E5A6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AFD05A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048EE840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35EEE4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Patagonian shelf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1A744D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Zygochlamys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patagonica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EC6EC9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Patagonian scallop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62F36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2197B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C5BF03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3DC222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4D8FB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54CC5BFE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709C63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Scotian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Shelf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2C8A8E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Pandalus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borealis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CC6EE1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Gulf of St. Lawrence shrimp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C6B35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DABEF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DDB42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55C1B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F673F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720FE554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F20A1F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Scotian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Shelf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7B21D9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Placopecten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magellanicus</w:t>
            </w:r>
            <w:proofErr w:type="spellEnd"/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CE72D4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Eastern Canada offshore scallop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17DF32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DA5323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B4349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534F2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0DCAE625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DDABC5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South China 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137FE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Meretrix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lyrata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1EAADE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Vietnam Ben </w:t>
            </w: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Tre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clam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8DDA57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FE37B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AB2CF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E9956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15E3A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0E67C3DC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EBCB92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Australian Shelf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ED675F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Donax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deltoides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A37E5B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Lakes and Coorong cockle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33308A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DA02EA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AE8A3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FA786A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EA591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7D2183EB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D18ADD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Australian Shelf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C9261D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Aldrichetta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forsteri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C7FA9C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Lakes and Coorong mullet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E5DE8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95DEA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8C34F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D7CDD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00148E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1069F7B2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CEC3CA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Australian Shelf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39C1C5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Argyrosomus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hololepidotus</w:t>
            </w:r>
            <w:proofErr w:type="spellEnd"/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CB94E9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Lakes and Coorong </w:t>
            </w: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mulloway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1C692A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FB44C8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8A5BE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F5D14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110DBE64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5020E9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Australian Shelf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0B5BCB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Macquaria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ambigua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CD49B9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Lakes and Coorong perch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9202EA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86BA7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ADA52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A4BAB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9C664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03B43D9F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4DC610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Australian Shelf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B43571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Panulirus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cygnus</w:t>
            </w:r>
            <w:proofErr w:type="spellEnd"/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7323E3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Western Australia rock lobster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34B4A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022CF3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83436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BE0AE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2AA9C2B7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C093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Subantarctic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High Seas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89A3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Dissostichus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eleginoides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21EF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South Georgia </w:t>
            </w: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toothfish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A0F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21F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1.05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E31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0.90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6FE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B6A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S40</w:t>
            </w:r>
          </w:p>
        </w:tc>
      </w:tr>
      <w:tr w:rsidR="00F930F6" w:rsidRPr="00F930F6" w14:paraId="719DDF12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9FBA1A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Subantarctic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High Seas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B34633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Champsocephalus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gunnari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98C256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South Georgia </w:t>
            </w: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icefish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640C5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3B7C0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1187B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8F236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4F488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2880184C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839DC3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Subantarctic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High Seas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483527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Euphausia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superba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2C07EA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Antarctic krill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38615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FA3AF0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B3F335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86395B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5330B4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  <w:tr w:rsidR="00F930F6" w:rsidRPr="00F930F6" w14:paraId="0AEB8083" w14:textId="77777777" w:rsidTr="00F930F6">
        <w:trPr>
          <w:trHeight w:val="2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EA35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Subantarctic</w:t>
            </w:r>
            <w:proofErr w:type="spellEnd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High Seas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E1D9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</w:pP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Dissostichus</w:t>
            </w:r>
            <w:proofErr w:type="spellEnd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0F6">
              <w:rPr>
                <w:rFonts w:ascii="Times New Roman" w:hAnsi="Times New Roman"/>
                <w:i/>
                <w:iCs/>
                <w:sz w:val="18"/>
                <w:szCs w:val="18"/>
                <w:lang w:bidi="ar-SA"/>
              </w:rPr>
              <w:t>mawsoni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1F92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Ross Sea </w:t>
            </w:r>
            <w:proofErr w:type="spellStart"/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toothfish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E06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C53D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1.60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7081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F04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F2AC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S41</w:t>
            </w:r>
          </w:p>
        </w:tc>
      </w:tr>
      <w:tr w:rsidR="00F930F6" w:rsidRPr="00F930F6" w14:paraId="0B2658DC" w14:textId="77777777" w:rsidTr="00F930F6">
        <w:trPr>
          <w:trHeight w:val="69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DD4C5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83F5E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3BCA9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96C1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5BB19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7A61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CA66F" w14:textId="77777777" w:rsidR="00F930F6" w:rsidRPr="00F930F6" w:rsidRDefault="00F930F6" w:rsidP="00F93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9F2DA" w14:textId="77777777" w:rsidR="00F930F6" w:rsidRPr="00F930F6" w:rsidRDefault="00F930F6" w:rsidP="00F9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F930F6">
              <w:rPr>
                <w:rFonts w:ascii="Times New Roman" w:hAnsi="Times New Roman"/>
                <w:sz w:val="18"/>
                <w:szCs w:val="18"/>
                <w:lang w:bidi="ar-SA"/>
              </w:rPr>
              <w:t> </w:t>
            </w:r>
          </w:p>
        </w:tc>
      </w:tr>
    </w:tbl>
    <w:p w14:paraId="19B55BE5" w14:textId="77777777" w:rsidR="00D83E7C" w:rsidRDefault="00D83E7C" w:rsidP="00D316BB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</w:p>
    <w:sectPr w:rsidR="00D83E7C" w:rsidSect="008E4F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50755" w14:textId="77777777" w:rsidR="009B345D" w:rsidRDefault="009B345D" w:rsidP="00EA4015">
      <w:pPr>
        <w:spacing w:after="0" w:line="240" w:lineRule="auto"/>
      </w:pPr>
      <w:r>
        <w:separator/>
      </w:r>
    </w:p>
  </w:endnote>
  <w:endnote w:type="continuationSeparator" w:id="0">
    <w:p w14:paraId="30BFF2A5" w14:textId="77777777" w:rsidR="009B345D" w:rsidRDefault="009B345D" w:rsidP="00EA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C8A95" w14:textId="77777777" w:rsidR="009B345D" w:rsidRDefault="009B345D" w:rsidP="00EA4015">
      <w:pPr>
        <w:spacing w:after="0" w:line="240" w:lineRule="auto"/>
      </w:pPr>
      <w:r>
        <w:separator/>
      </w:r>
    </w:p>
  </w:footnote>
  <w:footnote w:type="continuationSeparator" w:id="0">
    <w:p w14:paraId="384EF001" w14:textId="77777777" w:rsidR="009B345D" w:rsidRDefault="009B345D" w:rsidP="00EA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F60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A725A9"/>
    <w:multiLevelType w:val="hybridMultilevel"/>
    <w:tmpl w:val="53463B66"/>
    <w:lvl w:ilvl="0" w:tplc="DD189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6274"/>
    <w:multiLevelType w:val="hybridMultilevel"/>
    <w:tmpl w:val="B12EB1C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D5EBB"/>
    <w:multiLevelType w:val="hybridMultilevel"/>
    <w:tmpl w:val="A692B4A2"/>
    <w:lvl w:ilvl="0" w:tplc="B00EA8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75DEF"/>
    <w:multiLevelType w:val="hybridMultilevel"/>
    <w:tmpl w:val="F484119A"/>
    <w:lvl w:ilvl="0" w:tplc="8F0C20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B1"/>
    <w:rsid w:val="0001350E"/>
    <w:rsid w:val="00030279"/>
    <w:rsid w:val="000359BD"/>
    <w:rsid w:val="00041C23"/>
    <w:rsid w:val="0004381D"/>
    <w:rsid w:val="000461C6"/>
    <w:rsid w:val="00046F5A"/>
    <w:rsid w:val="00053808"/>
    <w:rsid w:val="00054CFA"/>
    <w:rsid w:val="00056A5B"/>
    <w:rsid w:val="0006188F"/>
    <w:rsid w:val="00081BD0"/>
    <w:rsid w:val="000A00E2"/>
    <w:rsid w:val="000A5423"/>
    <w:rsid w:val="000A5891"/>
    <w:rsid w:val="000B2CDD"/>
    <w:rsid w:val="000B7249"/>
    <w:rsid w:val="000D1CA6"/>
    <w:rsid w:val="000D3464"/>
    <w:rsid w:val="000E6CDB"/>
    <w:rsid w:val="00115B8D"/>
    <w:rsid w:val="0013215A"/>
    <w:rsid w:val="0013324F"/>
    <w:rsid w:val="001351D1"/>
    <w:rsid w:val="00147D76"/>
    <w:rsid w:val="0015085F"/>
    <w:rsid w:val="00161536"/>
    <w:rsid w:val="001756D0"/>
    <w:rsid w:val="00175F76"/>
    <w:rsid w:val="00183C4A"/>
    <w:rsid w:val="001952A0"/>
    <w:rsid w:val="001A0F32"/>
    <w:rsid w:val="001B6D87"/>
    <w:rsid w:val="001D410F"/>
    <w:rsid w:val="001D5A6D"/>
    <w:rsid w:val="001E630A"/>
    <w:rsid w:val="001F3DC0"/>
    <w:rsid w:val="00202E68"/>
    <w:rsid w:val="00206918"/>
    <w:rsid w:val="0021480E"/>
    <w:rsid w:val="0023001C"/>
    <w:rsid w:val="00231DA3"/>
    <w:rsid w:val="00236A62"/>
    <w:rsid w:val="00247EDC"/>
    <w:rsid w:val="002624A3"/>
    <w:rsid w:val="0026427A"/>
    <w:rsid w:val="0027168E"/>
    <w:rsid w:val="002746A7"/>
    <w:rsid w:val="0028387A"/>
    <w:rsid w:val="0028594D"/>
    <w:rsid w:val="00295A7E"/>
    <w:rsid w:val="00296DE4"/>
    <w:rsid w:val="002B3605"/>
    <w:rsid w:val="002C0757"/>
    <w:rsid w:val="002C124C"/>
    <w:rsid w:val="002C7AB3"/>
    <w:rsid w:val="002D0491"/>
    <w:rsid w:val="002D3F2C"/>
    <w:rsid w:val="002D5342"/>
    <w:rsid w:val="002E46A1"/>
    <w:rsid w:val="002E6680"/>
    <w:rsid w:val="002F58EF"/>
    <w:rsid w:val="00300286"/>
    <w:rsid w:val="00304989"/>
    <w:rsid w:val="00307C71"/>
    <w:rsid w:val="00310945"/>
    <w:rsid w:val="00313106"/>
    <w:rsid w:val="00324B05"/>
    <w:rsid w:val="003275F0"/>
    <w:rsid w:val="003300DC"/>
    <w:rsid w:val="0033102D"/>
    <w:rsid w:val="00334A71"/>
    <w:rsid w:val="003369E9"/>
    <w:rsid w:val="003423FC"/>
    <w:rsid w:val="00346017"/>
    <w:rsid w:val="00365017"/>
    <w:rsid w:val="00365AFA"/>
    <w:rsid w:val="00367914"/>
    <w:rsid w:val="003765E6"/>
    <w:rsid w:val="00376912"/>
    <w:rsid w:val="003917FF"/>
    <w:rsid w:val="003966A8"/>
    <w:rsid w:val="00396F20"/>
    <w:rsid w:val="00397A7C"/>
    <w:rsid w:val="003A4F4F"/>
    <w:rsid w:val="003A5C96"/>
    <w:rsid w:val="003A723E"/>
    <w:rsid w:val="003B5F3B"/>
    <w:rsid w:val="003B7916"/>
    <w:rsid w:val="003C5901"/>
    <w:rsid w:val="003C6119"/>
    <w:rsid w:val="003D6F63"/>
    <w:rsid w:val="003E3390"/>
    <w:rsid w:val="003F3EE8"/>
    <w:rsid w:val="003F76B9"/>
    <w:rsid w:val="0040773C"/>
    <w:rsid w:val="004078BF"/>
    <w:rsid w:val="0043407E"/>
    <w:rsid w:val="004340B5"/>
    <w:rsid w:val="00444251"/>
    <w:rsid w:val="00447D86"/>
    <w:rsid w:val="00450EEF"/>
    <w:rsid w:val="00454D3D"/>
    <w:rsid w:val="00457010"/>
    <w:rsid w:val="004611FD"/>
    <w:rsid w:val="00467238"/>
    <w:rsid w:val="004706C6"/>
    <w:rsid w:val="00474388"/>
    <w:rsid w:val="00477C24"/>
    <w:rsid w:val="00481034"/>
    <w:rsid w:val="004854C8"/>
    <w:rsid w:val="0049046D"/>
    <w:rsid w:val="00492770"/>
    <w:rsid w:val="004A3A35"/>
    <w:rsid w:val="004B0346"/>
    <w:rsid w:val="004B2F34"/>
    <w:rsid w:val="004B3E16"/>
    <w:rsid w:val="004F0A5B"/>
    <w:rsid w:val="004F0CA1"/>
    <w:rsid w:val="004F3EE7"/>
    <w:rsid w:val="004F7AD1"/>
    <w:rsid w:val="005102BA"/>
    <w:rsid w:val="00533C63"/>
    <w:rsid w:val="00544B1B"/>
    <w:rsid w:val="0055792B"/>
    <w:rsid w:val="005643EC"/>
    <w:rsid w:val="00574E8E"/>
    <w:rsid w:val="005830EC"/>
    <w:rsid w:val="005910D1"/>
    <w:rsid w:val="00594170"/>
    <w:rsid w:val="00596144"/>
    <w:rsid w:val="005A3635"/>
    <w:rsid w:val="005A61E3"/>
    <w:rsid w:val="005A7002"/>
    <w:rsid w:val="005B7DB6"/>
    <w:rsid w:val="005C21F6"/>
    <w:rsid w:val="005D53F2"/>
    <w:rsid w:val="005E260E"/>
    <w:rsid w:val="005E3AFE"/>
    <w:rsid w:val="006135EA"/>
    <w:rsid w:val="00616293"/>
    <w:rsid w:val="00626408"/>
    <w:rsid w:val="00643488"/>
    <w:rsid w:val="0064435C"/>
    <w:rsid w:val="00646411"/>
    <w:rsid w:val="00650E63"/>
    <w:rsid w:val="00652D7A"/>
    <w:rsid w:val="006653AC"/>
    <w:rsid w:val="00666E9A"/>
    <w:rsid w:val="00667D1F"/>
    <w:rsid w:val="00667E1E"/>
    <w:rsid w:val="006742B9"/>
    <w:rsid w:val="006744BD"/>
    <w:rsid w:val="00681161"/>
    <w:rsid w:val="00682E3F"/>
    <w:rsid w:val="006855D2"/>
    <w:rsid w:val="0069020A"/>
    <w:rsid w:val="00692608"/>
    <w:rsid w:val="006A7E68"/>
    <w:rsid w:val="006C09D3"/>
    <w:rsid w:val="006C64C8"/>
    <w:rsid w:val="006E33C8"/>
    <w:rsid w:val="006E4666"/>
    <w:rsid w:val="006E5DA7"/>
    <w:rsid w:val="00702760"/>
    <w:rsid w:val="007039DD"/>
    <w:rsid w:val="00711060"/>
    <w:rsid w:val="00721498"/>
    <w:rsid w:val="00724353"/>
    <w:rsid w:val="00724A63"/>
    <w:rsid w:val="007260CE"/>
    <w:rsid w:val="0073054B"/>
    <w:rsid w:val="00732921"/>
    <w:rsid w:val="00735527"/>
    <w:rsid w:val="007660A7"/>
    <w:rsid w:val="0077529C"/>
    <w:rsid w:val="00781FB1"/>
    <w:rsid w:val="0078274A"/>
    <w:rsid w:val="00787070"/>
    <w:rsid w:val="00797EF8"/>
    <w:rsid w:val="007B3261"/>
    <w:rsid w:val="007B7B83"/>
    <w:rsid w:val="007C57B7"/>
    <w:rsid w:val="007C585B"/>
    <w:rsid w:val="007D152C"/>
    <w:rsid w:val="007D1D9A"/>
    <w:rsid w:val="007D43A4"/>
    <w:rsid w:val="007E66C2"/>
    <w:rsid w:val="00802BE4"/>
    <w:rsid w:val="0081352B"/>
    <w:rsid w:val="0082086F"/>
    <w:rsid w:val="008224C9"/>
    <w:rsid w:val="00826623"/>
    <w:rsid w:val="008345EF"/>
    <w:rsid w:val="008403A1"/>
    <w:rsid w:val="008517E0"/>
    <w:rsid w:val="0085671E"/>
    <w:rsid w:val="00857D06"/>
    <w:rsid w:val="00857D9D"/>
    <w:rsid w:val="00862577"/>
    <w:rsid w:val="008645C9"/>
    <w:rsid w:val="0086652B"/>
    <w:rsid w:val="008708E9"/>
    <w:rsid w:val="00885E68"/>
    <w:rsid w:val="008A11BF"/>
    <w:rsid w:val="008B65F4"/>
    <w:rsid w:val="008C26E3"/>
    <w:rsid w:val="008C5717"/>
    <w:rsid w:val="008D3DBA"/>
    <w:rsid w:val="008D6143"/>
    <w:rsid w:val="008D7961"/>
    <w:rsid w:val="008E4F5F"/>
    <w:rsid w:val="008F3341"/>
    <w:rsid w:val="008F5395"/>
    <w:rsid w:val="00914503"/>
    <w:rsid w:val="009522F0"/>
    <w:rsid w:val="00956F48"/>
    <w:rsid w:val="00965B57"/>
    <w:rsid w:val="009739FE"/>
    <w:rsid w:val="00973BE7"/>
    <w:rsid w:val="009743AF"/>
    <w:rsid w:val="0098159B"/>
    <w:rsid w:val="009822EE"/>
    <w:rsid w:val="00994E86"/>
    <w:rsid w:val="009967E5"/>
    <w:rsid w:val="009A0967"/>
    <w:rsid w:val="009B114B"/>
    <w:rsid w:val="009B2328"/>
    <w:rsid w:val="009B345D"/>
    <w:rsid w:val="009B455D"/>
    <w:rsid w:val="009B79AD"/>
    <w:rsid w:val="009C7732"/>
    <w:rsid w:val="009D539D"/>
    <w:rsid w:val="009E18B9"/>
    <w:rsid w:val="009E4A23"/>
    <w:rsid w:val="009F0BA6"/>
    <w:rsid w:val="009F23E4"/>
    <w:rsid w:val="00A02E95"/>
    <w:rsid w:val="00A038B5"/>
    <w:rsid w:val="00A10EE4"/>
    <w:rsid w:val="00A14A84"/>
    <w:rsid w:val="00A23B95"/>
    <w:rsid w:val="00A31977"/>
    <w:rsid w:val="00A41CC3"/>
    <w:rsid w:val="00A42AC8"/>
    <w:rsid w:val="00A66B9D"/>
    <w:rsid w:val="00A672B2"/>
    <w:rsid w:val="00A7152E"/>
    <w:rsid w:val="00A734F9"/>
    <w:rsid w:val="00A77D97"/>
    <w:rsid w:val="00A84978"/>
    <w:rsid w:val="00A85B73"/>
    <w:rsid w:val="00A87A44"/>
    <w:rsid w:val="00AA6473"/>
    <w:rsid w:val="00AA6FE3"/>
    <w:rsid w:val="00AA767B"/>
    <w:rsid w:val="00AB38C9"/>
    <w:rsid w:val="00AB5886"/>
    <w:rsid w:val="00AB6088"/>
    <w:rsid w:val="00AC226F"/>
    <w:rsid w:val="00AC25F2"/>
    <w:rsid w:val="00AC2855"/>
    <w:rsid w:val="00AD0B26"/>
    <w:rsid w:val="00AD4F37"/>
    <w:rsid w:val="00AE1906"/>
    <w:rsid w:val="00AE5153"/>
    <w:rsid w:val="00AF15DE"/>
    <w:rsid w:val="00AF33FF"/>
    <w:rsid w:val="00B06498"/>
    <w:rsid w:val="00B14B38"/>
    <w:rsid w:val="00B22993"/>
    <w:rsid w:val="00B30848"/>
    <w:rsid w:val="00B3106A"/>
    <w:rsid w:val="00B316D2"/>
    <w:rsid w:val="00B52757"/>
    <w:rsid w:val="00B530FE"/>
    <w:rsid w:val="00B56227"/>
    <w:rsid w:val="00B569F9"/>
    <w:rsid w:val="00B67D9F"/>
    <w:rsid w:val="00B745C2"/>
    <w:rsid w:val="00B81BBA"/>
    <w:rsid w:val="00B834E3"/>
    <w:rsid w:val="00BA1FB5"/>
    <w:rsid w:val="00BA490F"/>
    <w:rsid w:val="00BB7FB2"/>
    <w:rsid w:val="00BC3E1A"/>
    <w:rsid w:val="00BC43DC"/>
    <w:rsid w:val="00BC709A"/>
    <w:rsid w:val="00BF2BD6"/>
    <w:rsid w:val="00BF7014"/>
    <w:rsid w:val="00C025E7"/>
    <w:rsid w:val="00C07A91"/>
    <w:rsid w:val="00C10F19"/>
    <w:rsid w:val="00C15735"/>
    <w:rsid w:val="00C173CC"/>
    <w:rsid w:val="00C21442"/>
    <w:rsid w:val="00C24CFF"/>
    <w:rsid w:val="00C27055"/>
    <w:rsid w:val="00C513E6"/>
    <w:rsid w:val="00C53B7D"/>
    <w:rsid w:val="00C53D52"/>
    <w:rsid w:val="00C55895"/>
    <w:rsid w:val="00C76E23"/>
    <w:rsid w:val="00C872F7"/>
    <w:rsid w:val="00C94532"/>
    <w:rsid w:val="00CA7F20"/>
    <w:rsid w:val="00CD2453"/>
    <w:rsid w:val="00CD2E84"/>
    <w:rsid w:val="00CD5BB1"/>
    <w:rsid w:val="00CD62C8"/>
    <w:rsid w:val="00CF3278"/>
    <w:rsid w:val="00D268C0"/>
    <w:rsid w:val="00D26E7C"/>
    <w:rsid w:val="00D27521"/>
    <w:rsid w:val="00D3021A"/>
    <w:rsid w:val="00D316BB"/>
    <w:rsid w:val="00D32C71"/>
    <w:rsid w:val="00D35D37"/>
    <w:rsid w:val="00D4317B"/>
    <w:rsid w:val="00D47E2F"/>
    <w:rsid w:val="00D5401D"/>
    <w:rsid w:val="00D63139"/>
    <w:rsid w:val="00D72577"/>
    <w:rsid w:val="00D83E7C"/>
    <w:rsid w:val="00D85C43"/>
    <w:rsid w:val="00DA016B"/>
    <w:rsid w:val="00DA1283"/>
    <w:rsid w:val="00DB3E7F"/>
    <w:rsid w:val="00DC207E"/>
    <w:rsid w:val="00DC2483"/>
    <w:rsid w:val="00DC2B0C"/>
    <w:rsid w:val="00DD161B"/>
    <w:rsid w:val="00DD3F5C"/>
    <w:rsid w:val="00DE2B6A"/>
    <w:rsid w:val="00DF356D"/>
    <w:rsid w:val="00DF40C0"/>
    <w:rsid w:val="00E02FDF"/>
    <w:rsid w:val="00E039F0"/>
    <w:rsid w:val="00E147FB"/>
    <w:rsid w:val="00E2204A"/>
    <w:rsid w:val="00E25387"/>
    <w:rsid w:val="00E3016E"/>
    <w:rsid w:val="00E35FFF"/>
    <w:rsid w:val="00E367E8"/>
    <w:rsid w:val="00E4072C"/>
    <w:rsid w:val="00E40782"/>
    <w:rsid w:val="00E55D77"/>
    <w:rsid w:val="00E65BBE"/>
    <w:rsid w:val="00E70237"/>
    <w:rsid w:val="00E84E39"/>
    <w:rsid w:val="00E9579D"/>
    <w:rsid w:val="00E9721B"/>
    <w:rsid w:val="00EA16D8"/>
    <w:rsid w:val="00EA3CE4"/>
    <w:rsid w:val="00EA4015"/>
    <w:rsid w:val="00ED27D5"/>
    <w:rsid w:val="00EE1E0D"/>
    <w:rsid w:val="00EE5903"/>
    <w:rsid w:val="00EE6397"/>
    <w:rsid w:val="00EF52AF"/>
    <w:rsid w:val="00F0765C"/>
    <w:rsid w:val="00F16BFE"/>
    <w:rsid w:val="00F40246"/>
    <w:rsid w:val="00F47D2A"/>
    <w:rsid w:val="00F505F5"/>
    <w:rsid w:val="00F507B3"/>
    <w:rsid w:val="00F54BB9"/>
    <w:rsid w:val="00F63D20"/>
    <w:rsid w:val="00F678CD"/>
    <w:rsid w:val="00F81784"/>
    <w:rsid w:val="00F85B1E"/>
    <w:rsid w:val="00F8740F"/>
    <w:rsid w:val="00F87C95"/>
    <w:rsid w:val="00F930F6"/>
    <w:rsid w:val="00FA652E"/>
    <w:rsid w:val="00FB62DD"/>
    <w:rsid w:val="00FC0B20"/>
    <w:rsid w:val="00FC30F8"/>
    <w:rsid w:val="00FC35AF"/>
    <w:rsid w:val="00FD2815"/>
    <w:rsid w:val="00FE2BFC"/>
    <w:rsid w:val="00FE4127"/>
    <w:rsid w:val="00FE4588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403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81FB1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81FB1"/>
    <w:rPr>
      <w:rFonts w:ascii="Tahoma" w:eastAsia="Times New Roman" w:hAnsi="Tahoma" w:cs="Tahoma"/>
      <w:sz w:val="16"/>
    </w:rPr>
  </w:style>
  <w:style w:type="paragraph" w:customStyle="1" w:styleId="ColorfulShading-Accent31">
    <w:name w:val="Colorful Shading - Accent 31"/>
    <w:basedOn w:val="Normal"/>
    <w:qFormat/>
    <w:rsid w:val="0083446A"/>
    <w:pPr>
      <w:ind w:left="720"/>
      <w:contextualSpacing/>
    </w:pPr>
  </w:style>
  <w:style w:type="paragraph" w:customStyle="1" w:styleId="p">
    <w:name w:val="p"/>
    <w:rsid w:val="0083446A"/>
    <w:pPr>
      <w:spacing w:after="360" w:line="480" w:lineRule="atLeast"/>
      <w:ind w:firstLine="567"/>
    </w:pPr>
    <w:rPr>
      <w:rFonts w:ascii="Times New Roman" w:hAnsi="Times New Roman"/>
      <w:sz w:val="24"/>
      <w:lang w:val="en-GB" w:bidi="en-US"/>
    </w:rPr>
  </w:style>
  <w:style w:type="character" w:styleId="CommentReference">
    <w:name w:val="annotation reference"/>
    <w:semiHidden/>
    <w:rsid w:val="00DB25E1"/>
    <w:rPr>
      <w:sz w:val="16"/>
    </w:rPr>
  </w:style>
  <w:style w:type="paragraph" w:styleId="CommentText">
    <w:name w:val="annotation text"/>
    <w:basedOn w:val="Normal"/>
    <w:semiHidden/>
    <w:rsid w:val="00DB25E1"/>
    <w:rPr>
      <w:sz w:val="20"/>
      <w:szCs w:val="20"/>
    </w:rPr>
  </w:style>
  <w:style w:type="character" w:customStyle="1" w:styleId="CommentTextChar">
    <w:name w:val="Comment Text Char"/>
    <w:semiHidden/>
    <w:rsid w:val="00DB25E1"/>
    <w:rPr>
      <w:rFonts w:ascii="Calibri" w:eastAsia="Times New Roman" w:hAnsi="Calibri" w:cs="Times New Roman"/>
      <w:sz w:val="20"/>
    </w:rPr>
  </w:style>
  <w:style w:type="paragraph" w:styleId="Header">
    <w:name w:val="header"/>
    <w:basedOn w:val="Normal"/>
    <w:semiHidden/>
    <w:rsid w:val="00DB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semiHidden/>
    <w:rsid w:val="00DB25E1"/>
    <w:rPr>
      <w:rFonts w:ascii="Calibri" w:eastAsia="Times New Roman" w:hAnsi="Calibri" w:cs="Times New Roman"/>
    </w:rPr>
  </w:style>
  <w:style w:type="paragraph" w:styleId="Footer">
    <w:name w:val="footer"/>
    <w:basedOn w:val="Normal"/>
    <w:semiHidden/>
    <w:rsid w:val="00DB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rsid w:val="00DB25E1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semiHidden/>
    <w:rsid w:val="005956F6"/>
    <w:pPr>
      <w:spacing w:line="240" w:lineRule="auto"/>
    </w:pPr>
    <w:rPr>
      <w:b/>
      <w:bCs/>
    </w:rPr>
  </w:style>
  <w:style w:type="character" w:customStyle="1" w:styleId="CommentSubjectChar">
    <w:name w:val="Comment Subject Char"/>
    <w:semiHidden/>
    <w:rsid w:val="005956F6"/>
    <w:rPr>
      <w:rFonts w:ascii="Calibri" w:eastAsia="Times New Roman" w:hAnsi="Calibri" w:cs="Times New Roman"/>
      <w:b/>
      <w:bCs/>
      <w:sz w:val="20"/>
    </w:rPr>
  </w:style>
  <w:style w:type="character" w:styleId="Hyperlink">
    <w:name w:val="Hyperlink"/>
    <w:uiPriority w:val="99"/>
    <w:unhideWhenUsed/>
    <w:rsid w:val="003369E9"/>
    <w:rPr>
      <w:color w:val="0000FF"/>
      <w:u w:val="single"/>
    </w:rPr>
  </w:style>
  <w:style w:type="character" w:customStyle="1" w:styleId="apple-style-span">
    <w:name w:val="apple-style-span"/>
    <w:rsid w:val="00F8740F"/>
  </w:style>
  <w:style w:type="paragraph" w:customStyle="1" w:styleId="Default">
    <w:name w:val="Default"/>
    <w:rsid w:val="002C0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E5DA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81FB1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81FB1"/>
    <w:rPr>
      <w:rFonts w:ascii="Tahoma" w:eastAsia="Times New Roman" w:hAnsi="Tahoma" w:cs="Tahoma"/>
      <w:sz w:val="16"/>
    </w:rPr>
  </w:style>
  <w:style w:type="paragraph" w:customStyle="1" w:styleId="ColorfulShading-Accent31">
    <w:name w:val="Colorful Shading - Accent 31"/>
    <w:basedOn w:val="Normal"/>
    <w:qFormat/>
    <w:rsid w:val="0083446A"/>
    <w:pPr>
      <w:ind w:left="720"/>
      <w:contextualSpacing/>
    </w:pPr>
  </w:style>
  <w:style w:type="paragraph" w:customStyle="1" w:styleId="p">
    <w:name w:val="p"/>
    <w:rsid w:val="0083446A"/>
    <w:pPr>
      <w:spacing w:after="360" w:line="480" w:lineRule="atLeast"/>
      <w:ind w:firstLine="567"/>
    </w:pPr>
    <w:rPr>
      <w:rFonts w:ascii="Times New Roman" w:hAnsi="Times New Roman"/>
      <w:sz w:val="24"/>
      <w:lang w:val="en-GB" w:bidi="en-US"/>
    </w:rPr>
  </w:style>
  <w:style w:type="character" w:styleId="CommentReference">
    <w:name w:val="annotation reference"/>
    <w:semiHidden/>
    <w:rsid w:val="00DB25E1"/>
    <w:rPr>
      <w:sz w:val="16"/>
    </w:rPr>
  </w:style>
  <w:style w:type="paragraph" w:styleId="CommentText">
    <w:name w:val="annotation text"/>
    <w:basedOn w:val="Normal"/>
    <w:semiHidden/>
    <w:rsid w:val="00DB25E1"/>
    <w:rPr>
      <w:sz w:val="20"/>
      <w:szCs w:val="20"/>
    </w:rPr>
  </w:style>
  <w:style w:type="character" w:customStyle="1" w:styleId="CommentTextChar">
    <w:name w:val="Comment Text Char"/>
    <w:semiHidden/>
    <w:rsid w:val="00DB25E1"/>
    <w:rPr>
      <w:rFonts w:ascii="Calibri" w:eastAsia="Times New Roman" w:hAnsi="Calibri" w:cs="Times New Roman"/>
      <w:sz w:val="20"/>
    </w:rPr>
  </w:style>
  <w:style w:type="paragraph" w:styleId="Header">
    <w:name w:val="header"/>
    <w:basedOn w:val="Normal"/>
    <w:semiHidden/>
    <w:rsid w:val="00DB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semiHidden/>
    <w:rsid w:val="00DB25E1"/>
    <w:rPr>
      <w:rFonts w:ascii="Calibri" w:eastAsia="Times New Roman" w:hAnsi="Calibri" w:cs="Times New Roman"/>
    </w:rPr>
  </w:style>
  <w:style w:type="paragraph" w:styleId="Footer">
    <w:name w:val="footer"/>
    <w:basedOn w:val="Normal"/>
    <w:semiHidden/>
    <w:rsid w:val="00DB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rsid w:val="00DB25E1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semiHidden/>
    <w:rsid w:val="005956F6"/>
    <w:pPr>
      <w:spacing w:line="240" w:lineRule="auto"/>
    </w:pPr>
    <w:rPr>
      <w:b/>
      <w:bCs/>
    </w:rPr>
  </w:style>
  <w:style w:type="character" w:customStyle="1" w:styleId="CommentSubjectChar">
    <w:name w:val="Comment Subject Char"/>
    <w:semiHidden/>
    <w:rsid w:val="005956F6"/>
    <w:rPr>
      <w:rFonts w:ascii="Calibri" w:eastAsia="Times New Roman" w:hAnsi="Calibri" w:cs="Times New Roman"/>
      <w:b/>
      <w:bCs/>
      <w:sz w:val="20"/>
    </w:rPr>
  </w:style>
  <w:style w:type="character" w:styleId="Hyperlink">
    <w:name w:val="Hyperlink"/>
    <w:uiPriority w:val="99"/>
    <w:unhideWhenUsed/>
    <w:rsid w:val="003369E9"/>
    <w:rPr>
      <w:color w:val="0000FF"/>
      <w:u w:val="single"/>
    </w:rPr>
  </w:style>
  <w:style w:type="character" w:customStyle="1" w:styleId="apple-style-span">
    <w:name w:val="apple-style-span"/>
    <w:rsid w:val="00F8740F"/>
  </w:style>
  <w:style w:type="paragraph" w:customStyle="1" w:styleId="Default">
    <w:name w:val="Default"/>
    <w:rsid w:val="002C0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E5D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E3B3AF-24F5-8B4A-8415-70851CB0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5267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Nico’s suggestions:</vt:lpstr>
    </vt:vector>
  </TitlesOfParts>
  <Company>MSC</Company>
  <LinksUpToDate>false</LinksUpToDate>
  <CharactersWithSpaces>6179</CharactersWithSpaces>
  <SharedDoc>false</SharedDoc>
  <HLinks>
    <vt:vector size="156" baseType="variant">
      <vt:variant>
        <vt:i4>4259931</vt:i4>
      </vt:variant>
      <vt:variant>
        <vt:i4>75</vt:i4>
      </vt:variant>
      <vt:variant>
        <vt:i4>0</vt:i4>
      </vt:variant>
      <vt:variant>
        <vt:i4>5</vt:i4>
      </vt:variant>
      <vt:variant>
        <vt:lpwstr>http://www.iotc.org/files/proceedings/2010/wptt/IOTC-2010-WPTT-23.pdf</vt:lpwstr>
      </vt:variant>
      <vt:variant>
        <vt:lpwstr/>
      </vt:variant>
      <vt:variant>
        <vt:i4>3145830</vt:i4>
      </vt:variant>
      <vt:variant>
        <vt:i4>72</vt:i4>
      </vt:variant>
      <vt:variant>
        <vt:i4>0</vt:i4>
      </vt:variant>
      <vt:variant>
        <vt:i4>5</vt:i4>
      </vt:variant>
      <vt:variant>
        <vt:lpwstr>http://www.iattc.org/Meetings2011/May-SAC-Shark/PDFfiles/SAC-02-06-YFT-assessment-2010.pdf</vt:lpwstr>
      </vt:variant>
      <vt:variant>
        <vt:lpwstr/>
      </vt:variant>
      <vt:variant>
        <vt:i4>3604483</vt:i4>
      </vt:variant>
      <vt:variant>
        <vt:i4>69</vt:i4>
      </vt:variant>
      <vt:variant>
        <vt:i4>0</vt:i4>
      </vt:variant>
      <vt:variant>
        <vt:i4>5</vt:i4>
      </vt:variant>
      <vt:variant>
        <vt:lpwstr>http://www.iccat.int/Documents/Meetings/Docs/2010_MED_SWO_ASSESS.pdf</vt:lpwstr>
      </vt:variant>
      <vt:variant>
        <vt:lpwstr/>
      </vt:variant>
      <vt:variant>
        <vt:i4>6553617</vt:i4>
      </vt:variant>
      <vt:variant>
        <vt:i4>66</vt:i4>
      </vt:variant>
      <vt:variant>
        <vt:i4>0</vt:i4>
      </vt:variant>
      <vt:variant>
        <vt:i4>5</vt:i4>
      </vt:variant>
      <vt:variant>
        <vt:lpwstr>http://www.ccsbt.org/userfiles/file/docs_english/meetings/meeting_reports/ccsbt_17/report_of_SC15.pdf</vt:lpwstr>
      </vt:variant>
      <vt:variant>
        <vt:lpwstr/>
      </vt:variant>
      <vt:variant>
        <vt:i4>5701701</vt:i4>
      </vt:variant>
      <vt:variant>
        <vt:i4>63</vt:i4>
      </vt:variant>
      <vt:variant>
        <vt:i4>0</vt:i4>
      </vt:variant>
      <vt:variant>
        <vt:i4>5</vt:i4>
      </vt:variant>
      <vt:variant>
        <vt:lpwstr>http://www.iccat.int/Documents/Meetings/Docs/2008_BFT_STOCK_ASSESS_REP.pdf</vt:lpwstr>
      </vt:variant>
      <vt:variant>
        <vt:lpwstr/>
      </vt:variant>
      <vt:variant>
        <vt:i4>1835019</vt:i4>
      </vt:variant>
      <vt:variant>
        <vt:i4>60</vt:i4>
      </vt:variant>
      <vt:variant>
        <vt:i4>0</vt:i4>
      </vt:variant>
      <vt:variant>
        <vt:i4>5</vt:i4>
      </vt:variant>
      <vt:variant>
        <vt:lpwstr>http://www.iccat.int/Documents/Meetings/Docs/2010_BFT_ASSESS_REP_ENG.pdf</vt:lpwstr>
      </vt:variant>
      <vt:variant>
        <vt:lpwstr/>
      </vt:variant>
      <vt:variant>
        <vt:i4>2752613</vt:i4>
      </vt:variant>
      <vt:variant>
        <vt:i4>57</vt:i4>
      </vt:variant>
      <vt:variant>
        <vt:i4>0</vt:i4>
      </vt:variant>
      <vt:variant>
        <vt:i4>5</vt:i4>
      </vt:variant>
      <vt:variant>
        <vt:lpwstr>http://www.iattc.org/Meetings2011/May-SAC-Shark/PDFfiles/SAC-02-07-BET-assessment-2010.pdf</vt:lpwstr>
      </vt:variant>
      <vt:variant>
        <vt:lpwstr/>
      </vt:variant>
      <vt:variant>
        <vt:i4>917512</vt:i4>
      </vt:variant>
      <vt:variant>
        <vt:i4>54</vt:i4>
      </vt:variant>
      <vt:variant>
        <vt:i4>0</vt:i4>
      </vt:variant>
      <vt:variant>
        <vt:i4>5</vt:i4>
      </vt:variant>
      <vt:variant>
        <vt:lpwstr>http://www.iccat.int/Documents/Meetings/Docs/2010_BET_Assessment_REP_ENG.pdf</vt:lpwstr>
      </vt:variant>
      <vt:variant>
        <vt:lpwstr/>
      </vt:variant>
      <vt:variant>
        <vt:i4>3145908</vt:i4>
      </vt:variant>
      <vt:variant>
        <vt:i4>51</vt:i4>
      </vt:variant>
      <vt:variant>
        <vt:i4>0</vt:i4>
      </vt:variant>
      <vt:variant>
        <vt:i4>5</vt:i4>
      </vt:variant>
      <vt:variant>
        <vt:lpwstr>http://fs.fish.govt.nz/Doc/22702/FINAL Part 1 ver2.pdf</vt:lpwstr>
      </vt:variant>
      <vt:variant>
        <vt:lpwstr/>
      </vt:variant>
      <vt:variant>
        <vt:i4>7405620</vt:i4>
      </vt:variant>
      <vt:variant>
        <vt:i4>48</vt:i4>
      </vt:variant>
      <vt:variant>
        <vt:i4>0</vt:i4>
      </vt:variant>
      <vt:variant>
        <vt:i4>5</vt:i4>
      </vt:variant>
      <vt:variant>
        <vt:lpwstr>http://www.afsc.noaa.gov/refm/docs/2009/GOArex.pdf</vt:lpwstr>
      </vt:variant>
      <vt:variant>
        <vt:lpwstr/>
      </vt:variant>
      <vt:variant>
        <vt:i4>2687090</vt:i4>
      </vt:variant>
      <vt:variant>
        <vt:i4>45</vt:i4>
      </vt:variant>
      <vt:variant>
        <vt:i4>0</vt:i4>
      </vt:variant>
      <vt:variant>
        <vt:i4>5</vt:i4>
      </vt:variant>
      <vt:variant>
        <vt:lpwstr>http://www.afsc.noaa.gov/refm/docs/2009/GOAflathead.pdf</vt:lpwstr>
      </vt:variant>
      <vt:variant>
        <vt:lpwstr/>
      </vt:variant>
      <vt:variant>
        <vt:i4>8126501</vt:i4>
      </vt:variant>
      <vt:variant>
        <vt:i4>42</vt:i4>
      </vt:variant>
      <vt:variant>
        <vt:i4>0</vt:i4>
      </vt:variant>
      <vt:variant>
        <vt:i4>5</vt:i4>
      </vt:variant>
      <vt:variant>
        <vt:lpwstr>http://www.afsc.noaa.gov/refm/docs/2009/GOAatf.pdf</vt:lpwstr>
      </vt:variant>
      <vt:variant>
        <vt:lpwstr/>
      </vt:variant>
      <vt:variant>
        <vt:i4>3735653</vt:i4>
      </vt:variant>
      <vt:variant>
        <vt:i4>39</vt:i4>
      </vt:variant>
      <vt:variant>
        <vt:i4>0</vt:i4>
      </vt:variant>
      <vt:variant>
        <vt:i4>5</vt:i4>
      </vt:variant>
      <vt:variant>
        <vt:lpwstr>http://www.afsc.noaa.gov/REFM/docs/2010/GOApcod.pdf</vt:lpwstr>
      </vt:variant>
      <vt:variant>
        <vt:lpwstr/>
      </vt:variant>
      <vt:variant>
        <vt:i4>6422584</vt:i4>
      </vt:variant>
      <vt:variant>
        <vt:i4>36</vt:i4>
      </vt:variant>
      <vt:variant>
        <vt:i4>0</vt:i4>
      </vt:variant>
      <vt:variant>
        <vt:i4>5</vt:i4>
      </vt:variant>
      <vt:variant>
        <vt:lpwstr>http://www.afsc.noaa.gov/REFM/docs/2010/GOApollock.pdf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http://www.afsc.noaa.gov/REFM/docs/2010/BSAIpcod.pdf</vt:lpwstr>
      </vt:variant>
      <vt:variant>
        <vt:lpwstr/>
      </vt:variant>
      <vt:variant>
        <vt:i4>1441875</vt:i4>
      </vt:variant>
      <vt:variant>
        <vt:i4>30</vt:i4>
      </vt:variant>
      <vt:variant>
        <vt:i4>0</vt:i4>
      </vt:variant>
      <vt:variant>
        <vt:i4>5</vt:i4>
      </vt:variant>
      <vt:variant>
        <vt:lpwstr>http://www.afsc.noaa.gov/REFM/docs/2010/BSAIflathead.pdf</vt:lpwstr>
      </vt:variant>
      <vt:variant>
        <vt:lpwstr/>
      </vt:variant>
      <vt:variant>
        <vt:i4>2556000</vt:i4>
      </vt:variant>
      <vt:variant>
        <vt:i4>27</vt:i4>
      </vt:variant>
      <vt:variant>
        <vt:i4>0</vt:i4>
      </vt:variant>
      <vt:variant>
        <vt:i4>5</vt:i4>
      </vt:variant>
      <vt:variant>
        <vt:lpwstr>http://www.afsc.noaa.gov/REFM/docs/2010/BSAIatf.pdf</vt:lpwstr>
      </vt:variant>
      <vt:variant>
        <vt:lpwstr/>
      </vt:variant>
      <vt:variant>
        <vt:i4>4915218</vt:i4>
      </vt:variant>
      <vt:variant>
        <vt:i4>24</vt:i4>
      </vt:variant>
      <vt:variant>
        <vt:i4>0</vt:i4>
      </vt:variant>
      <vt:variant>
        <vt:i4>5</vt:i4>
      </vt:variant>
      <vt:variant>
        <vt:lpwstr>http://www.afsc.noaa.gov/REFM/docs/2010/BSAIsablefish.pdf</vt:lpwstr>
      </vt:variant>
      <vt:variant>
        <vt:lpwstr/>
      </vt:variant>
      <vt:variant>
        <vt:i4>7274536</vt:i4>
      </vt:variant>
      <vt:variant>
        <vt:i4>21</vt:i4>
      </vt:variant>
      <vt:variant>
        <vt:i4>0</vt:i4>
      </vt:variant>
      <vt:variant>
        <vt:i4>5</vt:i4>
      </vt:variant>
      <vt:variant>
        <vt:lpwstr>http://www.afsc.noaa.gov/REFM/docs/2010/EBSpollock.pdf</vt:lpwstr>
      </vt:variant>
      <vt:variant>
        <vt:lpwstr/>
      </vt:variant>
      <vt:variant>
        <vt:i4>4194333</vt:i4>
      </vt:variant>
      <vt:variant>
        <vt:i4>18</vt:i4>
      </vt:variant>
      <vt:variant>
        <vt:i4>0</vt:i4>
      </vt:variant>
      <vt:variant>
        <vt:i4>5</vt:i4>
      </vt:variant>
      <vt:variant>
        <vt:lpwstr>http://www.afsc.noaa.gov/REFM/docs/2010/AIpollock.pdf</vt:lpwstr>
      </vt:variant>
      <vt:variant>
        <vt:lpwstr/>
      </vt:variant>
      <vt:variant>
        <vt:i4>458829</vt:i4>
      </vt:variant>
      <vt:variant>
        <vt:i4>15</vt:i4>
      </vt:variant>
      <vt:variant>
        <vt:i4>0</vt:i4>
      </vt:variant>
      <vt:variant>
        <vt:i4>5</vt:i4>
      </vt:variant>
      <vt:variant>
        <vt:lpwstr>http://www.afsc.noaa.gov/REFM/docs/2010/BSAIyfin.pdf</vt:lpwstr>
      </vt:variant>
      <vt:variant>
        <vt:lpwstr/>
      </vt:variant>
      <vt:variant>
        <vt:i4>7274543</vt:i4>
      </vt:variant>
      <vt:variant>
        <vt:i4>12</vt:i4>
      </vt:variant>
      <vt:variant>
        <vt:i4>0</vt:i4>
      </vt:variant>
      <vt:variant>
        <vt:i4>5</vt:i4>
      </vt:variant>
      <vt:variant>
        <vt:lpwstr>http://www.afsc.noaa.gov/REFM/docs/2010/BSAIplaice.pdf</vt:lpwstr>
      </vt:variant>
      <vt:variant>
        <vt:lpwstr/>
      </vt:variant>
      <vt:variant>
        <vt:i4>196609</vt:i4>
      </vt:variant>
      <vt:variant>
        <vt:i4>9</vt:i4>
      </vt:variant>
      <vt:variant>
        <vt:i4>0</vt:i4>
      </vt:variant>
      <vt:variant>
        <vt:i4>5</vt:i4>
      </vt:variant>
      <vt:variant>
        <vt:lpwstr>http://www.pacificwhiting.org/images/2011_Pacific_hake_assessment_final_SAFE_document.pdf</vt:lpwstr>
      </vt:variant>
      <vt:variant>
        <vt:lpwstr/>
      </vt:variant>
      <vt:variant>
        <vt:i4>3801122</vt:i4>
      </vt:variant>
      <vt:variant>
        <vt:i4>6</vt:i4>
      </vt:variant>
      <vt:variant>
        <vt:i4>0</vt:i4>
      </vt:variant>
      <vt:variant>
        <vt:i4>5</vt:i4>
      </vt:variant>
      <vt:variant>
        <vt:lpwstr>http://www.iphc.int/papers/sa10.pdf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http://www.msc.org/documents/scheme-documents/msc-scheme-requirements/methodologies/Fisheries_Assessment_Methodology.pdf</vt:lpwstr>
      </vt:variant>
      <vt:variant>
        <vt:lpwstr/>
      </vt:variant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http://www.marinebiodiversity.ca/RAMlegacy/srdb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Nico’s suggestions:</dc:title>
  <dc:subject/>
  <dc:creator>Sarah Valencia</dc:creator>
  <cp:keywords/>
  <cp:lastModifiedBy>Nicolas Gutierrez</cp:lastModifiedBy>
  <cp:revision>2</cp:revision>
  <cp:lastPrinted>2012-07-19T23:18:00Z</cp:lastPrinted>
  <dcterms:created xsi:type="dcterms:W3CDTF">2012-07-29T21:39:00Z</dcterms:created>
  <dcterms:modified xsi:type="dcterms:W3CDTF">2012-07-29T21:39:00Z</dcterms:modified>
</cp:coreProperties>
</file>