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76" w:rsidRPr="000A2E76" w:rsidRDefault="00D80D9C">
      <w:pPr>
        <w:rPr>
          <w:lang w:val="en-US"/>
        </w:rPr>
      </w:pPr>
      <w:r>
        <w:rPr>
          <w:lang w:val="en-US"/>
        </w:rPr>
        <w:t>Table S2</w:t>
      </w:r>
      <w:r w:rsidR="000A2E76" w:rsidRPr="000A2E76">
        <w:rPr>
          <w:lang w:val="en-US"/>
        </w:rPr>
        <w:t xml:space="preserve">. Regression analyses </w:t>
      </w:r>
      <w:r w:rsidR="005C3578">
        <w:rPr>
          <w:lang w:val="en-US"/>
        </w:rPr>
        <w:t xml:space="preserve">showing the </w:t>
      </w:r>
      <w:proofErr w:type="spellStart"/>
      <w:r w:rsidR="005E23F5">
        <w:rPr>
          <w:lang w:val="en-US"/>
        </w:rPr>
        <w:t>multivariably</w:t>
      </w:r>
      <w:proofErr w:type="spellEnd"/>
      <w:r w:rsidR="005E23F5">
        <w:rPr>
          <w:lang w:val="en-US"/>
        </w:rPr>
        <w:t xml:space="preserve"> adjusted </w:t>
      </w:r>
      <w:r w:rsidR="005C3578">
        <w:rPr>
          <w:lang w:val="en-US"/>
        </w:rPr>
        <w:t xml:space="preserve">effect of the four stratification variables on the </w:t>
      </w:r>
      <w:r w:rsidR="0014346A">
        <w:rPr>
          <w:lang w:val="en-US"/>
        </w:rPr>
        <w:t xml:space="preserve">respondents´ </w:t>
      </w:r>
      <w:r w:rsidR="005C3578">
        <w:rPr>
          <w:lang w:val="en-US"/>
        </w:rPr>
        <w:t xml:space="preserve">estimate of the </w:t>
      </w:r>
      <w:r w:rsidR="005C3578" w:rsidRPr="005C3578">
        <w:rPr>
          <w:lang w:val="en-US"/>
        </w:rPr>
        <w:t xml:space="preserve">percentage of ethics-approved </w:t>
      </w:r>
      <w:r w:rsidR="0014346A">
        <w:rPr>
          <w:lang w:val="en-US"/>
        </w:rPr>
        <w:t xml:space="preserve">animal </w:t>
      </w:r>
      <w:r w:rsidR="005C3578" w:rsidRPr="005C3578">
        <w:rPr>
          <w:lang w:val="en-US"/>
        </w:rPr>
        <w:t xml:space="preserve">experiments </w:t>
      </w:r>
      <w:r w:rsidR="005C3578">
        <w:rPr>
          <w:lang w:val="en-US"/>
        </w:rPr>
        <w:t xml:space="preserve">that </w:t>
      </w:r>
      <w:r w:rsidR="0014346A">
        <w:rPr>
          <w:lang w:val="en-US"/>
        </w:rPr>
        <w:t>are</w:t>
      </w:r>
      <w:r w:rsidR="005C3578">
        <w:rPr>
          <w:lang w:val="en-US"/>
        </w:rPr>
        <w:t xml:space="preserve"> published</w:t>
      </w:r>
      <w:r w:rsidR="004D3B8E">
        <w:rPr>
          <w:lang w:val="en-US"/>
        </w:rPr>
        <w:t xml:space="preserve"> </w:t>
      </w:r>
      <w:r w:rsidR="004D3B8E" w:rsidRPr="004D3B8E">
        <w:rPr>
          <w:lang w:val="en-US"/>
        </w:rPr>
        <w:t>(</w:t>
      </w:r>
      <w:r w:rsidR="004D3B8E">
        <w:rPr>
          <w:lang w:val="en-US"/>
        </w:rPr>
        <w:t>N=442)</w:t>
      </w:r>
      <w:r w:rsidR="005E23F5">
        <w:rPr>
          <w:lang w:val="en-US"/>
        </w:rPr>
        <w:t>.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758"/>
        <w:gridCol w:w="1340"/>
        <w:gridCol w:w="896"/>
        <w:gridCol w:w="1080"/>
        <w:gridCol w:w="1693"/>
        <w:gridCol w:w="896"/>
      </w:tblGrid>
      <w:tr w:rsidR="0008388F" w:rsidTr="00CA1BF5">
        <w:tc>
          <w:tcPr>
            <w:tcW w:w="0" w:type="auto"/>
          </w:tcPr>
          <w:p w:rsidR="0008388F" w:rsidRPr="00CA1BF5" w:rsidRDefault="0008388F" w:rsidP="00F213AF">
            <w:pPr>
              <w:pBdr>
                <w:top w:val="single" w:sz="4" w:space="0" w:color="auto"/>
                <w:bottom w:val="single" w:sz="4" w:space="1" w:color="auto"/>
              </w:pBdr>
              <w:rPr>
                <w:b/>
              </w:rPr>
            </w:pPr>
            <w:proofErr w:type="spellStart"/>
            <w:r w:rsidRPr="00CA1BF5">
              <w:rPr>
                <w:b/>
              </w:rPr>
              <w:t>Stratification</w:t>
            </w:r>
            <w:proofErr w:type="spellEnd"/>
            <w:r w:rsidRPr="00CA1BF5">
              <w:rPr>
                <w:b/>
              </w:rPr>
              <w:t xml:space="preserve"> </w:t>
            </w:r>
            <w:proofErr w:type="spellStart"/>
            <w:r w:rsidRPr="00CA1BF5">
              <w:rPr>
                <w:b/>
              </w:rPr>
              <w:t>variable</w:t>
            </w:r>
            <w:proofErr w:type="spellEnd"/>
          </w:p>
        </w:tc>
        <w:tc>
          <w:tcPr>
            <w:tcW w:w="0" w:type="auto"/>
          </w:tcPr>
          <w:p w:rsidR="0008388F" w:rsidRPr="00CA1BF5" w:rsidRDefault="0008388F" w:rsidP="00F213AF">
            <w:pPr>
              <w:pBdr>
                <w:top w:val="single" w:sz="4" w:space="0" w:color="auto"/>
                <w:bottom w:val="single" w:sz="4" w:space="1" w:color="auto"/>
              </w:pBdr>
              <w:jc w:val="center"/>
              <w:rPr>
                <w:b/>
              </w:rPr>
            </w:pPr>
            <w:proofErr w:type="spellStart"/>
            <w:r w:rsidRPr="00CA1BF5">
              <w:rPr>
                <w:b/>
              </w:rPr>
              <w:t>Crude</w:t>
            </w:r>
            <w:proofErr w:type="spellEnd"/>
          </w:p>
        </w:tc>
        <w:tc>
          <w:tcPr>
            <w:tcW w:w="0" w:type="auto"/>
          </w:tcPr>
          <w:p w:rsidR="0008388F" w:rsidRPr="00CA1BF5" w:rsidRDefault="0008388F" w:rsidP="00F213AF">
            <w:pPr>
              <w:pBdr>
                <w:top w:val="single" w:sz="4" w:space="0" w:color="auto"/>
                <w:bottom w:val="single" w:sz="4" w:space="1" w:color="auto"/>
              </w:pBdr>
              <w:jc w:val="center"/>
              <w:rPr>
                <w:b/>
              </w:rPr>
            </w:pPr>
            <w:r w:rsidRPr="00CA1BF5">
              <w:rPr>
                <w:b/>
              </w:rPr>
              <w:t>95% CI</w:t>
            </w:r>
          </w:p>
        </w:tc>
        <w:tc>
          <w:tcPr>
            <w:tcW w:w="0" w:type="auto"/>
          </w:tcPr>
          <w:p w:rsidR="0008388F" w:rsidRPr="00CA1BF5" w:rsidRDefault="0008388F" w:rsidP="00F213AF">
            <w:pPr>
              <w:pBdr>
                <w:top w:val="single" w:sz="4" w:space="0" w:color="auto"/>
                <w:bottom w:val="single" w:sz="4" w:space="1" w:color="auto"/>
              </w:pBdr>
              <w:jc w:val="center"/>
              <w:rPr>
                <w:b/>
              </w:rPr>
            </w:pPr>
            <w:proofErr w:type="spellStart"/>
            <w:r w:rsidRPr="00CA1BF5">
              <w:rPr>
                <w:b/>
              </w:rPr>
              <w:t>P-value</w:t>
            </w:r>
            <w:proofErr w:type="spellEnd"/>
          </w:p>
        </w:tc>
        <w:tc>
          <w:tcPr>
            <w:tcW w:w="0" w:type="auto"/>
          </w:tcPr>
          <w:p w:rsidR="0008388F" w:rsidRPr="00CA1BF5" w:rsidRDefault="0008388F" w:rsidP="00F213AF">
            <w:pPr>
              <w:pBdr>
                <w:top w:val="single" w:sz="4" w:space="0" w:color="auto"/>
                <w:bottom w:val="single" w:sz="4" w:space="1" w:color="auto"/>
              </w:pBdr>
              <w:jc w:val="center"/>
              <w:rPr>
                <w:b/>
              </w:rPr>
            </w:pPr>
            <w:proofErr w:type="spellStart"/>
            <w:r w:rsidRPr="00CA1BF5">
              <w:rPr>
                <w:b/>
              </w:rPr>
              <w:t>adjusted</w:t>
            </w:r>
            <w:proofErr w:type="spellEnd"/>
            <w:r w:rsidRPr="00735A4A">
              <w:rPr>
                <w:b/>
                <w:vertAlign w:val="superscript"/>
              </w:rPr>
              <w:t>†</w:t>
            </w:r>
          </w:p>
        </w:tc>
        <w:tc>
          <w:tcPr>
            <w:tcW w:w="0" w:type="auto"/>
          </w:tcPr>
          <w:p w:rsidR="0008388F" w:rsidRPr="00CA1BF5" w:rsidRDefault="0008388F" w:rsidP="00F213AF">
            <w:pPr>
              <w:pBdr>
                <w:top w:val="single" w:sz="4" w:space="0" w:color="auto"/>
                <w:bottom w:val="single" w:sz="4" w:space="1" w:color="auto"/>
              </w:pBdr>
              <w:jc w:val="center"/>
              <w:rPr>
                <w:b/>
              </w:rPr>
            </w:pPr>
            <w:proofErr w:type="spellStart"/>
            <w:r w:rsidRPr="00CA1BF5">
              <w:rPr>
                <w:b/>
              </w:rPr>
              <w:t>Adjusted</w:t>
            </w:r>
            <w:proofErr w:type="spellEnd"/>
            <w:r w:rsidRPr="00CA1BF5">
              <w:rPr>
                <w:b/>
              </w:rPr>
              <w:t xml:space="preserve"> 95% CI</w:t>
            </w:r>
          </w:p>
        </w:tc>
        <w:tc>
          <w:tcPr>
            <w:tcW w:w="0" w:type="auto"/>
          </w:tcPr>
          <w:p w:rsidR="0008388F" w:rsidRPr="00CA1BF5" w:rsidRDefault="0008388F" w:rsidP="00F213AF">
            <w:pPr>
              <w:pBdr>
                <w:top w:val="single" w:sz="4" w:space="0" w:color="auto"/>
                <w:bottom w:val="single" w:sz="4" w:space="1" w:color="auto"/>
              </w:pBdr>
              <w:jc w:val="center"/>
              <w:rPr>
                <w:b/>
              </w:rPr>
            </w:pPr>
            <w:proofErr w:type="spellStart"/>
            <w:r w:rsidRPr="00CA1BF5">
              <w:rPr>
                <w:b/>
              </w:rPr>
              <w:t>P-value</w:t>
            </w:r>
            <w:proofErr w:type="spellEnd"/>
          </w:p>
        </w:tc>
      </w:tr>
      <w:tr w:rsidR="0008388F" w:rsidTr="00CA1BF5">
        <w:tc>
          <w:tcPr>
            <w:tcW w:w="0" w:type="auto"/>
          </w:tcPr>
          <w:p w:rsidR="0008388F" w:rsidRDefault="0008388F" w:rsidP="0058103F">
            <w:proofErr w:type="spellStart"/>
            <w:r>
              <w:t>Affiliation</w:t>
            </w:r>
            <w:proofErr w:type="spellEnd"/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</w:tr>
      <w:tr w:rsidR="0008388F" w:rsidTr="00CA1BF5">
        <w:tc>
          <w:tcPr>
            <w:tcW w:w="0" w:type="auto"/>
          </w:tcPr>
          <w:p w:rsidR="0008388F" w:rsidRDefault="0008388F" w:rsidP="0058103F">
            <w:pPr>
              <w:jc w:val="right"/>
            </w:pPr>
            <w:proofErr w:type="spellStart"/>
            <w:r>
              <w:t>Not-for</w:t>
            </w:r>
            <w:proofErr w:type="spellEnd"/>
            <w:r>
              <w:t xml:space="preserve"> </w:t>
            </w:r>
            <w:proofErr w:type="spellStart"/>
            <w:r>
              <w:t>profit</w:t>
            </w:r>
            <w:proofErr w:type="spellEnd"/>
            <w:r>
              <w:t xml:space="preserve"> (</w:t>
            </w:r>
            <w:proofErr w:type="spellStart"/>
            <w:r>
              <w:t>reference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</w:tr>
      <w:tr w:rsidR="0008388F" w:rsidTr="00CA1BF5">
        <w:tc>
          <w:tcPr>
            <w:tcW w:w="0" w:type="auto"/>
          </w:tcPr>
          <w:p w:rsidR="0008388F" w:rsidRDefault="0008388F" w:rsidP="0058103F">
            <w:pPr>
              <w:jc w:val="right"/>
            </w:pPr>
            <w:proofErr w:type="spellStart"/>
            <w:r>
              <w:t>For-profit</w:t>
            </w:r>
            <w:proofErr w:type="spellEnd"/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  <w:r>
              <w:t>-40</w:t>
            </w: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  <w:r>
              <w:t>-63.1 – -16.9</w:t>
            </w: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  <w:r>
              <w:t>0.001</w:t>
            </w: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  <w:r>
              <w:t>-40</w:t>
            </w: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  <w:r>
              <w:t>-61.4 – -18.6</w:t>
            </w: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  <w:r>
              <w:t>&lt;0.000</w:t>
            </w:r>
          </w:p>
        </w:tc>
      </w:tr>
      <w:tr w:rsidR="0008388F" w:rsidTr="00CA1BF5">
        <w:tc>
          <w:tcPr>
            <w:tcW w:w="0" w:type="auto"/>
          </w:tcPr>
          <w:p w:rsidR="0008388F" w:rsidRDefault="0008388F" w:rsidP="0058103F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</w:tr>
      <w:tr w:rsidR="0008388F" w:rsidTr="00CA1BF5">
        <w:tc>
          <w:tcPr>
            <w:tcW w:w="0" w:type="auto"/>
          </w:tcPr>
          <w:p w:rsidR="0008388F" w:rsidRDefault="0008388F">
            <w:proofErr w:type="spellStart"/>
            <w:r>
              <w:t>Animal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</w:tr>
      <w:tr w:rsidR="0008388F" w:rsidTr="00CA1BF5">
        <w:tc>
          <w:tcPr>
            <w:tcW w:w="0" w:type="auto"/>
          </w:tcPr>
          <w:p w:rsidR="0008388F" w:rsidRDefault="0008388F" w:rsidP="0058103F">
            <w:pPr>
              <w:jc w:val="right"/>
            </w:pPr>
            <w:proofErr w:type="spellStart"/>
            <w:r>
              <w:t>Small</w:t>
            </w:r>
            <w:proofErr w:type="spellEnd"/>
            <w:r>
              <w:t xml:space="preserve"> (</w:t>
            </w:r>
            <w:proofErr w:type="spellStart"/>
            <w:r>
              <w:t>reference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</w:tr>
      <w:tr w:rsidR="0008388F" w:rsidTr="00CA1BF5">
        <w:tc>
          <w:tcPr>
            <w:tcW w:w="0" w:type="auto"/>
          </w:tcPr>
          <w:p w:rsidR="0008388F" w:rsidRDefault="0008388F" w:rsidP="0058103F">
            <w:pPr>
              <w:jc w:val="right"/>
            </w:pPr>
            <w:proofErr w:type="spellStart"/>
            <w:r>
              <w:t>Large</w:t>
            </w:r>
            <w:proofErr w:type="spellEnd"/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  <w:r>
              <w:t>-5.0 – 15.0</w:t>
            </w: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  <w:r>
              <w:t>0.324</w:t>
            </w: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  <w:r>
              <w:t>-8.6 – 8.6</w:t>
            </w: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  <w:r>
              <w:t>1.000</w:t>
            </w:r>
          </w:p>
        </w:tc>
      </w:tr>
      <w:tr w:rsidR="0008388F" w:rsidTr="00CA1BF5">
        <w:tc>
          <w:tcPr>
            <w:tcW w:w="0" w:type="auto"/>
          </w:tcPr>
          <w:p w:rsidR="0008388F" w:rsidRDefault="0008388F" w:rsidP="0058103F">
            <w:pPr>
              <w:jc w:val="right"/>
            </w:pPr>
            <w:proofErr w:type="spellStart"/>
            <w:r>
              <w:t>Large</w:t>
            </w:r>
            <w:proofErr w:type="spellEnd"/>
            <w:r>
              <w:t xml:space="preserve"> and </w:t>
            </w:r>
            <w:proofErr w:type="spellStart"/>
            <w:r>
              <w:t>small</w:t>
            </w:r>
            <w:proofErr w:type="spellEnd"/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  <w:r>
              <w:t>-5.6 – 36.5</w:t>
            </w: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  <w:r>
              <w:t>0.171</w:t>
            </w: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  <w:r>
              <w:t>-4.0 – 24.0</w:t>
            </w: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  <w:r>
              <w:t>0.162</w:t>
            </w:r>
          </w:p>
        </w:tc>
      </w:tr>
      <w:tr w:rsidR="0008388F" w:rsidTr="00CA1BF5">
        <w:tc>
          <w:tcPr>
            <w:tcW w:w="0" w:type="auto"/>
          </w:tcPr>
          <w:p w:rsidR="0008388F" w:rsidRDefault="0008388F" w:rsidP="0058103F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</w:pPr>
          </w:p>
        </w:tc>
      </w:tr>
      <w:tr w:rsidR="0008388F" w:rsidRPr="00D80D9C" w:rsidTr="00CA1BF5">
        <w:tc>
          <w:tcPr>
            <w:tcW w:w="0" w:type="auto"/>
          </w:tcPr>
          <w:p w:rsidR="0008388F" w:rsidRPr="0058103F" w:rsidRDefault="0008388F">
            <w:pPr>
              <w:rPr>
                <w:lang w:val="en-US"/>
              </w:rPr>
            </w:pPr>
            <w:r w:rsidRPr="0058103F">
              <w:rPr>
                <w:lang w:val="en-US"/>
              </w:rPr>
              <w:t>Number of co-authored papers</w:t>
            </w: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</w:p>
        </w:tc>
      </w:tr>
      <w:tr w:rsidR="00556943" w:rsidRPr="0058103F" w:rsidTr="00CA1BF5">
        <w:tc>
          <w:tcPr>
            <w:tcW w:w="0" w:type="auto"/>
          </w:tcPr>
          <w:p w:rsidR="00556943" w:rsidRDefault="00556943" w:rsidP="0058103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0-5</w:t>
            </w:r>
            <w:r>
              <w:t xml:space="preserve"> (</w:t>
            </w:r>
            <w:proofErr w:type="spellStart"/>
            <w:r>
              <w:t>reference</w:t>
            </w:r>
            <w:proofErr w:type="spellEnd"/>
            <w:r>
              <w:t>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556943" w:rsidRDefault="00556943" w:rsidP="00CA1BF5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556943" w:rsidRDefault="00556943" w:rsidP="00CA1BF5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556943" w:rsidRDefault="00556943" w:rsidP="00CA1BF5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556943" w:rsidRDefault="00556943" w:rsidP="00CA1BF5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556943" w:rsidRDefault="00556943" w:rsidP="00CA1BF5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556943" w:rsidRDefault="00556943" w:rsidP="00CA1BF5">
            <w:pPr>
              <w:jc w:val="right"/>
              <w:rPr>
                <w:lang w:val="en-US"/>
              </w:rPr>
            </w:pPr>
          </w:p>
        </w:tc>
      </w:tr>
      <w:tr w:rsidR="0008388F" w:rsidRPr="0058103F" w:rsidTr="00CA1BF5">
        <w:tc>
          <w:tcPr>
            <w:tcW w:w="0" w:type="auto"/>
          </w:tcPr>
          <w:p w:rsidR="0008388F" w:rsidRPr="0058103F" w:rsidRDefault="0008388F" w:rsidP="0058103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6-20</w:t>
            </w: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2.4 – 17.6</w:t>
            </w: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0.010</w:t>
            </w: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0.8 – 19.2</w:t>
            </w: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0.033</w:t>
            </w:r>
          </w:p>
        </w:tc>
      </w:tr>
      <w:tr w:rsidR="0008388F" w:rsidRPr="0058103F" w:rsidTr="00CA1BF5">
        <w:tc>
          <w:tcPr>
            <w:tcW w:w="0" w:type="auto"/>
          </w:tcPr>
          <w:p w:rsidR="0008388F" w:rsidRPr="0058103F" w:rsidRDefault="0008388F" w:rsidP="0058103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At least 21</w:t>
            </w: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0.6 – 19.4</w:t>
            </w: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0.036</w:t>
            </w: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0.9 – 19.1</w:t>
            </w: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0.031</w:t>
            </w:r>
          </w:p>
        </w:tc>
      </w:tr>
      <w:tr w:rsidR="0008388F" w:rsidRPr="0058103F" w:rsidTr="00CA1BF5">
        <w:tc>
          <w:tcPr>
            <w:tcW w:w="0" w:type="auto"/>
          </w:tcPr>
          <w:p w:rsidR="0008388F" w:rsidRDefault="0008388F" w:rsidP="0058103F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08388F" w:rsidRDefault="0008388F" w:rsidP="00CA1BF5">
            <w:pPr>
              <w:jc w:val="right"/>
              <w:rPr>
                <w:lang w:val="en-US"/>
              </w:rPr>
            </w:pPr>
          </w:p>
        </w:tc>
      </w:tr>
      <w:tr w:rsidR="0008388F" w:rsidRPr="0058103F" w:rsidTr="00CA1BF5">
        <w:tc>
          <w:tcPr>
            <w:tcW w:w="0" w:type="auto"/>
          </w:tcPr>
          <w:p w:rsidR="0008388F" w:rsidRPr="0058103F" w:rsidRDefault="0008388F">
            <w:pPr>
              <w:rPr>
                <w:lang w:val="en-US"/>
              </w:rPr>
            </w:pPr>
            <w:r>
              <w:rPr>
                <w:lang w:val="en-US"/>
              </w:rPr>
              <w:t>Focus of experiments</w:t>
            </w: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</w:p>
        </w:tc>
      </w:tr>
      <w:tr w:rsidR="0008388F" w:rsidRPr="00D80D9C" w:rsidTr="00CA1BF5">
        <w:tc>
          <w:tcPr>
            <w:tcW w:w="0" w:type="auto"/>
          </w:tcPr>
          <w:p w:rsidR="0008388F" w:rsidRPr="0058103F" w:rsidRDefault="0008388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Fundamental and pre-clinical (reference)    </w:t>
            </w: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</w:p>
        </w:tc>
      </w:tr>
      <w:tr w:rsidR="0008388F" w:rsidRPr="0058103F" w:rsidTr="00CA1BF5">
        <w:tc>
          <w:tcPr>
            <w:tcW w:w="0" w:type="auto"/>
          </w:tcPr>
          <w:p w:rsidR="0008388F" w:rsidRPr="0058103F" w:rsidRDefault="0008388F" w:rsidP="0058103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Fundamental only</w:t>
            </w: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3.5 – 16.4</w:t>
            </w: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-6.0 – 10.0</w:t>
            </w: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0.624</w:t>
            </w:r>
          </w:p>
        </w:tc>
      </w:tr>
      <w:tr w:rsidR="0008388F" w:rsidRPr="0058103F" w:rsidTr="00CA1BF5">
        <w:tc>
          <w:tcPr>
            <w:tcW w:w="0" w:type="auto"/>
          </w:tcPr>
          <w:p w:rsidR="0008388F" w:rsidRPr="0058103F" w:rsidRDefault="0008388F" w:rsidP="0058103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Preclinical only</w:t>
            </w: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-10.8 – 10.8</w:t>
            </w: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1.000</w:t>
            </w: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-15.8 – 15.8</w:t>
            </w:r>
          </w:p>
        </w:tc>
        <w:tc>
          <w:tcPr>
            <w:tcW w:w="0" w:type="auto"/>
          </w:tcPr>
          <w:p w:rsidR="0008388F" w:rsidRPr="0058103F" w:rsidRDefault="0008388F" w:rsidP="00CA1B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1.000</w:t>
            </w:r>
          </w:p>
        </w:tc>
      </w:tr>
    </w:tbl>
    <w:p w:rsidR="0058103F" w:rsidRDefault="0058103F">
      <w:pPr>
        <w:rPr>
          <w:lang w:val="en-US"/>
        </w:rPr>
      </w:pPr>
    </w:p>
    <w:p w:rsidR="0008388F" w:rsidRPr="00784495" w:rsidRDefault="0058103F">
      <w:pPr>
        <w:rPr>
          <w:lang w:val="en-US"/>
        </w:rPr>
      </w:pPr>
      <w:r>
        <w:rPr>
          <w:lang w:val="en-US"/>
        </w:rPr>
        <w:t>All numbers are medians</w:t>
      </w:r>
      <w:r w:rsidR="00390D94">
        <w:rPr>
          <w:lang w:val="en-US"/>
        </w:rPr>
        <w:t xml:space="preserve"> after bootstrapping th</w:t>
      </w:r>
      <w:r w:rsidR="00784495">
        <w:rPr>
          <w:lang w:val="en-US"/>
        </w:rPr>
        <w:t>e analysis 200 times.</w:t>
      </w:r>
      <w:r w:rsidR="00A259DB">
        <w:rPr>
          <w:lang w:val="en-US"/>
        </w:rPr>
        <w:t xml:space="preserve"> </w:t>
      </w:r>
      <w:r w:rsidR="00735A4A">
        <w:rPr>
          <w:lang w:val="en-US"/>
        </w:rPr>
        <w:t xml:space="preserve">† Bootstrapped </w:t>
      </w:r>
      <w:proofErr w:type="spellStart"/>
      <w:r w:rsidR="00735A4A">
        <w:rPr>
          <w:lang w:val="en-US"/>
        </w:rPr>
        <w:t>quantile</w:t>
      </w:r>
      <w:proofErr w:type="spellEnd"/>
      <w:r w:rsidR="00735A4A">
        <w:rPr>
          <w:lang w:val="en-US"/>
        </w:rPr>
        <w:t xml:space="preserve"> regression on the median</w:t>
      </w:r>
      <w:r w:rsidR="00784495">
        <w:rPr>
          <w:lang w:val="en-US"/>
        </w:rPr>
        <w:t>,</w:t>
      </w:r>
      <w:r w:rsidR="00735A4A">
        <w:rPr>
          <w:lang w:val="en-US"/>
        </w:rPr>
        <w:t xml:space="preserve"> simultaneously adjusting for all four stratification variables, that were modeled </w:t>
      </w:r>
      <w:r w:rsidR="002D12C0">
        <w:rPr>
          <w:lang w:val="en-US"/>
        </w:rPr>
        <w:t>as dummy variables.</w:t>
      </w:r>
      <w:r w:rsidR="00A259DB">
        <w:rPr>
          <w:lang w:val="en-US"/>
        </w:rPr>
        <w:t xml:space="preserve"> </w:t>
      </w:r>
      <w:r w:rsidR="002D12C0">
        <w:rPr>
          <w:lang w:val="en-US"/>
        </w:rPr>
        <w:t>CI denotes confidence interval.</w:t>
      </w:r>
      <w:r w:rsidR="00A259DB">
        <w:rPr>
          <w:lang w:val="en-US"/>
        </w:rPr>
        <w:t xml:space="preserve"> </w:t>
      </w:r>
      <w:r w:rsidR="002D12C0">
        <w:rPr>
          <w:lang w:val="en-US"/>
        </w:rPr>
        <w:t xml:space="preserve"> </w:t>
      </w:r>
      <w:r w:rsidR="00784495">
        <w:rPr>
          <w:lang w:val="en-US"/>
        </w:rPr>
        <w:t>The intercept of the fully adjusted model</w:t>
      </w:r>
      <w:r w:rsidR="002D12C0">
        <w:rPr>
          <w:lang w:val="en-US"/>
        </w:rPr>
        <w:t>,</w:t>
      </w:r>
      <w:r w:rsidR="00784495">
        <w:rPr>
          <w:lang w:val="en-US"/>
        </w:rPr>
        <w:t xml:space="preserve"> </w:t>
      </w:r>
      <w:r w:rsidR="002D12C0">
        <w:rPr>
          <w:lang w:val="en-US"/>
        </w:rPr>
        <w:t>that is,</w:t>
      </w:r>
      <w:r w:rsidR="00784495">
        <w:rPr>
          <w:lang w:val="en-US"/>
        </w:rPr>
        <w:t xml:space="preserve"> the estimate for the median proportion of papers published </w:t>
      </w:r>
      <w:r w:rsidR="002D12C0">
        <w:rPr>
          <w:lang w:val="en-US"/>
        </w:rPr>
        <w:t>of not</w:t>
      </w:r>
      <w:r w:rsidR="002D12C0" w:rsidRPr="00784495">
        <w:rPr>
          <w:lang w:val="en-US"/>
        </w:rPr>
        <w:t>-</w:t>
      </w:r>
      <w:r w:rsidR="002D12C0">
        <w:rPr>
          <w:lang w:val="en-US"/>
        </w:rPr>
        <w:t>for profit researchers working with small animals, having co</w:t>
      </w:r>
      <w:r w:rsidR="002D12C0" w:rsidRPr="00784495">
        <w:rPr>
          <w:lang w:val="en-US"/>
        </w:rPr>
        <w:t>-</w:t>
      </w:r>
      <w:r w:rsidR="002D12C0">
        <w:rPr>
          <w:lang w:val="en-US"/>
        </w:rPr>
        <w:t>authored between 0 and 5 papers, and working on both fundamental and pre</w:t>
      </w:r>
      <w:r w:rsidR="002D12C0" w:rsidRPr="00784495">
        <w:rPr>
          <w:lang w:val="en-US"/>
        </w:rPr>
        <w:t>-</w:t>
      </w:r>
      <w:r w:rsidR="002D12C0">
        <w:rPr>
          <w:lang w:val="en-US"/>
        </w:rPr>
        <w:t xml:space="preserve">clinical topics </w:t>
      </w:r>
      <w:r w:rsidR="00784495">
        <w:rPr>
          <w:lang w:val="en-US"/>
        </w:rPr>
        <w:t>was 50</w:t>
      </w:r>
      <w:r w:rsidR="002D12C0">
        <w:rPr>
          <w:lang w:val="en-US"/>
        </w:rPr>
        <w:t xml:space="preserve"> percent</w:t>
      </w:r>
      <w:r w:rsidR="00784495">
        <w:rPr>
          <w:lang w:val="en-US"/>
        </w:rPr>
        <w:t xml:space="preserve"> (</w:t>
      </w:r>
      <w:r w:rsidR="002D12C0">
        <w:rPr>
          <w:lang w:val="en-US"/>
        </w:rPr>
        <w:t xml:space="preserve">95% </w:t>
      </w:r>
      <w:r w:rsidR="00784495">
        <w:rPr>
          <w:lang w:val="en-US"/>
        </w:rPr>
        <w:t>43.5 – 56.5)</w:t>
      </w:r>
      <w:r w:rsidR="002D12C0">
        <w:rPr>
          <w:lang w:val="en-US"/>
        </w:rPr>
        <w:t>.</w:t>
      </w:r>
      <w:r w:rsidR="00784495">
        <w:rPr>
          <w:lang w:val="en-US"/>
        </w:rPr>
        <w:t xml:space="preserve"> </w:t>
      </w:r>
    </w:p>
    <w:sectPr w:rsidR="0008388F" w:rsidRPr="00784495" w:rsidSect="005810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103F"/>
    <w:rsid w:val="0008388F"/>
    <w:rsid w:val="000A2E76"/>
    <w:rsid w:val="0014346A"/>
    <w:rsid w:val="001D75EE"/>
    <w:rsid w:val="0024569C"/>
    <w:rsid w:val="002A20B2"/>
    <w:rsid w:val="002D12C0"/>
    <w:rsid w:val="002F29E6"/>
    <w:rsid w:val="00390D94"/>
    <w:rsid w:val="004D3B8E"/>
    <w:rsid w:val="00513942"/>
    <w:rsid w:val="00556943"/>
    <w:rsid w:val="0058103F"/>
    <w:rsid w:val="005C3578"/>
    <w:rsid w:val="005E23F5"/>
    <w:rsid w:val="00735A4A"/>
    <w:rsid w:val="00784495"/>
    <w:rsid w:val="00824AA1"/>
    <w:rsid w:val="00A259DB"/>
    <w:rsid w:val="00B7638D"/>
    <w:rsid w:val="00CA1BF5"/>
    <w:rsid w:val="00D80D9C"/>
    <w:rsid w:val="00DA6426"/>
    <w:rsid w:val="00F70950"/>
    <w:rsid w:val="00FD0017"/>
    <w:rsid w:val="00FD57C4"/>
    <w:rsid w:val="00FE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66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8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Gerben</dc:creator>
  <cp:lastModifiedBy>Gerben</cp:lastModifiedBy>
  <cp:revision>22</cp:revision>
  <dcterms:created xsi:type="dcterms:W3CDTF">2012-05-19T20:14:00Z</dcterms:created>
  <dcterms:modified xsi:type="dcterms:W3CDTF">2012-08-06T15:55:00Z</dcterms:modified>
</cp:coreProperties>
</file>