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DF" w:rsidRPr="00AC0EC6" w:rsidRDefault="00F40EDF" w:rsidP="00F40EDF">
      <w:pPr>
        <w:autoSpaceDE w:val="0"/>
        <w:autoSpaceDN w:val="0"/>
        <w:adjustRightInd w:val="0"/>
        <w:spacing w:after="0" w:line="480" w:lineRule="auto"/>
        <w:rPr>
          <w:rFonts w:ascii="Times New Roman" w:hAnsi="Times New Roman" w:cs="Times New Roman"/>
          <w:b/>
          <w:sz w:val="24"/>
          <w:szCs w:val="24"/>
        </w:rPr>
      </w:pPr>
      <w:r w:rsidRPr="00AC0EC6">
        <w:rPr>
          <w:rFonts w:ascii="Times New Roman" w:hAnsi="Times New Roman" w:cs="Times New Roman"/>
          <w:b/>
          <w:sz w:val="24"/>
          <w:szCs w:val="24"/>
        </w:rPr>
        <w:t>Supplementary Materials</w:t>
      </w:r>
      <w:r>
        <w:rPr>
          <w:rFonts w:ascii="Times New Roman" w:hAnsi="Times New Roman" w:cs="Times New Roman"/>
          <w:b/>
          <w:sz w:val="24"/>
          <w:szCs w:val="24"/>
        </w:rPr>
        <w:t xml:space="preserve"> Text</w:t>
      </w:r>
    </w:p>
    <w:p w:rsidR="00F40EDF" w:rsidRPr="00AC0EC6" w:rsidRDefault="00F40EDF" w:rsidP="00F40EDF">
      <w:pPr>
        <w:autoSpaceDE w:val="0"/>
        <w:autoSpaceDN w:val="0"/>
        <w:adjustRightInd w:val="0"/>
        <w:spacing w:after="0" w:line="480" w:lineRule="auto"/>
        <w:rPr>
          <w:rFonts w:ascii="Times New Roman" w:hAnsi="Times New Roman" w:cs="Times New Roman"/>
          <w:b/>
          <w:sz w:val="20"/>
          <w:szCs w:val="20"/>
        </w:rPr>
      </w:pPr>
      <w:r w:rsidRPr="00AC0EC6">
        <w:rPr>
          <w:rFonts w:ascii="Times New Roman" w:hAnsi="Times New Roman" w:cs="Times New Roman"/>
          <w:b/>
          <w:sz w:val="20"/>
          <w:szCs w:val="20"/>
        </w:rPr>
        <w:t xml:space="preserve">1. Additional analyses of vaccine-induced </w:t>
      </w:r>
      <w:proofErr w:type="spellStart"/>
      <w:r w:rsidRPr="00AC0EC6">
        <w:rPr>
          <w:rFonts w:ascii="Times New Roman" w:hAnsi="Times New Roman" w:cs="Times New Roman"/>
          <w:b/>
          <w:sz w:val="20"/>
          <w:szCs w:val="20"/>
        </w:rPr>
        <w:t>anamnestic</w:t>
      </w:r>
      <w:proofErr w:type="spellEnd"/>
      <w:r w:rsidRPr="00AC0EC6">
        <w:rPr>
          <w:rFonts w:ascii="Times New Roman" w:hAnsi="Times New Roman" w:cs="Times New Roman"/>
          <w:b/>
          <w:sz w:val="20"/>
          <w:szCs w:val="20"/>
        </w:rPr>
        <w:t xml:space="preserve"> responses  </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 xml:space="preserve">Depth of the post-infection T-cell response was compared between vaccine and placebo groups. Depth was defined at an amino acid site as the number of simultaneously elicited variant PTE-G peptides that cover the site, using HXB2 numbering. The depth distribution was compared between treatment groups using a Poisson generalized estimation equation model with exchangeable working correlation structure, conditioning on sites with 1 or more PTE-G responses. There was some evidence of less depth for vaccine recipients compared to placebo recipients, aggregating across Gag, </w:t>
      </w:r>
      <w:proofErr w:type="spellStart"/>
      <w:r w:rsidRPr="00AC0EC6">
        <w:rPr>
          <w:rFonts w:ascii="Times New Roman" w:hAnsi="Times New Roman" w:cs="Times New Roman"/>
          <w:sz w:val="20"/>
          <w:szCs w:val="20"/>
        </w:rPr>
        <w:t>Pol</w:t>
      </w:r>
      <w:proofErr w:type="spellEnd"/>
      <w:r w:rsidRPr="00AC0EC6">
        <w:rPr>
          <w:rFonts w:ascii="Times New Roman" w:hAnsi="Times New Roman" w:cs="Times New Roman"/>
          <w:sz w:val="20"/>
          <w:szCs w:val="20"/>
        </w:rPr>
        <w:t xml:space="preserve">, and </w:t>
      </w:r>
      <w:proofErr w:type="spellStart"/>
      <w:r w:rsidRPr="00AC0EC6">
        <w:rPr>
          <w:rFonts w:ascii="Times New Roman" w:hAnsi="Times New Roman" w:cs="Times New Roman"/>
          <w:sz w:val="20"/>
          <w:szCs w:val="20"/>
        </w:rPr>
        <w:t>Nef</w:t>
      </w:r>
      <w:proofErr w:type="spellEnd"/>
      <w:r w:rsidRPr="00AC0EC6">
        <w:rPr>
          <w:rFonts w:ascii="Times New Roman" w:hAnsi="Times New Roman" w:cs="Times New Roman"/>
          <w:sz w:val="20"/>
          <w:szCs w:val="20"/>
        </w:rPr>
        <w:t xml:space="preserve"> (p = 0·05; Figure S2). The observations become sparse at the individual protein level, but there is some suggestion that this overall effect was driven by </w:t>
      </w:r>
      <w:proofErr w:type="spellStart"/>
      <w:r w:rsidRPr="00AC0EC6">
        <w:rPr>
          <w:rFonts w:ascii="Times New Roman" w:hAnsi="Times New Roman" w:cs="Times New Roman"/>
          <w:sz w:val="20"/>
          <w:szCs w:val="20"/>
        </w:rPr>
        <w:t>Nef</w:t>
      </w:r>
      <w:proofErr w:type="spellEnd"/>
      <w:r w:rsidRPr="00AC0EC6">
        <w:rPr>
          <w:rFonts w:ascii="Times New Roman" w:hAnsi="Times New Roman" w:cs="Times New Roman"/>
          <w:sz w:val="20"/>
          <w:szCs w:val="20"/>
        </w:rPr>
        <w:t xml:space="preserve"> and </w:t>
      </w:r>
      <w:proofErr w:type="spellStart"/>
      <w:r w:rsidRPr="00AC0EC6">
        <w:rPr>
          <w:rFonts w:ascii="Times New Roman" w:hAnsi="Times New Roman" w:cs="Times New Roman"/>
          <w:sz w:val="20"/>
          <w:szCs w:val="20"/>
        </w:rPr>
        <w:t>Pol</w:t>
      </w:r>
      <w:proofErr w:type="spellEnd"/>
      <w:r w:rsidRPr="00AC0EC6">
        <w:rPr>
          <w:rFonts w:ascii="Times New Roman" w:hAnsi="Times New Roman" w:cs="Times New Roman"/>
          <w:sz w:val="20"/>
          <w:szCs w:val="20"/>
        </w:rPr>
        <w:t>, and that there was more depth among vaccine recipients in Gag.</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 xml:space="preserve">To determine whether </w:t>
      </w:r>
      <w:proofErr w:type="spellStart"/>
      <w:r w:rsidRPr="00AC0EC6">
        <w:rPr>
          <w:rFonts w:ascii="Times New Roman" w:hAnsi="Times New Roman" w:cs="Times New Roman"/>
          <w:sz w:val="20"/>
          <w:szCs w:val="20"/>
        </w:rPr>
        <w:t>anamnestic</w:t>
      </w:r>
      <w:proofErr w:type="spellEnd"/>
      <w:r w:rsidRPr="00AC0EC6">
        <w:rPr>
          <w:rFonts w:ascii="Times New Roman" w:hAnsi="Times New Roman" w:cs="Times New Roman"/>
          <w:sz w:val="20"/>
          <w:szCs w:val="20"/>
        </w:rPr>
        <w:t xml:space="preserve"> responses could be traced to the signature sites</w:t>
      </w:r>
      <w:r>
        <w:rPr>
          <w:rFonts w:ascii="Times New Roman" w:hAnsi="Times New Roman" w:cs="Times New Roman"/>
          <w:sz w:val="20"/>
          <w:szCs w:val="20"/>
        </w:rPr>
        <w:t>,</w:t>
      </w:r>
      <w:r w:rsidRPr="00AC0EC6">
        <w:rPr>
          <w:rFonts w:ascii="Times New Roman" w:hAnsi="Times New Roman" w:cs="Times New Roman"/>
          <w:sz w:val="20"/>
          <w:szCs w:val="20"/>
        </w:rPr>
        <w:t xml:space="preserve"> post-infection responses were measured using </w:t>
      </w:r>
      <w:proofErr w:type="spellStart"/>
      <w:r w:rsidRPr="00AC0EC6">
        <w:rPr>
          <w:rFonts w:ascii="Times New Roman" w:hAnsi="Times New Roman" w:cs="Times New Roman"/>
          <w:sz w:val="20"/>
          <w:szCs w:val="20"/>
        </w:rPr>
        <w:t>IFNγ</w:t>
      </w:r>
      <w:proofErr w:type="spellEnd"/>
      <w:r w:rsidRPr="00AC0EC6">
        <w:rPr>
          <w:rFonts w:ascii="Times New Roman" w:hAnsi="Times New Roman" w:cs="Times New Roman"/>
          <w:sz w:val="20"/>
          <w:szCs w:val="20"/>
        </w:rPr>
        <w:t xml:space="preserve"> </w:t>
      </w:r>
      <w:proofErr w:type="spellStart"/>
      <w:r w:rsidRPr="00AC0EC6">
        <w:rPr>
          <w:rFonts w:ascii="Times New Roman" w:hAnsi="Times New Roman" w:cs="Times New Roman"/>
          <w:sz w:val="20"/>
          <w:szCs w:val="20"/>
        </w:rPr>
        <w:t>ELISpot</w:t>
      </w:r>
      <w:proofErr w:type="spellEnd"/>
      <w:r w:rsidRPr="00AC0EC6">
        <w:rPr>
          <w:rFonts w:ascii="Times New Roman" w:hAnsi="Times New Roman" w:cs="Times New Roman"/>
          <w:sz w:val="20"/>
          <w:szCs w:val="20"/>
        </w:rPr>
        <w:t xml:space="preserve"> after stimulating with a set of 32 peptides covering 9 of the 10 signature sites (excluding Gag-475; see Table S1). Responses to these peptides were available for 71 of the 91 subjects; 18 had insufficient cells for testing and 2 had high background. The </w:t>
      </w:r>
      <w:r w:rsidR="00CD4619">
        <w:rPr>
          <w:rFonts w:ascii="Times New Roman" w:hAnsi="Times New Roman" w:cs="Times New Roman"/>
          <w:sz w:val="20"/>
          <w:szCs w:val="20"/>
        </w:rPr>
        <w:t xml:space="preserve">distribution of </w:t>
      </w:r>
      <w:r w:rsidRPr="00AC0EC6">
        <w:rPr>
          <w:rFonts w:ascii="Times New Roman" w:hAnsi="Times New Roman" w:cs="Times New Roman"/>
          <w:sz w:val="20"/>
          <w:szCs w:val="20"/>
        </w:rPr>
        <w:t xml:space="preserve">number of positive peptide responses, among those covering the signature sites, was compared between vaccine and placebo recipients using a </w:t>
      </w:r>
      <w:proofErr w:type="spellStart"/>
      <w:r w:rsidRPr="00AC0EC6">
        <w:rPr>
          <w:rFonts w:ascii="Times New Roman" w:hAnsi="Times New Roman" w:cs="Times New Roman"/>
          <w:sz w:val="20"/>
          <w:szCs w:val="20"/>
        </w:rPr>
        <w:t>Wilcoxon</w:t>
      </w:r>
      <w:proofErr w:type="spellEnd"/>
      <w:r w:rsidRPr="00AC0EC6">
        <w:rPr>
          <w:rFonts w:ascii="Times New Roman" w:hAnsi="Times New Roman" w:cs="Times New Roman"/>
          <w:sz w:val="20"/>
          <w:szCs w:val="20"/>
        </w:rPr>
        <w:t xml:space="preserve"> rank sum test</w:t>
      </w:r>
      <w:r w:rsidR="00CD4619">
        <w:rPr>
          <w:rFonts w:ascii="Times New Roman" w:hAnsi="Times New Roman" w:cs="Times New Roman"/>
          <w:sz w:val="20"/>
          <w:szCs w:val="20"/>
        </w:rPr>
        <w:t xml:space="preserve">, with the result that there was no evidence of a difference </w:t>
      </w:r>
      <w:r w:rsidRPr="00AC0EC6">
        <w:rPr>
          <w:rFonts w:ascii="Times New Roman" w:hAnsi="Times New Roman" w:cs="Times New Roman"/>
          <w:sz w:val="20"/>
          <w:szCs w:val="20"/>
        </w:rPr>
        <w:t xml:space="preserve">between </w:t>
      </w:r>
      <w:r w:rsidR="00CD4619">
        <w:rPr>
          <w:rFonts w:ascii="Times New Roman" w:hAnsi="Times New Roman" w:cs="Times New Roman"/>
          <w:sz w:val="20"/>
          <w:szCs w:val="20"/>
        </w:rPr>
        <w:t>treatment groups</w:t>
      </w:r>
      <w:r w:rsidRPr="00AC0EC6">
        <w:rPr>
          <w:rFonts w:ascii="Times New Roman" w:hAnsi="Times New Roman" w:cs="Times New Roman"/>
          <w:sz w:val="20"/>
          <w:szCs w:val="20"/>
        </w:rPr>
        <w:t xml:space="preserve"> (p = 0·71; Figure S3).</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 xml:space="preserve">The magnitude of the pre- and post-infection T-cell ICS responses were compared using the data for the 23 vaccine recipients whose pre-infection responses were tested post infection. </w:t>
      </w:r>
      <w:r>
        <w:rPr>
          <w:rFonts w:ascii="Times New Roman" w:hAnsi="Times New Roman" w:cs="Times New Roman"/>
          <w:sz w:val="20"/>
          <w:szCs w:val="20"/>
        </w:rPr>
        <w:t xml:space="preserve">Figure </w:t>
      </w:r>
      <w:r w:rsidRPr="00AC0EC6">
        <w:rPr>
          <w:rFonts w:ascii="Times New Roman" w:hAnsi="Times New Roman" w:cs="Times New Roman"/>
          <w:sz w:val="20"/>
          <w:szCs w:val="20"/>
        </w:rPr>
        <w:t>S4 shows the difference in log</w:t>
      </w:r>
      <w:r w:rsidRPr="003703FB">
        <w:rPr>
          <w:rFonts w:ascii="Times New Roman" w:hAnsi="Times New Roman" w:cs="Times New Roman"/>
          <w:sz w:val="20"/>
          <w:szCs w:val="20"/>
          <w:vertAlign w:val="subscript"/>
        </w:rPr>
        <w:t>10</w:t>
      </w:r>
      <w:r w:rsidRPr="00AC0EC6">
        <w:rPr>
          <w:rFonts w:ascii="Times New Roman" w:hAnsi="Times New Roman" w:cs="Times New Roman"/>
          <w:sz w:val="20"/>
          <w:szCs w:val="20"/>
        </w:rPr>
        <w:t xml:space="preserve"> magnitude positive responses post- minus pre-infection. For each protein, a </w:t>
      </w:r>
      <w:r>
        <w:rPr>
          <w:rFonts w:ascii="Times New Roman" w:hAnsi="Times New Roman" w:cs="Times New Roman"/>
          <w:sz w:val="20"/>
          <w:szCs w:val="20"/>
        </w:rPr>
        <w:t xml:space="preserve">linear </w:t>
      </w:r>
      <w:r w:rsidRPr="00AC0EC6">
        <w:rPr>
          <w:rFonts w:ascii="Times New Roman" w:hAnsi="Times New Roman" w:cs="Times New Roman"/>
          <w:sz w:val="20"/>
          <w:szCs w:val="20"/>
        </w:rPr>
        <w:t xml:space="preserve">generalized estimating equations model was used to compare the mean difference to zero. There was evidence that on average post-infection magnitudes were higher than pre-infection in Gag (p = 0·01), but magnitudes </w:t>
      </w:r>
      <w:r>
        <w:rPr>
          <w:rFonts w:ascii="Times New Roman" w:hAnsi="Times New Roman" w:cs="Times New Roman"/>
          <w:sz w:val="20"/>
          <w:szCs w:val="20"/>
        </w:rPr>
        <w:t xml:space="preserve">were similar </w:t>
      </w:r>
      <w:r w:rsidRPr="00AC0EC6">
        <w:rPr>
          <w:rFonts w:ascii="Times New Roman" w:hAnsi="Times New Roman" w:cs="Times New Roman"/>
          <w:sz w:val="20"/>
          <w:szCs w:val="20"/>
        </w:rPr>
        <w:t xml:space="preserve">pre- and post-infection in </w:t>
      </w:r>
      <w:proofErr w:type="spellStart"/>
      <w:r w:rsidRPr="00AC0EC6">
        <w:rPr>
          <w:rFonts w:ascii="Times New Roman" w:hAnsi="Times New Roman" w:cs="Times New Roman"/>
          <w:sz w:val="20"/>
          <w:szCs w:val="20"/>
        </w:rPr>
        <w:t>Pol</w:t>
      </w:r>
      <w:proofErr w:type="spellEnd"/>
      <w:r w:rsidRPr="00AC0EC6">
        <w:rPr>
          <w:rFonts w:ascii="Times New Roman" w:hAnsi="Times New Roman" w:cs="Times New Roman"/>
          <w:sz w:val="20"/>
          <w:szCs w:val="20"/>
        </w:rPr>
        <w:t xml:space="preserve"> and </w:t>
      </w:r>
      <w:proofErr w:type="spellStart"/>
      <w:r w:rsidRPr="00AC0EC6">
        <w:rPr>
          <w:rFonts w:ascii="Times New Roman" w:hAnsi="Times New Roman" w:cs="Times New Roman"/>
          <w:sz w:val="20"/>
          <w:szCs w:val="20"/>
        </w:rPr>
        <w:t>Nef</w:t>
      </w:r>
      <w:proofErr w:type="spellEnd"/>
      <w:r w:rsidRPr="00AC0EC6">
        <w:rPr>
          <w:rFonts w:ascii="Times New Roman" w:hAnsi="Times New Roman" w:cs="Times New Roman"/>
          <w:sz w:val="20"/>
          <w:szCs w:val="20"/>
        </w:rPr>
        <w:t xml:space="preserve"> (p = 0·63 and 0·65, respectively). </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 xml:space="preserve"> </w:t>
      </w:r>
    </w:p>
    <w:p w:rsidR="00F40EDF" w:rsidRPr="00AC0EC6" w:rsidRDefault="00F40EDF" w:rsidP="00F40EDF">
      <w:pPr>
        <w:autoSpaceDE w:val="0"/>
        <w:autoSpaceDN w:val="0"/>
        <w:adjustRightInd w:val="0"/>
        <w:spacing w:after="0" w:line="240" w:lineRule="auto"/>
        <w:rPr>
          <w:rFonts w:ascii="Times New Roman" w:hAnsi="Times New Roman" w:cs="Times New Roman"/>
          <w:b/>
          <w:sz w:val="20"/>
          <w:szCs w:val="20"/>
        </w:rPr>
      </w:pPr>
      <w:r w:rsidRPr="00AC0EC6">
        <w:rPr>
          <w:rFonts w:ascii="Times New Roman" w:hAnsi="Times New Roman" w:cs="Times New Roman"/>
          <w:b/>
          <w:sz w:val="20"/>
          <w:szCs w:val="20"/>
        </w:rPr>
        <w:t>2. T-cell response based sieve analysis</w:t>
      </w:r>
    </w:p>
    <w:p w:rsidR="00F40EDF" w:rsidRPr="00AC0EC6" w:rsidRDefault="00F40EDF" w:rsidP="00F40EDF">
      <w:pPr>
        <w:autoSpaceDE w:val="0"/>
        <w:autoSpaceDN w:val="0"/>
        <w:adjustRightInd w:val="0"/>
        <w:spacing w:after="0" w:line="240" w:lineRule="auto"/>
        <w:rPr>
          <w:rFonts w:ascii="Times New Roman" w:hAnsi="Times New Roman" w:cs="Times New Roman"/>
          <w:b/>
          <w:sz w:val="20"/>
          <w:szCs w:val="20"/>
        </w:rPr>
      </w:pPr>
    </w:p>
    <w:p w:rsidR="00F40EDF"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 xml:space="preserve">The T-cell response based sieve analysis assessed whether, within the measured pre-infection reactive </w:t>
      </w:r>
      <w:proofErr w:type="spellStart"/>
      <w:proofErr w:type="gramStart"/>
      <w:r w:rsidRPr="00AC0EC6">
        <w:rPr>
          <w:rFonts w:ascii="Times New Roman" w:hAnsi="Times New Roman" w:cs="Times New Roman"/>
          <w:sz w:val="20"/>
          <w:szCs w:val="20"/>
        </w:rPr>
        <w:t>epitopes</w:t>
      </w:r>
      <w:proofErr w:type="spellEnd"/>
      <w:r w:rsidRPr="00AC0EC6">
        <w:rPr>
          <w:rFonts w:ascii="Times New Roman" w:hAnsi="Times New Roman" w:cs="Times New Roman"/>
          <w:sz w:val="20"/>
          <w:szCs w:val="20"/>
        </w:rPr>
        <w:t>,</w:t>
      </w:r>
      <w:proofErr w:type="gramEnd"/>
      <w:r w:rsidRPr="00AC0EC6">
        <w:rPr>
          <w:rFonts w:ascii="Times New Roman" w:hAnsi="Times New Roman" w:cs="Times New Roman"/>
          <w:sz w:val="20"/>
          <w:szCs w:val="20"/>
        </w:rPr>
        <w:t xml:space="preserve"> there was an unusually high rate of mismatches in vaccine recipient founder sequence </w:t>
      </w:r>
      <w:proofErr w:type="spellStart"/>
      <w:r w:rsidRPr="00AC0EC6">
        <w:rPr>
          <w:rFonts w:ascii="Times New Roman" w:hAnsi="Times New Roman" w:cs="Times New Roman"/>
          <w:sz w:val="20"/>
          <w:szCs w:val="20"/>
        </w:rPr>
        <w:t>epitopes</w:t>
      </w:r>
      <w:proofErr w:type="spellEnd"/>
      <w:r w:rsidRPr="00AC0EC6">
        <w:rPr>
          <w:rFonts w:ascii="Times New Roman" w:hAnsi="Times New Roman" w:cs="Times New Roman"/>
          <w:sz w:val="20"/>
          <w:szCs w:val="20"/>
        </w:rPr>
        <w:t xml:space="preserve"> compared to the corresponding insert </w:t>
      </w:r>
      <w:proofErr w:type="spellStart"/>
      <w:r w:rsidRPr="00AC0EC6">
        <w:rPr>
          <w:rFonts w:ascii="Times New Roman" w:hAnsi="Times New Roman" w:cs="Times New Roman"/>
          <w:sz w:val="20"/>
          <w:szCs w:val="20"/>
        </w:rPr>
        <w:t>epitopes</w:t>
      </w:r>
      <w:proofErr w:type="spellEnd"/>
      <w:r w:rsidRPr="00AC0EC6">
        <w:rPr>
          <w:rFonts w:ascii="Times New Roman" w:hAnsi="Times New Roman" w:cs="Times New Roman"/>
          <w:sz w:val="20"/>
          <w:szCs w:val="20"/>
        </w:rPr>
        <w:t xml:space="preserve">. Because the primary analysis included overlapping reactive 15-mers within which there was likely only one reactive </w:t>
      </w:r>
      <w:proofErr w:type="spellStart"/>
      <w:r w:rsidRPr="00AC0EC6">
        <w:rPr>
          <w:rFonts w:ascii="Times New Roman" w:hAnsi="Times New Roman" w:cs="Times New Roman"/>
          <w:sz w:val="20"/>
          <w:szCs w:val="20"/>
        </w:rPr>
        <w:t>epitope</w:t>
      </w:r>
      <w:proofErr w:type="spellEnd"/>
      <w:r w:rsidRPr="00AC0EC6">
        <w:rPr>
          <w:rFonts w:ascii="Times New Roman" w:hAnsi="Times New Roman" w:cs="Times New Roman"/>
          <w:sz w:val="20"/>
          <w:szCs w:val="20"/>
        </w:rPr>
        <w:t>, the analysis was repeated in two ways only counting one reactive 15-mer per vaccine recipient. The first selected the “</w:t>
      </w:r>
      <w:proofErr w:type="spellStart"/>
      <w:r w:rsidRPr="00AC0EC6">
        <w:rPr>
          <w:rFonts w:ascii="Times New Roman" w:hAnsi="Times New Roman" w:cs="Times New Roman"/>
          <w:sz w:val="20"/>
          <w:szCs w:val="20"/>
        </w:rPr>
        <w:t>immunodominant</w:t>
      </w:r>
      <w:proofErr w:type="spellEnd"/>
      <w:r w:rsidRPr="00AC0EC6">
        <w:rPr>
          <w:rFonts w:ascii="Times New Roman" w:hAnsi="Times New Roman" w:cs="Times New Roman"/>
          <w:sz w:val="20"/>
          <w:szCs w:val="20"/>
        </w:rPr>
        <w:t>" reactive 15-mer as the one with the highest magnitude response while the second selected the most “conserved" reactive 15-mer</w:t>
      </w:r>
      <w:r w:rsidRPr="00140E0D">
        <w:rPr>
          <w:rFonts w:ascii="Times New Roman" w:hAnsi="Times New Roman" w:cs="Times New Roman"/>
          <w:sz w:val="20"/>
          <w:szCs w:val="20"/>
        </w:rPr>
        <w:t xml:space="preserve"> [1]</w:t>
      </w:r>
      <w:r w:rsidRPr="00AC0EC6">
        <w:rPr>
          <w:rFonts w:ascii="Times New Roman" w:hAnsi="Times New Roman" w:cs="Times New Roman"/>
          <w:sz w:val="20"/>
          <w:szCs w:val="20"/>
        </w:rPr>
        <w:t xml:space="preserve"> as the </w:t>
      </w:r>
      <w:proofErr w:type="spellStart"/>
      <w:r w:rsidRPr="00AC0EC6">
        <w:rPr>
          <w:rFonts w:ascii="Times New Roman" w:hAnsi="Times New Roman" w:cs="Times New Roman"/>
          <w:sz w:val="20"/>
          <w:szCs w:val="20"/>
        </w:rPr>
        <w:t>epitope</w:t>
      </w:r>
      <w:proofErr w:type="spellEnd"/>
      <w:r w:rsidRPr="00AC0EC6">
        <w:rPr>
          <w:rFonts w:ascii="Times New Roman" w:hAnsi="Times New Roman" w:cs="Times New Roman"/>
          <w:sz w:val="20"/>
          <w:szCs w:val="20"/>
        </w:rPr>
        <w:t xml:space="preserve"> with the lowest entropy. Using sequence data from placebo recipients, we computed the entropy of each </w:t>
      </w:r>
      <w:proofErr w:type="spellStart"/>
      <w:r w:rsidRPr="00AC0EC6">
        <w:rPr>
          <w:rFonts w:ascii="Times New Roman" w:hAnsi="Times New Roman" w:cs="Times New Roman"/>
          <w:sz w:val="20"/>
          <w:szCs w:val="20"/>
        </w:rPr>
        <w:t>epitope</w:t>
      </w:r>
      <w:proofErr w:type="spellEnd"/>
      <w:r w:rsidRPr="00AC0EC6">
        <w:rPr>
          <w:rFonts w:ascii="Times New Roman" w:hAnsi="Times New Roman" w:cs="Times New Roman"/>
          <w:sz w:val="20"/>
          <w:szCs w:val="20"/>
        </w:rPr>
        <w:t xml:space="preserve"> by averaging the entropy at each site within that </w:t>
      </w:r>
      <w:proofErr w:type="spellStart"/>
      <w:r w:rsidRPr="00AC0EC6">
        <w:rPr>
          <w:rFonts w:ascii="Times New Roman" w:hAnsi="Times New Roman" w:cs="Times New Roman"/>
          <w:sz w:val="20"/>
          <w:szCs w:val="20"/>
        </w:rPr>
        <w:t>epitope</w:t>
      </w:r>
      <w:proofErr w:type="spellEnd"/>
      <w:r w:rsidRPr="00AC0EC6">
        <w:rPr>
          <w:rFonts w:ascii="Times New Roman" w:hAnsi="Times New Roman" w:cs="Times New Roman"/>
          <w:sz w:val="20"/>
          <w:szCs w:val="20"/>
        </w:rPr>
        <w:t xml:space="preserve">. To account for multiple sequences per subject we repeated the process 1,000 times based on data-sets formed by randomly sampling one sequence per subject. For a given set of </w:t>
      </w:r>
      <w:proofErr w:type="spellStart"/>
      <w:r w:rsidRPr="00AC0EC6">
        <w:rPr>
          <w:rFonts w:ascii="Times New Roman" w:hAnsi="Times New Roman" w:cs="Times New Roman"/>
          <w:sz w:val="20"/>
          <w:szCs w:val="20"/>
        </w:rPr>
        <w:t>epitopes</w:t>
      </w:r>
      <w:proofErr w:type="spellEnd"/>
      <w:r w:rsidRPr="00AC0EC6">
        <w:rPr>
          <w:rFonts w:ascii="Times New Roman" w:hAnsi="Times New Roman" w:cs="Times New Roman"/>
          <w:sz w:val="20"/>
          <w:szCs w:val="20"/>
        </w:rPr>
        <w:t xml:space="preserve">, the one that most frequently had the lowest entropy was defined as the most conserved </w:t>
      </w:r>
      <w:proofErr w:type="spellStart"/>
      <w:r w:rsidRPr="00AC0EC6">
        <w:rPr>
          <w:rFonts w:ascii="Times New Roman" w:hAnsi="Times New Roman" w:cs="Times New Roman"/>
          <w:sz w:val="20"/>
          <w:szCs w:val="20"/>
        </w:rPr>
        <w:t>epitope</w:t>
      </w:r>
      <w:proofErr w:type="spellEnd"/>
      <w:r w:rsidRPr="00AC0EC6">
        <w:rPr>
          <w:rFonts w:ascii="Times New Roman" w:hAnsi="Times New Roman" w:cs="Times New Roman"/>
          <w:sz w:val="20"/>
          <w:szCs w:val="20"/>
        </w:rPr>
        <w:t xml:space="preserve">. </w:t>
      </w:r>
    </w:p>
    <w:p w:rsidR="00F74ECB" w:rsidRDefault="00F74ECB" w:rsidP="00F40EDF">
      <w:pPr>
        <w:autoSpaceDE w:val="0"/>
        <w:autoSpaceDN w:val="0"/>
        <w:adjustRightInd w:val="0"/>
        <w:spacing w:after="0" w:line="240" w:lineRule="auto"/>
        <w:rPr>
          <w:rFonts w:ascii="Times New Roman" w:hAnsi="Times New Roman" w:cs="Times New Roman"/>
          <w:sz w:val="20"/>
          <w:szCs w:val="20"/>
        </w:rPr>
      </w:pPr>
    </w:p>
    <w:p w:rsidR="003D62E2" w:rsidRPr="00F74ECB" w:rsidRDefault="003D62E2" w:rsidP="003D62E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Results are displayed in Figure S5.  Considering all reactive 15-mers, t</w:t>
      </w:r>
      <w:r w:rsidRPr="00002E61">
        <w:rPr>
          <w:rFonts w:ascii="Times New Roman" w:hAnsi="Times New Roman" w:cs="Times New Roman"/>
          <w:sz w:val="20"/>
          <w:szCs w:val="20"/>
        </w:rPr>
        <w:t xml:space="preserve">here were more mismatches than expected by chance in </w:t>
      </w:r>
      <w:proofErr w:type="spellStart"/>
      <w:r w:rsidRPr="00002E61">
        <w:rPr>
          <w:rFonts w:ascii="Times New Roman" w:hAnsi="Times New Roman" w:cs="Times New Roman"/>
          <w:sz w:val="20"/>
          <w:szCs w:val="20"/>
        </w:rPr>
        <w:t>Nef</w:t>
      </w:r>
      <w:proofErr w:type="spellEnd"/>
      <w:r w:rsidRPr="00002E61">
        <w:rPr>
          <w:rFonts w:ascii="Times New Roman" w:hAnsi="Times New Roman" w:cs="Times New Roman"/>
          <w:sz w:val="20"/>
          <w:szCs w:val="20"/>
        </w:rPr>
        <w:t xml:space="preserve"> (p = 0·04), a non-significant trend for </w:t>
      </w:r>
      <w:proofErr w:type="spellStart"/>
      <w:r w:rsidRPr="00002E61">
        <w:rPr>
          <w:rFonts w:ascii="Times New Roman" w:hAnsi="Times New Roman" w:cs="Times New Roman"/>
          <w:sz w:val="20"/>
          <w:szCs w:val="20"/>
        </w:rPr>
        <w:t>Pol</w:t>
      </w:r>
      <w:proofErr w:type="spellEnd"/>
      <w:r w:rsidRPr="00002E61">
        <w:rPr>
          <w:rFonts w:ascii="Times New Roman" w:hAnsi="Times New Roman" w:cs="Times New Roman"/>
          <w:sz w:val="20"/>
          <w:szCs w:val="20"/>
        </w:rPr>
        <w:t xml:space="preserve"> (p = 0·13), and no significant evidence for Gag (p = 0·89). The average percent mismatch for vaccine recipients</w:t>
      </w:r>
      <w:r>
        <w:rPr>
          <w:rFonts w:ascii="Times New Roman" w:hAnsi="Times New Roman" w:cs="Times New Roman"/>
          <w:sz w:val="20"/>
          <w:szCs w:val="20"/>
        </w:rPr>
        <w:t xml:space="preserve">, </w:t>
      </w:r>
      <w:r w:rsidRPr="00A31538">
        <w:rPr>
          <w:rFonts w:ascii="Times New Roman" w:hAnsi="Times New Roman" w:cs="Times New Roman"/>
          <w:sz w:val="20"/>
          <w:szCs w:val="20"/>
        </w:rPr>
        <w:t xml:space="preserve">with the median of the </w:t>
      </w:r>
      <w:r>
        <w:rPr>
          <w:rFonts w:ascii="Times New Roman" w:hAnsi="Times New Roman" w:cs="Times New Roman"/>
          <w:sz w:val="20"/>
          <w:szCs w:val="20"/>
        </w:rPr>
        <w:t>null distribution in parentheses,</w:t>
      </w:r>
      <w:r w:rsidRPr="00A31538">
        <w:rPr>
          <w:rFonts w:ascii="Times New Roman" w:hAnsi="Times New Roman" w:cs="Times New Roman"/>
          <w:sz w:val="20"/>
          <w:szCs w:val="20"/>
        </w:rPr>
        <w:t xml:space="preserve"> was calcul</w:t>
      </w:r>
      <w:r>
        <w:rPr>
          <w:rFonts w:ascii="Times New Roman" w:hAnsi="Times New Roman" w:cs="Times New Roman"/>
          <w:sz w:val="20"/>
          <w:szCs w:val="20"/>
        </w:rPr>
        <w:t xml:space="preserve">ated as 26.1% (23.3%) for </w:t>
      </w:r>
      <w:proofErr w:type="spellStart"/>
      <w:r>
        <w:rPr>
          <w:rFonts w:ascii="Times New Roman" w:hAnsi="Times New Roman" w:cs="Times New Roman"/>
          <w:sz w:val="20"/>
          <w:szCs w:val="20"/>
        </w:rPr>
        <w:t>Nef</w:t>
      </w:r>
      <w:proofErr w:type="spellEnd"/>
      <w:r>
        <w:rPr>
          <w:rFonts w:ascii="Times New Roman" w:hAnsi="Times New Roman" w:cs="Times New Roman"/>
          <w:sz w:val="20"/>
          <w:szCs w:val="20"/>
        </w:rPr>
        <w:t xml:space="preserve">, 6.7% (5.5%) for </w:t>
      </w:r>
      <w:proofErr w:type="spellStart"/>
      <w:r>
        <w:rPr>
          <w:rFonts w:ascii="Times New Roman" w:hAnsi="Times New Roman" w:cs="Times New Roman"/>
          <w:sz w:val="20"/>
          <w:szCs w:val="20"/>
        </w:rPr>
        <w:t>Pol</w:t>
      </w:r>
      <w:proofErr w:type="spellEnd"/>
      <w:r>
        <w:rPr>
          <w:rFonts w:ascii="Times New Roman" w:hAnsi="Times New Roman" w:cs="Times New Roman"/>
          <w:sz w:val="20"/>
          <w:szCs w:val="20"/>
        </w:rPr>
        <w:t xml:space="preserve">, and </w:t>
      </w:r>
      <w:r w:rsidRPr="00A31538">
        <w:rPr>
          <w:rFonts w:ascii="Times New Roman" w:hAnsi="Times New Roman" w:cs="Times New Roman"/>
          <w:sz w:val="20"/>
          <w:szCs w:val="20"/>
        </w:rPr>
        <w:t>8.5% (8.3%) for Gag</w:t>
      </w:r>
      <w:r w:rsidRPr="00002E61">
        <w:rPr>
          <w:rFonts w:ascii="Times New Roman" w:hAnsi="Times New Roman" w:cs="Times New Roman"/>
          <w:sz w:val="20"/>
          <w:szCs w:val="20"/>
        </w:rPr>
        <w:t xml:space="preserve">. </w:t>
      </w:r>
      <w:r>
        <w:rPr>
          <w:rFonts w:ascii="Times New Roman" w:hAnsi="Times New Roman" w:cs="Times New Roman"/>
          <w:sz w:val="20"/>
          <w:szCs w:val="20"/>
        </w:rPr>
        <w:t xml:space="preserve"> Using the most </w:t>
      </w:r>
      <w:proofErr w:type="spellStart"/>
      <w:r>
        <w:rPr>
          <w:rFonts w:ascii="Times New Roman" w:hAnsi="Times New Roman" w:cs="Times New Roman"/>
          <w:sz w:val="20"/>
          <w:szCs w:val="20"/>
        </w:rPr>
        <w:t>immodominant</w:t>
      </w:r>
      <w:proofErr w:type="spellEnd"/>
      <w:r>
        <w:rPr>
          <w:rFonts w:ascii="Times New Roman" w:hAnsi="Times New Roman" w:cs="Times New Roman"/>
          <w:sz w:val="20"/>
          <w:szCs w:val="20"/>
        </w:rPr>
        <w:t xml:space="preserve"> 15-mers, the analogous results were: 29.8% (26.6%) f</w:t>
      </w:r>
      <w:r w:rsidR="00CD4619">
        <w:rPr>
          <w:rFonts w:ascii="Times New Roman" w:hAnsi="Times New Roman" w:cs="Times New Roman"/>
          <w:sz w:val="20"/>
          <w:szCs w:val="20"/>
        </w:rPr>
        <w:t xml:space="preserve">or </w:t>
      </w:r>
      <w:proofErr w:type="spellStart"/>
      <w:r w:rsidR="00CD4619">
        <w:rPr>
          <w:rFonts w:ascii="Times New Roman" w:hAnsi="Times New Roman" w:cs="Times New Roman"/>
          <w:sz w:val="20"/>
          <w:szCs w:val="20"/>
        </w:rPr>
        <w:t>Nef</w:t>
      </w:r>
      <w:proofErr w:type="spellEnd"/>
      <w:r w:rsidR="00CD4619">
        <w:rPr>
          <w:rFonts w:ascii="Times New Roman" w:hAnsi="Times New Roman" w:cs="Times New Roman"/>
          <w:sz w:val="20"/>
          <w:szCs w:val="20"/>
        </w:rPr>
        <w:t xml:space="preserve"> (p = 0.08), 7.5% (6.3%) </w:t>
      </w:r>
      <w:r>
        <w:rPr>
          <w:rFonts w:ascii="Times New Roman" w:hAnsi="Times New Roman" w:cs="Times New Roman"/>
          <w:sz w:val="20"/>
          <w:szCs w:val="20"/>
        </w:rPr>
        <w:t xml:space="preserve">for </w:t>
      </w:r>
      <w:proofErr w:type="spellStart"/>
      <w:r>
        <w:rPr>
          <w:rFonts w:ascii="Times New Roman" w:hAnsi="Times New Roman" w:cs="Times New Roman"/>
          <w:sz w:val="20"/>
          <w:szCs w:val="20"/>
        </w:rPr>
        <w:t>Pol</w:t>
      </w:r>
      <w:proofErr w:type="spellEnd"/>
      <w:r>
        <w:rPr>
          <w:rFonts w:ascii="Times New Roman" w:hAnsi="Times New Roman" w:cs="Times New Roman"/>
          <w:sz w:val="20"/>
          <w:szCs w:val="20"/>
        </w:rPr>
        <w:t xml:space="preserve"> (p = 0.33), and 8.5% (8.0%) for Gag (p = 0.81).  Considering the most conserved 15-mers, the results were: 19.7% (17.2%) for </w:t>
      </w:r>
      <w:proofErr w:type="spellStart"/>
      <w:r>
        <w:rPr>
          <w:rFonts w:ascii="Times New Roman" w:hAnsi="Times New Roman" w:cs="Times New Roman"/>
          <w:sz w:val="20"/>
          <w:szCs w:val="20"/>
        </w:rPr>
        <w:t>Nef</w:t>
      </w:r>
      <w:proofErr w:type="spellEnd"/>
      <w:r>
        <w:rPr>
          <w:rFonts w:ascii="Times New Roman" w:hAnsi="Times New Roman" w:cs="Times New Roman"/>
          <w:sz w:val="20"/>
          <w:szCs w:val="20"/>
        </w:rPr>
        <w:t xml:space="preserve"> (p = 0.14), 4.2% (2.5%) for </w:t>
      </w:r>
      <w:proofErr w:type="spellStart"/>
      <w:r>
        <w:rPr>
          <w:rFonts w:ascii="Times New Roman" w:hAnsi="Times New Roman" w:cs="Times New Roman"/>
          <w:sz w:val="20"/>
          <w:szCs w:val="20"/>
        </w:rPr>
        <w:t>Pol</w:t>
      </w:r>
      <w:proofErr w:type="spellEnd"/>
      <w:r>
        <w:rPr>
          <w:rFonts w:ascii="Times New Roman" w:hAnsi="Times New Roman" w:cs="Times New Roman"/>
          <w:sz w:val="20"/>
          <w:szCs w:val="20"/>
        </w:rPr>
        <w:t xml:space="preserve"> (p = 0.09), and 5.9% (5.4%) </w:t>
      </w:r>
      <w:bookmarkStart w:id="0" w:name="_GoBack"/>
      <w:bookmarkEnd w:id="0"/>
      <w:r>
        <w:rPr>
          <w:rFonts w:ascii="Times New Roman" w:hAnsi="Times New Roman" w:cs="Times New Roman"/>
          <w:sz w:val="20"/>
          <w:szCs w:val="20"/>
        </w:rPr>
        <w:t>for Gag (p = 0.71).</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b/>
          <w:sz w:val="20"/>
          <w:szCs w:val="20"/>
        </w:rPr>
      </w:pPr>
      <w:r w:rsidRPr="00AC0EC6">
        <w:rPr>
          <w:rFonts w:ascii="Times New Roman" w:hAnsi="Times New Roman" w:cs="Times New Roman"/>
          <w:b/>
          <w:sz w:val="20"/>
          <w:szCs w:val="20"/>
        </w:rPr>
        <w:t>3. A</w:t>
      </w:r>
      <w:r>
        <w:rPr>
          <w:rFonts w:ascii="Times New Roman" w:hAnsi="Times New Roman" w:cs="Times New Roman"/>
          <w:b/>
          <w:sz w:val="20"/>
          <w:szCs w:val="20"/>
        </w:rPr>
        <w:t>dditional a</w:t>
      </w:r>
      <w:r w:rsidRPr="00AC0EC6">
        <w:rPr>
          <w:rFonts w:ascii="Times New Roman" w:hAnsi="Times New Roman" w:cs="Times New Roman"/>
          <w:b/>
          <w:sz w:val="20"/>
          <w:szCs w:val="20"/>
        </w:rPr>
        <w:t xml:space="preserve">nalyses of acute viral load </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 xml:space="preserve">Two additional analyses of acute viral load were conducted, in addition to the multiple imputation approach described in the main text. Each analysis relies on a different set of assumptions regarding the missing data mechanism, and therefore consistency in the results across methods is somewhat reassuring. An inverse-probability-weighted (IPW) analysis was performed </w:t>
      </w:r>
      <w:r w:rsidR="00CD4619">
        <w:rPr>
          <w:rFonts w:ascii="Times New Roman" w:hAnsi="Times New Roman" w:cs="Times New Roman"/>
          <w:sz w:val="20"/>
          <w:szCs w:val="20"/>
        </w:rPr>
        <w:t>in</w:t>
      </w:r>
      <w:r w:rsidRPr="00AC0EC6">
        <w:rPr>
          <w:rFonts w:ascii="Times New Roman" w:hAnsi="Times New Roman" w:cs="Times New Roman"/>
          <w:sz w:val="20"/>
          <w:szCs w:val="20"/>
        </w:rPr>
        <w:t xml:space="preserve"> which the probability of having a missing viral load measure was </w:t>
      </w:r>
      <w:r w:rsidRPr="00AC0EC6">
        <w:rPr>
          <w:rFonts w:ascii="Times New Roman" w:hAnsi="Times New Roman" w:cs="Times New Roman"/>
          <w:sz w:val="20"/>
          <w:szCs w:val="20"/>
        </w:rPr>
        <w:lastRenderedPageBreak/>
        <w:t xml:space="preserve">estimated using </w:t>
      </w:r>
      <w:r w:rsidR="00CD4619">
        <w:rPr>
          <w:rFonts w:ascii="Times New Roman" w:hAnsi="Times New Roman" w:cs="Times New Roman"/>
          <w:sz w:val="20"/>
          <w:szCs w:val="20"/>
        </w:rPr>
        <w:t xml:space="preserve">a </w:t>
      </w:r>
      <w:r w:rsidRPr="00AC0EC6">
        <w:rPr>
          <w:rFonts w:ascii="Times New Roman" w:hAnsi="Times New Roman" w:cs="Times New Roman"/>
          <w:sz w:val="20"/>
          <w:szCs w:val="20"/>
        </w:rPr>
        <w:t xml:space="preserve">logistic regression </w:t>
      </w:r>
      <w:r w:rsidR="00CD4619">
        <w:rPr>
          <w:rFonts w:ascii="Times New Roman" w:hAnsi="Times New Roman" w:cs="Times New Roman"/>
          <w:sz w:val="20"/>
          <w:szCs w:val="20"/>
        </w:rPr>
        <w:t xml:space="preserve">model including </w:t>
      </w:r>
      <w:r w:rsidRPr="00AC0EC6">
        <w:rPr>
          <w:rFonts w:ascii="Times New Roman" w:hAnsi="Times New Roman" w:cs="Times New Roman"/>
          <w:sz w:val="20"/>
          <w:szCs w:val="20"/>
        </w:rPr>
        <w:t xml:space="preserve">HLA type, study week of diagnosis, number of weeks between </w:t>
      </w:r>
      <w:r w:rsidR="00CD4619">
        <w:rPr>
          <w:rFonts w:ascii="Times New Roman" w:hAnsi="Times New Roman" w:cs="Times New Roman"/>
          <w:sz w:val="20"/>
          <w:szCs w:val="20"/>
        </w:rPr>
        <w:t xml:space="preserve">the </w:t>
      </w:r>
      <w:r w:rsidRPr="00AC0EC6">
        <w:rPr>
          <w:rFonts w:ascii="Times New Roman" w:hAnsi="Times New Roman" w:cs="Times New Roman"/>
          <w:sz w:val="20"/>
          <w:szCs w:val="20"/>
        </w:rPr>
        <w:t xml:space="preserve">diagnosis </w:t>
      </w:r>
      <w:r w:rsidR="00CD4619">
        <w:rPr>
          <w:rFonts w:ascii="Times New Roman" w:hAnsi="Times New Roman" w:cs="Times New Roman"/>
          <w:sz w:val="20"/>
          <w:szCs w:val="20"/>
        </w:rPr>
        <w:t xml:space="preserve">visit and the </w:t>
      </w:r>
      <w:r w:rsidRPr="00AC0EC6">
        <w:rPr>
          <w:rFonts w:ascii="Times New Roman" w:hAnsi="Times New Roman" w:cs="Times New Roman"/>
          <w:sz w:val="20"/>
          <w:szCs w:val="20"/>
        </w:rPr>
        <w:t xml:space="preserve">previous visit, treatment assignment, and HSV-2 </w:t>
      </w:r>
      <w:proofErr w:type="spellStart"/>
      <w:r w:rsidRPr="00AC0EC6">
        <w:rPr>
          <w:rFonts w:ascii="Times New Roman" w:hAnsi="Times New Roman" w:cs="Times New Roman"/>
          <w:sz w:val="20"/>
          <w:szCs w:val="20"/>
        </w:rPr>
        <w:t>serostatus</w:t>
      </w:r>
      <w:proofErr w:type="spellEnd"/>
      <w:r w:rsidR="00CD4619">
        <w:rPr>
          <w:rFonts w:ascii="Times New Roman" w:hAnsi="Times New Roman" w:cs="Times New Roman"/>
          <w:sz w:val="20"/>
          <w:szCs w:val="20"/>
        </w:rPr>
        <w:t xml:space="preserve"> as predictors</w:t>
      </w:r>
      <w:r w:rsidRPr="00AC0EC6">
        <w:rPr>
          <w:rFonts w:ascii="Times New Roman" w:hAnsi="Times New Roman" w:cs="Times New Roman"/>
          <w:sz w:val="20"/>
          <w:szCs w:val="20"/>
        </w:rPr>
        <w:t xml:space="preserve">. The </w:t>
      </w:r>
      <w:r w:rsidR="00CD4619">
        <w:rPr>
          <w:rFonts w:ascii="Times New Roman" w:hAnsi="Times New Roman" w:cs="Times New Roman"/>
          <w:sz w:val="20"/>
          <w:szCs w:val="20"/>
        </w:rPr>
        <w:t>result was an estimated</w:t>
      </w:r>
      <w:r w:rsidRPr="00AC0EC6">
        <w:rPr>
          <w:rFonts w:ascii="Times New Roman" w:hAnsi="Times New Roman" w:cs="Times New Roman"/>
          <w:sz w:val="20"/>
          <w:szCs w:val="20"/>
        </w:rPr>
        <w:t xml:space="preserve"> mean acute log viral load </w:t>
      </w:r>
      <w:r w:rsidR="00CD4619">
        <w:rPr>
          <w:rFonts w:ascii="Times New Roman" w:hAnsi="Times New Roman" w:cs="Times New Roman"/>
          <w:sz w:val="20"/>
          <w:szCs w:val="20"/>
        </w:rPr>
        <w:t>of</w:t>
      </w:r>
      <w:r w:rsidRPr="00AC0EC6">
        <w:rPr>
          <w:rFonts w:ascii="Times New Roman" w:hAnsi="Times New Roman" w:cs="Times New Roman"/>
          <w:sz w:val="20"/>
          <w:szCs w:val="20"/>
        </w:rPr>
        <w:t xml:space="preserve"> 4·7 in vaccine </w:t>
      </w:r>
      <w:r w:rsidR="00CD4619">
        <w:rPr>
          <w:rFonts w:ascii="Times New Roman" w:hAnsi="Times New Roman" w:cs="Times New Roman"/>
          <w:sz w:val="20"/>
          <w:szCs w:val="20"/>
        </w:rPr>
        <w:t xml:space="preserve">recipients </w:t>
      </w:r>
      <w:r w:rsidRPr="00AC0EC6">
        <w:rPr>
          <w:rFonts w:ascii="Times New Roman" w:hAnsi="Times New Roman" w:cs="Times New Roman"/>
          <w:sz w:val="20"/>
          <w:szCs w:val="20"/>
        </w:rPr>
        <w:t xml:space="preserve">and 5·1 in placebo recipients (p = 0·58 t-test). </w:t>
      </w:r>
      <w:r w:rsidR="00CD4619">
        <w:rPr>
          <w:rFonts w:ascii="Times New Roman" w:hAnsi="Times New Roman" w:cs="Times New Roman"/>
          <w:sz w:val="20"/>
          <w:szCs w:val="20"/>
        </w:rPr>
        <w:t xml:space="preserve"> </w:t>
      </w:r>
      <w:r w:rsidRPr="00AC0EC6">
        <w:rPr>
          <w:rFonts w:ascii="Times New Roman" w:hAnsi="Times New Roman" w:cs="Times New Roman"/>
          <w:sz w:val="20"/>
          <w:szCs w:val="20"/>
        </w:rPr>
        <w:t xml:space="preserve">A “complete case” analysis </w:t>
      </w:r>
      <w:r w:rsidR="00CD4619">
        <w:rPr>
          <w:rFonts w:ascii="Times New Roman" w:hAnsi="Times New Roman" w:cs="Times New Roman"/>
          <w:sz w:val="20"/>
          <w:szCs w:val="20"/>
        </w:rPr>
        <w:t>was also conducted</w:t>
      </w:r>
      <w:r>
        <w:rPr>
          <w:rFonts w:ascii="Times New Roman" w:hAnsi="Times New Roman" w:cs="Times New Roman"/>
          <w:sz w:val="20"/>
          <w:szCs w:val="20"/>
        </w:rPr>
        <w:t xml:space="preserve"> including on</w:t>
      </w:r>
      <w:r w:rsidRPr="00AC0EC6">
        <w:rPr>
          <w:rFonts w:ascii="Times New Roman" w:hAnsi="Times New Roman" w:cs="Times New Roman"/>
          <w:sz w:val="20"/>
          <w:szCs w:val="20"/>
        </w:rPr>
        <w:t>ly the 27 subjects</w:t>
      </w:r>
      <w:r>
        <w:rPr>
          <w:rFonts w:ascii="Times New Roman" w:hAnsi="Times New Roman" w:cs="Times New Roman"/>
          <w:sz w:val="20"/>
          <w:szCs w:val="20"/>
        </w:rPr>
        <w:t xml:space="preserve"> with observed acute viral load.  This </w:t>
      </w:r>
      <w:r w:rsidRPr="00AC0EC6">
        <w:rPr>
          <w:rFonts w:ascii="Times New Roman" w:hAnsi="Times New Roman" w:cs="Times New Roman"/>
          <w:sz w:val="20"/>
          <w:szCs w:val="20"/>
        </w:rPr>
        <w:t xml:space="preserve">analysis is valid under the strong assumption that there are no measured or unmeasured variables that predict whether viral load was missing. The complete case analysis produced somewhat stronger evidence of a difference between treatment groups. The estimated mean acute log viral load was 4·9 in vaccine </w:t>
      </w:r>
      <w:r w:rsidR="00CD4619">
        <w:rPr>
          <w:rFonts w:ascii="Times New Roman" w:hAnsi="Times New Roman" w:cs="Times New Roman"/>
          <w:sz w:val="20"/>
          <w:szCs w:val="20"/>
        </w:rPr>
        <w:t xml:space="preserve">recipients </w:t>
      </w:r>
      <w:r w:rsidRPr="00AC0EC6">
        <w:rPr>
          <w:rFonts w:ascii="Times New Roman" w:hAnsi="Times New Roman" w:cs="Times New Roman"/>
          <w:sz w:val="20"/>
          <w:szCs w:val="20"/>
        </w:rPr>
        <w:t xml:space="preserve">and 5·5 in placebo recipients (p = 0·09 </w:t>
      </w:r>
      <w:proofErr w:type="spellStart"/>
      <w:r w:rsidRPr="00AC0EC6">
        <w:rPr>
          <w:rFonts w:ascii="Times New Roman" w:hAnsi="Times New Roman" w:cs="Times New Roman"/>
          <w:sz w:val="20"/>
          <w:szCs w:val="20"/>
        </w:rPr>
        <w:t>Wilcoxon</w:t>
      </w:r>
      <w:proofErr w:type="spellEnd"/>
      <w:r w:rsidRPr="00AC0EC6">
        <w:rPr>
          <w:rFonts w:ascii="Times New Roman" w:hAnsi="Times New Roman" w:cs="Times New Roman"/>
          <w:sz w:val="20"/>
          <w:szCs w:val="20"/>
        </w:rPr>
        <w:t xml:space="preserve"> rank sum; p = 0·22 t-test). </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Figure S6 shows the distribution of acute viral load by treatment assignment and HLA group. The data were too sparse to perform formal statistical tests comparing vaccine and placebo recipients stratified by HLA group, but descriptively the average log acute viral load was lower in vaccine recipients compared to placebo recipients in the neutral and protective HLA groups.</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b/>
          <w:sz w:val="20"/>
          <w:szCs w:val="20"/>
        </w:rPr>
      </w:pPr>
      <w:r w:rsidRPr="00AC0EC6">
        <w:rPr>
          <w:rFonts w:ascii="Times New Roman" w:hAnsi="Times New Roman" w:cs="Times New Roman"/>
          <w:b/>
          <w:sz w:val="20"/>
          <w:szCs w:val="20"/>
        </w:rPr>
        <w:t xml:space="preserve">4. Association between acute viral load and </w:t>
      </w:r>
      <w:proofErr w:type="spellStart"/>
      <w:r w:rsidRPr="00AC0EC6">
        <w:rPr>
          <w:rFonts w:ascii="Times New Roman" w:hAnsi="Times New Roman" w:cs="Times New Roman"/>
          <w:b/>
          <w:sz w:val="20"/>
          <w:szCs w:val="20"/>
        </w:rPr>
        <w:t>epitope</w:t>
      </w:r>
      <w:proofErr w:type="spellEnd"/>
      <w:r w:rsidRPr="00AC0EC6">
        <w:rPr>
          <w:rFonts w:ascii="Times New Roman" w:hAnsi="Times New Roman" w:cs="Times New Roman"/>
          <w:b/>
          <w:sz w:val="20"/>
          <w:szCs w:val="20"/>
        </w:rPr>
        <w:t>-based distance measures</w:t>
      </w:r>
    </w:p>
    <w:p w:rsidR="00F40EDF" w:rsidRPr="00AC0EC6" w:rsidRDefault="00F40EDF" w:rsidP="00F40EDF">
      <w:pPr>
        <w:autoSpaceDE w:val="0"/>
        <w:autoSpaceDN w:val="0"/>
        <w:adjustRightInd w:val="0"/>
        <w:spacing w:after="0" w:line="240" w:lineRule="auto"/>
        <w:rPr>
          <w:rFonts w:ascii="Times New Roman" w:hAnsi="Times New Roman" w:cs="Times New Roman"/>
          <w:b/>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 xml:space="preserve">Figures S7-S11 show the association between acute viral load and each summary distance measure, for Gag, </w:t>
      </w:r>
      <w:proofErr w:type="spellStart"/>
      <w:r w:rsidRPr="00AC0EC6">
        <w:rPr>
          <w:rFonts w:ascii="Times New Roman" w:hAnsi="Times New Roman" w:cs="Times New Roman"/>
          <w:sz w:val="20"/>
          <w:szCs w:val="20"/>
        </w:rPr>
        <w:t>Pol</w:t>
      </w:r>
      <w:proofErr w:type="spellEnd"/>
      <w:r w:rsidRPr="00AC0EC6">
        <w:rPr>
          <w:rFonts w:ascii="Times New Roman" w:hAnsi="Times New Roman" w:cs="Times New Roman"/>
          <w:sz w:val="20"/>
          <w:szCs w:val="20"/>
        </w:rPr>
        <w:t xml:space="preserve">, and </w:t>
      </w:r>
      <w:proofErr w:type="spellStart"/>
      <w:r w:rsidRPr="00AC0EC6">
        <w:rPr>
          <w:rFonts w:ascii="Times New Roman" w:hAnsi="Times New Roman" w:cs="Times New Roman"/>
          <w:sz w:val="20"/>
          <w:szCs w:val="20"/>
        </w:rPr>
        <w:t>Nef</w:t>
      </w:r>
      <w:proofErr w:type="spellEnd"/>
      <w:r w:rsidRPr="00AC0EC6">
        <w:rPr>
          <w:rFonts w:ascii="Times New Roman" w:hAnsi="Times New Roman" w:cs="Times New Roman"/>
          <w:sz w:val="20"/>
          <w:szCs w:val="20"/>
        </w:rPr>
        <w:t xml:space="preserve"> in </w:t>
      </w:r>
      <w:proofErr w:type="gramStart"/>
      <w:r w:rsidRPr="00AC0EC6">
        <w:rPr>
          <w:rFonts w:ascii="Times New Roman" w:hAnsi="Times New Roman" w:cs="Times New Roman"/>
          <w:sz w:val="20"/>
          <w:szCs w:val="20"/>
        </w:rPr>
        <w:t>total,</w:t>
      </w:r>
      <w:proofErr w:type="gramEnd"/>
      <w:r w:rsidRPr="00AC0EC6">
        <w:rPr>
          <w:rFonts w:ascii="Times New Roman" w:hAnsi="Times New Roman" w:cs="Times New Roman"/>
          <w:sz w:val="20"/>
          <w:szCs w:val="20"/>
        </w:rPr>
        <w:t xml:space="preserve"> and for each protein separately. </w:t>
      </w:r>
      <w:r w:rsidR="00CD4619">
        <w:rPr>
          <w:rFonts w:ascii="Times New Roman" w:hAnsi="Times New Roman" w:cs="Times New Roman"/>
          <w:sz w:val="20"/>
          <w:szCs w:val="20"/>
        </w:rPr>
        <w:t xml:space="preserve"> Inferential results for these data are reported in the main text of the manuscript.</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b/>
          <w:sz w:val="20"/>
          <w:szCs w:val="20"/>
        </w:rPr>
      </w:pPr>
      <w:r w:rsidRPr="00AC0EC6">
        <w:rPr>
          <w:rFonts w:ascii="Times New Roman" w:hAnsi="Times New Roman" w:cs="Times New Roman"/>
          <w:b/>
          <w:sz w:val="20"/>
          <w:szCs w:val="20"/>
        </w:rPr>
        <w:t>5. Assoc</w:t>
      </w:r>
      <w:r w:rsidR="00CD4619">
        <w:rPr>
          <w:rFonts w:ascii="Times New Roman" w:hAnsi="Times New Roman" w:cs="Times New Roman"/>
          <w:b/>
          <w:sz w:val="20"/>
          <w:szCs w:val="20"/>
        </w:rPr>
        <w:t xml:space="preserve">iation between individual amino </w:t>
      </w:r>
      <w:r w:rsidRPr="00AC0EC6">
        <w:rPr>
          <w:rFonts w:ascii="Times New Roman" w:hAnsi="Times New Roman" w:cs="Times New Roman"/>
          <w:b/>
          <w:sz w:val="20"/>
          <w:szCs w:val="20"/>
        </w:rPr>
        <w:t>acid mutations and acute viral load in the vaccine group</w:t>
      </w:r>
    </w:p>
    <w:p w:rsidR="00F40EDF" w:rsidRPr="00AC0EC6" w:rsidRDefault="00F40EDF" w:rsidP="00F40EDF">
      <w:pPr>
        <w:autoSpaceDE w:val="0"/>
        <w:autoSpaceDN w:val="0"/>
        <w:adjustRightInd w:val="0"/>
        <w:spacing w:after="0" w:line="240" w:lineRule="auto"/>
        <w:rPr>
          <w:rFonts w:ascii="Times New Roman" w:hAnsi="Times New Roman" w:cs="Times New Roman"/>
          <w:b/>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 xml:space="preserve">An analysis was performed to discover individual amino acid mutations associated with </w:t>
      </w:r>
      <w:r w:rsidR="00CD4619">
        <w:rPr>
          <w:rFonts w:ascii="Times New Roman" w:hAnsi="Times New Roman" w:cs="Times New Roman"/>
          <w:sz w:val="20"/>
          <w:szCs w:val="20"/>
        </w:rPr>
        <w:t xml:space="preserve">acute </w:t>
      </w:r>
      <w:r w:rsidRPr="00AC0EC6">
        <w:rPr>
          <w:rFonts w:ascii="Times New Roman" w:hAnsi="Times New Roman" w:cs="Times New Roman"/>
          <w:sz w:val="20"/>
          <w:szCs w:val="20"/>
        </w:rPr>
        <w:t>viral load using data for v</w:t>
      </w:r>
      <w:r w:rsidR="00CD4619">
        <w:rPr>
          <w:rFonts w:ascii="Times New Roman" w:hAnsi="Times New Roman" w:cs="Times New Roman"/>
          <w:sz w:val="20"/>
          <w:szCs w:val="20"/>
        </w:rPr>
        <w:t>accine recipients only (n = 39).  Th</w:t>
      </w:r>
      <w:r w:rsidRPr="00AC0EC6">
        <w:rPr>
          <w:rFonts w:ascii="Times New Roman" w:hAnsi="Times New Roman" w:cs="Times New Roman"/>
          <w:sz w:val="20"/>
          <w:szCs w:val="20"/>
        </w:rPr>
        <w:t xml:space="preserve">ere was insufficient data to perform the analysis in placebo recipients. The analysis scanned through the Gag, </w:t>
      </w:r>
      <w:proofErr w:type="spellStart"/>
      <w:r w:rsidRPr="00AC0EC6">
        <w:rPr>
          <w:rFonts w:ascii="Times New Roman" w:hAnsi="Times New Roman" w:cs="Times New Roman"/>
          <w:sz w:val="20"/>
          <w:szCs w:val="20"/>
        </w:rPr>
        <w:t>Pol</w:t>
      </w:r>
      <w:proofErr w:type="spellEnd"/>
      <w:r w:rsidRPr="00AC0EC6">
        <w:rPr>
          <w:rFonts w:ascii="Times New Roman" w:hAnsi="Times New Roman" w:cs="Times New Roman"/>
          <w:sz w:val="20"/>
          <w:szCs w:val="20"/>
        </w:rPr>
        <w:t xml:space="preserve">, and </w:t>
      </w:r>
      <w:proofErr w:type="spellStart"/>
      <w:r w:rsidRPr="00AC0EC6">
        <w:rPr>
          <w:rFonts w:ascii="Times New Roman" w:hAnsi="Times New Roman" w:cs="Times New Roman"/>
          <w:sz w:val="20"/>
          <w:szCs w:val="20"/>
        </w:rPr>
        <w:t>Nef</w:t>
      </w:r>
      <w:proofErr w:type="spellEnd"/>
      <w:r w:rsidRPr="00AC0EC6">
        <w:rPr>
          <w:rFonts w:ascii="Times New Roman" w:hAnsi="Times New Roman" w:cs="Times New Roman"/>
          <w:sz w:val="20"/>
          <w:szCs w:val="20"/>
        </w:rPr>
        <w:t xml:space="preserve"> (majority consensus) proteins to discover amino acid mismatches at sites that predict acute viral load. The statistical approach combined </w:t>
      </w:r>
      <w:proofErr w:type="spellStart"/>
      <w:r w:rsidRPr="00AC0EC6">
        <w:rPr>
          <w:rFonts w:ascii="Times New Roman" w:hAnsi="Times New Roman" w:cs="Times New Roman"/>
          <w:sz w:val="20"/>
          <w:szCs w:val="20"/>
        </w:rPr>
        <w:t>EEBoost</w:t>
      </w:r>
      <w:proofErr w:type="spellEnd"/>
      <w:r w:rsidRPr="00AC0EC6">
        <w:rPr>
          <w:rFonts w:ascii="Times New Roman" w:hAnsi="Times New Roman" w:cs="Times New Roman"/>
          <w:sz w:val="20"/>
          <w:szCs w:val="20"/>
        </w:rPr>
        <w:t xml:space="preserve"> with a semi-parametric efficient augmented </w:t>
      </w:r>
      <w:r w:rsidR="00CD4619">
        <w:rPr>
          <w:rFonts w:ascii="Times New Roman" w:hAnsi="Times New Roman" w:cs="Times New Roman"/>
          <w:sz w:val="20"/>
          <w:szCs w:val="20"/>
        </w:rPr>
        <w:t>IPW</w:t>
      </w:r>
      <w:r w:rsidRPr="00AC0EC6">
        <w:rPr>
          <w:rFonts w:ascii="Times New Roman" w:hAnsi="Times New Roman" w:cs="Times New Roman"/>
          <w:sz w:val="20"/>
          <w:szCs w:val="20"/>
        </w:rPr>
        <w:t xml:space="preserve"> approach to estimate the mean log acute viral load as a function of the indicator variables for each amino acid mismatch</w:t>
      </w:r>
      <w:r>
        <w:rPr>
          <w:rFonts w:ascii="Times New Roman" w:hAnsi="Times New Roman" w:cs="Times New Roman"/>
          <w:sz w:val="20"/>
          <w:szCs w:val="20"/>
        </w:rPr>
        <w:t xml:space="preserve"> [</w:t>
      </w:r>
      <w:r w:rsidRPr="00140E0D">
        <w:rPr>
          <w:rFonts w:ascii="Times New Roman" w:hAnsi="Times New Roman" w:cs="Times New Roman"/>
          <w:sz w:val="20"/>
          <w:szCs w:val="20"/>
        </w:rPr>
        <w:t>2</w:t>
      </w:r>
      <w:r>
        <w:rPr>
          <w:rFonts w:ascii="Times New Roman" w:hAnsi="Times New Roman" w:cs="Times New Roman"/>
          <w:sz w:val="20"/>
          <w:szCs w:val="20"/>
        </w:rPr>
        <w:t>].</w:t>
      </w:r>
      <w:r w:rsidRPr="00AC0EC6">
        <w:rPr>
          <w:rFonts w:ascii="Times New Roman" w:hAnsi="Times New Roman" w:cs="Times New Roman"/>
          <w:sz w:val="20"/>
          <w:szCs w:val="20"/>
        </w:rPr>
        <w:t xml:space="preserve"> Missing viral load values were imputed as described in the methods section </w:t>
      </w:r>
      <w:r w:rsidR="00CD4619">
        <w:rPr>
          <w:rFonts w:ascii="Times New Roman" w:hAnsi="Times New Roman" w:cs="Times New Roman"/>
          <w:sz w:val="20"/>
          <w:szCs w:val="20"/>
        </w:rPr>
        <w:t xml:space="preserve">of the main text </w:t>
      </w:r>
      <w:r w:rsidRPr="00AC0EC6">
        <w:rPr>
          <w:rFonts w:ascii="Times New Roman" w:hAnsi="Times New Roman" w:cs="Times New Roman"/>
          <w:sz w:val="20"/>
          <w:szCs w:val="20"/>
        </w:rPr>
        <w:t xml:space="preserve">and the probability of having a missing viral load measurement was estimated </w:t>
      </w:r>
      <w:r w:rsidR="00CD4619">
        <w:rPr>
          <w:rFonts w:ascii="Times New Roman" w:hAnsi="Times New Roman" w:cs="Times New Roman"/>
          <w:sz w:val="20"/>
          <w:szCs w:val="20"/>
        </w:rPr>
        <w:t>as described in Supplementary M</w:t>
      </w:r>
      <w:r w:rsidRPr="00AC0EC6">
        <w:rPr>
          <w:rFonts w:ascii="Times New Roman" w:hAnsi="Times New Roman" w:cs="Times New Roman"/>
          <w:sz w:val="20"/>
          <w:szCs w:val="20"/>
        </w:rPr>
        <w:t xml:space="preserve">aterials Section 3. The statistical significance of the mismatches was assessed using the two-stage permutation procedure described in Gilbert </w:t>
      </w:r>
      <w:r w:rsidRPr="00AC0EC6">
        <w:rPr>
          <w:rFonts w:ascii="Times New Roman" w:hAnsi="Times New Roman" w:cs="Times New Roman"/>
          <w:i/>
          <w:sz w:val="20"/>
          <w:szCs w:val="20"/>
        </w:rPr>
        <w:t>et al.</w:t>
      </w:r>
      <w:r>
        <w:rPr>
          <w:rFonts w:ascii="Times New Roman" w:hAnsi="Times New Roman" w:cs="Times New Roman"/>
          <w:sz w:val="20"/>
          <w:szCs w:val="20"/>
        </w:rPr>
        <w:t xml:space="preserve"> [</w:t>
      </w:r>
      <w:r w:rsidRPr="00140E0D">
        <w:rPr>
          <w:rFonts w:ascii="Times New Roman" w:hAnsi="Times New Roman" w:cs="Times New Roman"/>
          <w:sz w:val="20"/>
          <w:szCs w:val="20"/>
        </w:rPr>
        <w:t>3</w:t>
      </w:r>
      <w:r>
        <w:rPr>
          <w:rFonts w:ascii="Times New Roman" w:hAnsi="Times New Roman" w:cs="Times New Roman"/>
          <w:sz w:val="20"/>
          <w:szCs w:val="20"/>
        </w:rPr>
        <w:t>]</w:t>
      </w:r>
      <w:r w:rsidRPr="00AC0EC6">
        <w:rPr>
          <w:rFonts w:ascii="Times New Roman" w:hAnsi="Times New Roman" w:cs="Times New Roman"/>
          <w:sz w:val="20"/>
          <w:szCs w:val="20"/>
        </w:rPr>
        <w:t xml:space="preserve"> which controls the expected number of false-positive findings (amino acid positions) at one for each protein.</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r w:rsidRPr="00AC0EC6">
        <w:rPr>
          <w:rFonts w:ascii="Times New Roman" w:hAnsi="Times New Roman" w:cs="Times New Roman"/>
          <w:sz w:val="20"/>
          <w:szCs w:val="20"/>
        </w:rPr>
        <w:t xml:space="preserve">The results were as follows. One site in </w:t>
      </w:r>
      <w:proofErr w:type="spellStart"/>
      <w:r w:rsidRPr="00AC0EC6">
        <w:rPr>
          <w:rFonts w:ascii="Times New Roman" w:hAnsi="Times New Roman" w:cs="Times New Roman"/>
          <w:sz w:val="20"/>
          <w:szCs w:val="20"/>
        </w:rPr>
        <w:t>Pol</w:t>
      </w:r>
      <w:proofErr w:type="spellEnd"/>
      <w:r w:rsidRPr="00AC0EC6">
        <w:rPr>
          <w:rFonts w:ascii="Times New Roman" w:hAnsi="Times New Roman" w:cs="Times New Roman"/>
          <w:sz w:val="20"/>
          <w:szCs w:val="20"/>
        </w:rPr>
        <w:t xml:space="preserve"> and 1 site in </w:t>
      </w:r>
      <w:proofErr w:type="spellStart"/>
      <w:r w:rsidRPr="00AC0EC6">
        <w:rPr>
          <w:rFonts w:ascii="Times New Roman" w:hAnsi="Times New Roman" w:cs="Times New Roman"/>
          <w:sz w:val="20"/>
          <w:szCs w:val="20"/>
        </w:rPr>
        <w:t>Nef</w:t>
      </w:r>
      <w:proofErr w:type="spellEnd"/>
      <w:r w:rsidRPr="00AC0EC6">
        <w:rPr>
          <w:rFonts w:ascii="Times New Roman" w:hAnsi="Times New Roman" w:cs="Times New Roman"/>
          <w:sz w:val="20"/>
          <w:szCs w:val="20"/>
        </w:rPr>
        <w:t xml:space="preserve"> were identified as being associated with acute viral load. Given that the analysis controlled the expected number of false positives at one per protein, these are likely false positive discoveries. Five amino acid mismatches were identified in Gag. Interestingly, 3 of the 5 sites in Gag are located within 9 amino acids of a signature site and 2 are covered by 15-mers which generated pre-infection T-cell responses (see Figure 4 of the main text). Mismatched amino acid at sites D93E and E460A were associated with 0·12 and 0·30 higher average log viral load than matched amino acid. This suggests that T-cells, induced by vaccination and/or by HIV infection, may have recognized the </w:t>
      </w:r>
      <w:proofErr w:type="spellStart"/>
      <w:r w:rsidRPr="00AC0EC6">
        <w:rPr>
          <w:rFonts w:ascii="Times New Roman" w:hAnsi="Times New Roman" w:cs="Times New Roman"/>
          <w:sz w:val="20"/>
          <w:szCs w:val="20"/>
        </w:rPr>
        <w:t>epitope</w:t>
      </w:r>
      <w:proofErr w:type="spellEnd"/>
      <w:r w:rsidRPr="00AC0EC6">
        <w:rPr>
          <w:rFonts w:ascii="Times New Roman" w:hAnsi="Times New Roman" w:cs="Times New Roman"/>
          <w:sz w:val="20"/>
          <w:szCs w:val="20"/>
        </w:rPr>
        <w:t xml:space="preserve"> covering these sites and were able to suppress viral replication. However neither of these sites was detected in the analysis which compared acute viral load between vaccine and placebo recipients with an insert-matched amino acid at each individual site (</w:t>
      </w:r>
      <w:r w:rsidR="00CD4619">
        <w:rPr>
          <w:rFonts w:ascii="Times New Roman" w:hAnsi="Times New Roman" w:cs="Times New Roman"/>
          <w:sz w:val="20"/>
          <w:szCs w:val="20"/>
        </w:rPr>
        <w:t>see main text R</w:t>
      </w:r>
      <w:r>
        <w:rPr>
          <w:rFonts w:ascii="Times New Roman" w:hAnsi="Times New Roman" w:cs="Times New Roman"/>
          <w:sz w:val="20"/>
          <w:szCs w:val="20"/>
        </w:rPr>
        <w:t>esults</w:t>
      </w:r>
      <w:r w:rsidRPr="00AC0EC6">
        <w:rPr>
          <w:rFonts w:ascii="Times New Roman" w:hAnsi="Times New Roman" w:cs="Times New Roman"/>
          <w:sz w:val="20"/>
          <w:szCs w:val="20"/>
        </w:rPr>
        <w:t xml:space="preserve">). Mismatched amino acid at sites Q127K, T204V, and E482D were associated with 0.34, 0.25, and 0.39 lower average log viral </w:t>
      </w:r>
      <w:proofErr w:type="gramStart"/>
      <w:r w:rsidRPr="00AC0EC6">
        <w:rPr>
          <w:rFonts w:ascii="Times New Roman" w:hAnsi="Times New Roman" w:cs="Times New Roman"/>
          <w:sz w:val="20"/>
          <w:szCs w:val="20"/>
        </w:rPr>
        <w:t>load</w:t>
      </w:r>
      <w:proofErr w:type="gramEnd"/>
      <w:r w:rsidRPr="00AC0EC6">
        <w:rPr>
          <w:rFonts w:ascii="Times New Roman" w:hAnsi="Times New Roman" w:cs="Times New Roman"/>
          <w:sz w:val="20"/>
          <w:szCs w:val="20"/>
        </w:rPr>
        <w:t xml:space="preserve"> than matched amino acid. This suggests a potential fitness cost associated with these mutations. </w:t>
      </w:r>
    </w:p>
    <w:p w:rsidR="00F40EDF" w:rsidRPr="00AC0EC6" w:rsidRDefault="00F40EDF" w:rsidP="00F40EDF">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CD4619">
      <w:pPr>
        <w:autoSpaceDE w:val="0"/>
        <w:autoSpaceDN w:val="0"/>
        <w:adjustRightInd w:val="0"/>
        <w:spacing w:after="0" w:line="240" w:lineRule="auto"/>
        <w:rPr>
          <w:rFonts w:ascii="Times New Roman" w:hAnsi="Times New Roman" w:cs="Times New Roman"/>
          <w:b/>
          <w:sz w:val="20"/>
          <w:szCs w:val="20"/>
        </w:rPr>
      </w:pPr>
      <w:r w:rsidRPr="00AC0EC6">
        <w:rPr>
          <w:rFonts w:ascii="Times New Roman" w:hAnsi="Times New Roman" w:cs="Times New Roman"/>
          <w:b/>
          <w:sz w:val="20"/>
          <w:szCs w:val="20"/>
        </w:rPr>
        <w:t>References</w:t>
      </w:r>
    </w:p>
    <w:p w:rsidR="00F40EDF" w:rsidRPr="00AC0EC6" w:rsidRDefault="00F40EDF" w:rsidP="00CD4619">
      <w:pPr>
        <w:autoSpaceDE w:val="0"/>
        <w:autoSpaceDN w:val="0"/>
        <w:adjustRightInd w:val="0"/>
        <w:spacing w:after="0" w:line="240" w:lineRule="auto"/>
        <w:rPr>
          <w:rFonts w:ascii="Times New Roman" w:hAnsi="Times New Roman" w:cs="Times New Roman"/>
          <w:sz w:val="20"/>
          <w:szCs w:val="20"/>
        </w:rPr>
      </w:pPr>
    </w:p>
    <w:p w:rsidR="00F40EDF" w:rsidRPr="003703FB" w:rsidRDefault="00F40EDF" w:rsidP="00CD46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3703FB">
        <w:rPr>
          <w:rFonts w:ascii="Times New Roman" w:hAnsi="Times New Roman" w:cs="Times New Roman"/>
          <w:sz w:val="20"/>
          <w:szCs w:val="20"/>
        </w:rPr>
        <w:tab/>
      </w:r>
      <w:proofErr w:type="spellStart"/>
      <w:r w:rsidRPr="003703FB">
        <w:rPr>
          <w:rFonts w:ascii="Times New Roman" w:hAnsi="Times New Roman" w:cs="Times New Roman"/>
          <w:sz w:val="20"/>
          <w:szCs w:val="20"/>
        </w:rPr>
        <w:t>Barouch</w:t>
      </w:r>
      <w:proofErr w:type="spellEnd"/>
      <w:r w:rsidRPr="003703FB">
        <w:rPr>
          <w:rFonts w:ascii="Times New Roman" w:hAnsi="Times New Roman" w:cs="Times New Roman"/>
          <w:sz w:val="20"/>
          <w:szCs w:val="20"/>
        </w:rPr>
        <w:t xml:space="preserve"> DH, O'Brien KL, Simmons NL </w:t>
      </w:r>
      <w:r w:rsidRPr="003703FB">
        <w:rPr>
          <w:rFonts w:ascii="Times New Roman" w:hAnsi="Times New Roman" w:cs="Times New Roman"/>
          <w:i/>
          <w:sz w:val="20"/>
          <w:szCs w:val="20"/>
        </w:rPr>
        <w:t>et al.</w:t>
      </w:r>
      <w:r w:rsidRPr="003703FB">
        <w:rPr>
          <w:rFonts w:ascii="Times New Roman" w:hAnsi="Times New Roman" w:cs="Times New Roman"/>
          <w:sz w:val="20"/>
          <w:szCs w:val="20"/>
        </w:rPr>
        <w:t xml:space="preserve"> Mosaic HIV-1 vaccines expand the breadth and depth of cellular immune responses in rhesus monkeys. </w:t>
      </w:r>
      <w:proofErr w:type="gramStart"/>
      <w:r w:rsidRPr="003703FB">
        <w:rPr>
          <w:rFonts w:ascii="Times New Roman" w:hAnsi="Times New Roman" w:cs="Times New Roman"/>
          <w:i/>
          <w:sz w:val="20"/>
          <w:szCs w:val="20"/>
        </w:rPr>
        <w:t>Nat Med.</w:t>
      </w:r>
      <w:r w:rsidRPr="003703FB">
        <w:rPr>
          <w:rFonts w:ascii="Times New Roman" w:hAnsi="Times New Roman" w:cs="Times New Roman"/>
          <w:sz w:val="20"/>
          <w:szCs w:val="20"/>
        </w:rPr>
        <w:t xml:space="preserve"> 2010; </w:t>
      </w:r>
      <w:r w:rsidRPr="003703FB">
        <w:rPr>
          <w:rFonts w:ascii="Times New Roman" w:hAnsi="Times New Roman" w:cs="Times New Roman"/>
          <w:b/>
          <w:sz w:val="20"/>
          <w:szCs w:val="20"/>
        </w:rPr>
        <w:t>16</w:t>
      </w:r>
      <w:r w:rsidRPr="003703FB">
        <w:rPr>
          <w:rFonts w:ascii="Times New Roman" w:hAnsi="Times New Roman" w:cs="Times New Roman"/>
          <w:sz w:val="20"/>
          <w:szCs w:val="20"/>
        </w:rPr>
        <w:t>: 319–23.</w:t>
      </w:r>
      <w:proofErr w:type="gramEnd"/>
    </w:p>
    <w:p w:rsidR="00F40EDF" w:rsidRPr="003703FB" w:rsidRDefault="00F40EDF" w:rsidP="00CD4619">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CD46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AC0EC6">
        <w:rPr>
          <w:rFonts w:ascii="Times New Roman" w:hAnsi="Times New Roman" w:cs="Times New Roman"/>
          <w:sz w:val="20"/>
          <w:szCs w:val="20"/>
        </w:rPr>
        <w:tab/>
      </w:r>
      <w:proofErr w:type="spellStart"/>
      <w:r w:rsidRPr="00AC0EC6">
        <w:rPr>
          <w:rFonts w:ascii="Times New Roman" w:hAnsi="Times New Roman" w:cs="Times New Roman"/>
          <w:sz w:val="20"/>
          <w:szCs w:val="20"/>
        </w:rPr>
        <w:t>Wolfson</w:t>
      </w:r>
      <w:proofErr w:type="spellEnd"/>
      <w:r w:rsidRPr="00AC0EC6">
        <w:rPr>
          <w:rFonts w:ascii="Times New Roman" w:hAnsi="Times New Roman" w:cs="Times New Roman"/>
          <w:sz w:val="20"/>
          <w:szCs w:val="20"/>
        </w:rPr>
        <w:t xml:space="preserve"> J. EE boost: A general method for prediction and variable selection based on estimating equations. </w:t>
      </w:r>
      <w:r w:rsidRPr="00AC0EC6">
        <w:rPr>
          <w:rFonts w:ascii="Times New Roman" w:hAnsi="Times New Roman" w:cs="Times New Roman"/>
          <w:i/>
          <w:sz w:val="20"/>
          <w:szCs w:val="20"/>
        </w:rPr>
        <w:t>J Am Stat Assoc</w:t>
      </w:r>
      <w:r w:rsidRPr="00AC0EC6">
        <w:rPr>
          <w:rFonts w:ascii="Times New Roman" w:hAnsi="Times New Roman" w:cs="Times New Roman"/>
          <w:sz w:val="20"/>
          <w:szCs w:val="20"/>
        </w:rPr>
        <w:t xml:space="preserve"> 2011; </w:t>
      </w:r>
      <w:r w:rsidRPr="00AC0EC6">
        <w:rPr>
          <w:rFonts w:ascii="Times New Roman" w:hAnsi="Times New Roman" w:cs="Times New Roman"/>
          <w:b/>
          <w:sz w:val="20"/>
          <w:szCs w:val="20"/>
        </w:rPr>
        <w:t>106</w:t>
      </w:r>
      <w:r w:rsidRPr="00AC0EC6">
        <w:rPr>
          <w:rFonts w:ascii="Times New Roman" w:hAnsi="Times New Roman" w:cs="Times New Roman"/>
          <w:sz w:val="20"/>
          <w:szCs w:val="20"/>
        </w:rPr>
        <w:t>: 296-305.</w:t>
      </w:r>
    </w:p>
    <w:p w:rsidR="00F40EDF" w:rsidRPr="00AC0EC6" w:rsidRDefault="00F40EDF" w:rsidP="00CD4619">
      <w:pPr>
        <w:autoSpaceDE w:val="0"/>
        <w:autoSpaceDN w:val="0"/>
        <w:adjustRightInd w:val="0"/>
        <w:spacing w:after="0" w:line="240" w:lineRule="auto"/>
        <w:rPr>
          <w:rFonts w:ascii="Times New Roman" w:hAnsi="Times New Roman" w:cs="Times New Roman"/>
          <w:sz w:val="20"/>
          <w:szCs w:val="20"/>
        </w:rPr>
      </w:pPr>
    </w:p>
    <w:p w:rsidR="00F40EDF" w:rsidRPr="00AC0EC6" w:rsidRDefault="00F40EDF" w:rsidP="00CD4619">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w:t>
      </w:r>
      <w:r w:rsidRPr="00AC0EC6">
        <w:rPr>
          <w:rFonts w:ascii="Times New Roman" w:hAnsi="Times New Roman" w:cs="Times New Roman"/>
          <w:sz w:val="20"/>
          <w:szCs w:val="20"/>
        </w:rPr>
        <w:tab/>
        <w:t xml:space="preserve">Gilbert PB, Wu C, </w:t>
      </w:r>
      <w:proofErr w:type="spellStart"/>
      <w:r w:rsidRPr="00AC0EC6">
        <w:rPr>
          <w:rFonts w:ascii="Times New Roman" w:hAnsi="Times New Roman" w:cs="Times New Roman"/>
          <w:sz w:val="20"/>
          <w:szCs w:val="20"/>
        </w:rPr>
        <w:t>Jobes</w:t>
      </w:r>
      <w:proofErr w:type="spellEnd"/>
      <w:r w:rsidRPr="00AC0EC6">
        <w:rPr>
          <w:rFonts w:ascii="Times New Roman" w:hAnsi="Times New Roman" w:cs="Times New Roman"/>
          <w:sz w:val="20"/>
          <w:szCs w:val="20"/>
        </w:rPr>
        <w:t xml:space="preserve"> DV. Genome scanning tests for comparing amino acid sequences between groups. </w:t>
      </w:r>
      <w:r w:rsidRPr="00AC0EC6">
        <w:rPr>
          <w:rFonts w:ascii="Times New Roman" w:hAnsi="Times New Roman" w:cs="Times New Roman"/>
          <w:i/>
          <w:sz w:val="20"/>
          <w:szCs w:val="20"/>
        </w:rPr>
        <w:t>Biometrics</w:t>
      </w:r>
      <w:r w:rsidRPr="00AC0EC6">
        <w:rPr>
          <w:rFonts w:ascii="Times New Roman" w:hAnsi="Times New Roman" w:cs="Times New Roman"/>
          <w:sz w:val="20"/>
          <w:szCs w:val="20"/>
        </w:rPr>
        <w:t xml:space="preserve"> 2008; </w:t>
      </w:r>
      <w:r w:rsidRPr="00AC0EC6">
        <w:rPr>
          <w:rFonts w:ascii="Times New Roman" w:hAnsi="Times New Roman" w:cs="Times New Roman"/>
          <w:b/>
          <w:sz w:val="20"/>
          <w:szCs w:val="20"/>
        </w:rPr>
        <w:t>64</w:t>
      </w:r>
      <w:r w:rsidRPr="00AC0EC6">
        <w:rPr>
          <w:rFonts w:ascii="Times New Roman" w:hAnsi="Times New Roman" w:cs="Times New Roman"/>
          <w:sz w:val="20"/>
          <w:szCs w:val="20"/>
        </w:rPr>
        <w:t>: 198–207.</w:t>
      </w:r>
      <w:r>
        <w:rPr>
          <w:rFonts w:ascii="Times New Roman" w:hAnsi="Times New Roman" w:cs="Times New Roman"/>
          <w:b/>
          <w:sz w:val="20"/>
          <w:szCs w:val="20"/>
        </w:rPr>
        <w:t xml:space="preserve"> </w:t>
      </w:r>
    </w:p>
    <w:sectPr w:rsidR="00F40EDF" w:rsidRPr="00AC0EC6" w:rsidSect="009122E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FD" w:rsidRDefault="00CA3CFD" w:rsidP="00CA3CFD">
      <w:pPr>
        <w:spacing w:after="0" w:line="240" w:lineRule="auto"/>
      </w:pPr>
      <w:r>
        <w:separator/>
      </w:r>
    </w:p>
  </w:endnote>
  <w:endnote w:type="continuationSeparator" w:id="0">
    <w:p w:rsidR="00CA3CFD" w:rsidRDefault="00CA3CFD" w:rsidP="00CA3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8330"/>
      <w:docPartObj>
        <w:docPartGallery w:val="Page Numbers (Bottom of Page)"/>
        <w:docPartUnique/>
      </w:docPartObj>
    </w:sdtPr>
    <w:sdtContent>
      <w:p w:rsidR="009122EF" w:rsidRDefault="00240F33">
        <w:pPr>
          <w:pStyle w:val="Footer"/>
          <w:jc w:val="center"/>
        </w:pPr>
        <w:fldSimple w:instr=" PAGE   \* MERGEFORMAT ">
          <w:r w:rsidR="00CD4619">
            <w:rPr>
              <w:noProof/>
            </w:rPr>
            <w:t>1</w:t>
          </w:r>
        </w:fldSimple>
      </w:p>
    </w:sdtContent>
  </w:sdt>
  <w:p w:rsidR="009122EF" w:rsidRDefault="00912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FD" w:rsidRDefault="00CA3CFD" w:rsidP="00CA3CFD">
      <w:pPr>
        <w:spacing w:after="0" w:line="240" w:lineRule="auto"/>
      </w:pPr>
      <w:r>
        <w:separator/>
      </w:r>
    </w:p>
  </w:footnote>
  <w:footnote w:type="continuationSeparator" w:id="0">
    <w:p w:rsidR="00CA3CFD" w:rsidRDefault="00CA3CFD" w:rsidP="00CA3C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40EDF"/>
    <w:rsid w:val="000A4F84"/>
    <w:rsid w:val="000B7F2C"/>
    <w:rsid w:val="00170DA3"/>
    <w:rsid w:val="00240F33"/>
    <w:rsid w:val="003D62E2"/>
    <w:rsid w:val="00546B13"/>
    <w:rsid w:val="00585920"/>
    <w:rsid w:val="008A4EB2"/>
    <w:rsid w:val="009122EF"/>
    <w:rsid w:val="00924785"/>
    <w:rsid w:val="00CA3CFD"/>
    <w:rsid w:val="00CD4619"/>
    <w:rsid w:val="00D76FE4"/>
    <w:rsid w:val="00E211F9"/>
    <w:rsid w:val="00F40EDF"/>
    <w:rsid w:val="00F74ECB"/>
    <w:rsid w:val="00FB1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DF"/>
  </w:style>
  <w:style w:type="paragraph" w:styleId="BalloonText">
    <w:name w:val="Balloon Text"/>
    <w:basedOn w:val="Normal"/>
    <w:link w:val="BalloonTextChar"/>
    <w:uiPriority w:val="99"/>
    <w:semiHidden/>
    <w:unhideWhenUsed/>
    <w:rsid w:val="00F4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Fred Hutchinson Research Center</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hjanes</dc:creator>
  <cp:lastModifiedBy>hjanes</cp:lastModifiedBy>
  <cp:revision>3</cp:revision>
  <dcterms:created xsi:type="dcterms:W3CDTF">2012-07-31T04:49:00Z</dcterms:created>
  <dcterms:modified xsi:type="dcterms:W3CDTF">2012-07-31T05:02:00Z</dcterms:modified>
</cp:coreProperties>
</file>