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0E8F7" w14:textId="6FB2851A" w:rsidR="00613E36" w:rsidRDefault="00613E36" w:rsidP="00AD08DB">
      <w:pPr>
        <w:widowControl w:val="0"/>
        <w:autoSpaceDE w:val="0"/>
        <w:autoSpaceDN w:val="0"/>
        <w:adjustRightInd w:val="0"/>
        <w:rPr>
          <w:b/>
          <w:color w:val="000000"/>
          <w:sz w:val="22"/>
          <w:szCs w:val="22"/>
        </w:rPr>
      </w:pPr>
      <w:r>
        <w:rPr>
          <w:b/>
          <w:color w:val="000000"/>
          <w:sz w:val="22"/>
          <w:szCs w:val="22"/>
        </w:rPr>
        <w:t>METHODS</w:t>
      </w:r>
      <w:r w:rsidR="00566BB7">
        <w:rPr>
          <w:b/>
          <w:color w:val="000000"/>
          <w:sz w:val="22"/>
          <w:szCs w:val="22"/>
        </w:rPr>
        <w:t xml:space="preserve"> S1</w:t>
      </w:r>
    </w:p>
    <w:p w14:paraId="2EA91980" w14:textId="77777777" w:rsidR="00566BB7" w:rsidRPr="00BE5CFC" w:rsidRDefault="00566BB7" w:rsidP="00AD08DB">
      <w:pPr>
        <w:widowControl w:val="0"/>
        <w:autoSpaceDE w:val="0"/>
        <w:autoSpaceDN w:val="0"/>
        <w:adjustRightInd w:val="0"/>
        <w:rPr>
          <w:b/>
          <w:color w:val="000000"/>
          <w:sz w:val="22"/>
          <w:szCs w:val="22"/>
        </w:rPr>
      </w:pPr>
      <w:bookmarkStart w:id="0" w:name="_GoBack"/>
      <w:bookmarkEnd w:id="0"/>
    </w:p>
    <w:p w14:paraId="46963EF8" w14:textId="77777777" w:rsidR="00FD2E84" w:rsidRPr="00BE5CFC" w:rsidRDefault="00FD2E84" w:rsidP="00FD2E84">
      <w:pPr>
        <w:widowControl w:val="0"/>
        <w:autoSpaceDE w:val="0"/>
        <w:autoSpaceDN w:val="0"/>
        <w:adjustRightInd w:val="0"/>
        <w:jc w:val="both"/>
        <w:rPr>
          <w:b/>
          <w:bCs/>
          <w:i/>
          <w:color w:val="000000"/>
          <w:sz w:val="22"/>
        </w:rPr>
      </w:pPr>
      <w:r w:rsidRPr="00BE5CFC">
        <w:rPr>
          <w:b/>
          <w:bCs/>
          <w:i/>
          <w:color w:val="000000"/>
          <w:sz w:val="22"/>
        </w:rPr>
        <w:t xml:space="preserve">Chemicals and </w:t>
      </w:r>
      <w:proofErr w:type="spellStart"/>
      <w:r w:rsidRPr="00BE5CFC">
        <w:rPr>
          <w:b/>
          <w:bCs/>
          <w:i/>
          <w:color w:val="000000"/>
          <w:sz w:val="22"/>
        </w:rPr>
        <w:t>biochemicals</w:t>
      </w:r>
      <w:proofErr w:type="spellEnd"/>
      <w:r w:rsidRPr="00BE5CFC">
        <w:rPr>
          <w:b/>
          <w:bCs/>
          <w:i/>
          <w:color w:val="000000"/>
          <w:sz w:val="22"/>
        </w:rPr>
        <w:t xml:space="preserve">  </w:t>
      </w:r>
    </w:p>
    <w:p w14:paraId="0CFA97DF" w14:textId="77777777" w:rsidR="00FD2E84" w:rsidRPr="00BE5CFC" w:rsidRDefault="00FD2E84" w:rsidP="00FD2E84">
      <w:pPr>
        <w:widowControl w:val="0"/>
        <w:autoSpaceDE w:val="0"/>
        <w:autoSpaceDN w:val="0"/>
        <w:adjustRightInd w:val="0"/>
        <w:jc w:val="both"/>
        <w:rPr>
          <w:bCs/>
          <w:color w:val="000000"/>
          <w:sz w:val="22"/>
        </w:rPr>
      </w:pPr>
      <w:r w:rsidRPr="00BE5CFC">
        <w:rPr>
          <w:bCs/>
          <w:color w:val="000000"/>
          <w:sz w:val="22"/>
        </w:rPr>
        <w:t xml:space="preserve">EDTA, EGTA, sodium succinate, </w:t>
      </w:r>
      <w:proofErr w:type="spellStart"/>
      <w:r w:rsidRPr="00BE5CFC">
        <w:rPr>
          <w:bCs/>
          <w:color w:val="000000"/>
          <w:sz w:val="22"/>
        </w:rPr>
        <w:t>mannitol</w:t>
      </w:r>
      <w:proofErr w:type="spellEnd"/>
      <w:r w:rsidRPr="00BE5CFC">
        <w:rPr>
          <w:bCs/>
          <w:color w:val="000000"/>
          <w:sz w:val="22"/>
        </w:rPr>
        <w:t xml:space="preserve">, sucrose, and HEPES were all purchased from Sigma (St. Louis, MO).  </w:t>
      </w:r>
      <w:proofErr w:type="spellStart"/>
      <w:r w:rsidRPr="00BE5CFC">
        <w:rPr>
          <w:bCs/>
          <w:color w:val="000000"/>
          <w:sz w:val="22"/>
        </w:rPr>
        <w:t>Tris-HCl</w:t>
      </w:r>
      <w:proofErr w:type="spellEnd"/>
      <w:r w:rsidRPr="00BE5CFC">
        <w:rPr>
          <w:bCs/>
          <w:color w:val="000000"/>
          <w:sz w:val="22"/>
        </w:rPr>
        <w:t>, glycine</w:t>
      </w:r>
      <w:r w:rsidR="00FC4C0E">
        <w:rPr>
          <w:bCs/>
          <w:color w:val="000000"/>
          <w:sz w:val="22"/>
        </w:rPr>
        <w:t xml:space="preserve">, </w:t>
      </w:r>
      <w:proofErr w:type="spellStart"/>
      <w:r w:rsidR="00FC4C0E">
        <w:rPr>
          <w:bCs/>
          <w:color w:val="000000"/>
          <w:sz w:val="22"/>
        </w:rPr>
        <w:t>NaCl</w:t>
      </w:r>
      <w:proofErr w:type="spellEnd"/>
      <w:r w:rsidRPr="00BE5CFC">
        <w:rPr>
          <w:bCs/>
          <w:color w:val="000000"/>
          <w:sz w:val="22"/>
        </w:rPr>
        <w:t xml:space="preserve"> and </w:t>
      </w:r>
      <w:r w:rsidR="00FC4C0E">
        <w:rPr>
          <w:bCs/>
          <w:color w:val="000000"/>
          <w:sz w:val="22"/>
        </w:rPr>
        <w:t>KCl</w:t>
      </w:r>
      <w:r w:rsidRPr="00BE5CFC">
        <w:rPr>
          <w:bCs/>
          <w:color w:val="000000"/>
          <w:sz w:val="22"/>
        </w:rPr>
        <w:t xml:space="preserve"> were purchased from Fisher (Pittsburg, PA).  Bovine serum albumin (fatty-acid free) was obtained from MP </w:t>
      </w:r>
      <w:proofErr w:type="spellStart"/>
      <w:r w:rsidRPr="00BE5CFC">
        <w:rPr>
          <w:bCs/>
          <w:color w:val="000000"/>
          <w:sz w:val="22"/>
        </w:rPr>
        <w:t>Biomedicals</w:t>
      </w:r>
      <w:proofErr w:type="spellEnd"/>
      <w:r w:rsidRPr="00BE5CFC">
        <w:rPr>
          <w:bCs/>
          <w:color w:val="000000"/>
          <w:sz w:val="22"/>
        </w:rPr>
        <w:t>.  All reagents were of analytical grade.</w:t>
      </w:r>
    </w:p>
    <w:p w14:paraId="04A10F72" w14:textId="77777777" w:rsidR="00FD2E84" w:rsidRPr="00BE5CFC" w:rsidRDefault="00FD2E84" w:rsidP="00FD2E84">
      <w:pPr>
        <w:widowControl w:val="0"/>
        <w:autoSpaceDE w:val="0"/>
        <w:autoSpaceDN w:val="0"/>
        <w:adjustRightInd w:val="0"/>
        <w:rPr>
          <w:b/>
          <w:bCs/>
          <w:i/>
          <w:color w:val="000000"/>
          <w:sz w:val="22"/>
        </w:rPr>
      </w:pPr>
    </w:p>
    <w:p w14:paraId="31DA3C31" w14:textId="77777777" w:rsidR="00FD2E84" w:rsidRPr="00BE5CFC" w:rsidRDefault="00FD2E84" w:rsidP="00FD2E84">
      <w:pPr>
        <w:widowControl w:val="0"/>
        <w:autoSpaceDE w:val="0"/>
        <w:autoSpaceDN w:val="0"/>
        <w:adjustRightInd w:val="0"/>
        <w:jc w:val="both"/>
        <w:rPr>
          <w:b/>
          <w:bCs/>
          <w:i/>
          <w:color w:val="000000"/>
          <w:sz w:val="22"/>
          <w:szCs w:val="22"/>
        </w:rPr>
      </w:pPr>
      <w:proofErr w:type="spellStart"/>
      <w:r w:rsidRPr="00BE5CFC">
        <w:rPr>
          <w:b/>
          <w:bCs/>
          <w:i/>
          <w:color w:val="000000"/>
          <w:sz w:val="22"/>
        </w:rPr>
        <w:t>Loxed</w:t>
      </w:r>
      <w:proofErr w:type="spellEnd"/>
      <w:r w:rsidRPr="00BE5CFC">
        <w:rPr>
          <w:b/>
          <w:bCs/>
          <w:i/>
          <w:color w:val="000000"/>
          <w:sz w:val="22"/>
        </w:rPr>
        <w:t xml:space="preserve"> </w:t>
      </w:r>
      <w:proofErr w:type="spellStart"/>
      <w:r w:rsidRPr="00BE5CFC">
        <w:rPr>
          <w:b/>
          <w:bCs/>
          <w:i/>
          <w:color w:val="000000"/>
          <w:sz w:val="22"/>
        </w:rPr>
        <w:t>Pten</w:t>
      </w:r>
      <w:proofErr w:type="spellEnd"/>
      <w:r w:rsidRPr="00BE5CFC">
        <w:rPr>
          <w:b/>
          <w:bCs/>
          <w:i/>
          <w:color w:val="000000"/>
          <w:sz w:val="22"/>
        </w:rPr>
        <w:t xml:space="preserve"> and </w:t>
      </w:r>
      <w:proofErr w:type="spellStart"/>
      <w:r w:rsidRPr="00BE5CFC">
        <w:rPr>
          <w:b/>
          <w:bCs/>
          <w:i/>
          <w:color w:val="000000"/>
          <w:sz w:val="22"/>
        </w:rPr>
        <w:t>Cre-loxed</w:t>
      </w:r>
      <w:proofErr w:type="spellEnd"/>
      <w:r w:rsidRPr="00BE5CFC">
        <w:rPr>
          <w:b/>
          <w:bCs/>
          <w:i/>
          <w:color w:val="000000"/>
          <w:sz w:val="22"/>
        </w:rPr>
        <w:t xml:space="preserve"> </w:t>
      </w:r>
      <w:proofErr w:type="spellStart"/>
      <w:r w:rsidRPr="00BE5CFC">
        <w:rPr>
          <w:b/>
          <w:bCs/>
          <w:i/>
          <w:color w:val="000000"/>
          <w:sz w:val="22"/>
        </w:rPr>
        <w:t>Pten</w:t>
      </w:r>
      <w:proofErr w:type="spellEnd"/>
      <w:r w:rsidRPr="00BE5CFC">
        <w:rPr>
          <w:b/>
          <w:bCs/>
          <w:i/>
          <w:color w:val="000000"/>
          <w:sz w:val="22"/>
        </w:rPr>
        <w:t xml:space="preserve"> mice: </w:t>
      </w:r>
      <w:r w:rsidRPr="00BE5CFC">
        <w:rPr>
          <w:color w:val="000000"/>
          <w:sz w:val="22"/>
          <w:szCs w:val="22"/>
        </w:rPr>
        <w:t xml:space="preserve">Mice expressing the CRE transgene under the control of the neuron-specific </w:t>
      </w:r>
      <w:proofErr w:type="spellStart"/>
      <w:r w:rsidRPr="00BE5CFC">
        <w:rPr>
          <w:color w:val="000000"/>
          <w:sz w:val="22"/>
          <w:szCs w:val="22"/>
        </w:rPr>
        <w:t>enolase</w:t>
      </w:r>
      <w:proofErr w:type="spellEnd"/>
      <w:r w:rsidRPr="00BE5CFC">
        <w:rPr>
          <w:color w:val="000000"/>
          <w:sz w:val="22"/>
          <w:szCs w:val="22"/>
        </w:rPr>
        <w:t xml:space="preserve"> (</w:t>
      </w:r>
      <w:proofErr w:type="spellStart"/>
      <w:r w:rsidRPr="00BE5CFC">
        <w:rPr>
          <w:color w:val="000000"/>
          <w:sz w:val="22"/>
          <w:szCs w:val="22"/>
        </w:rPr>
        <w:t>Eno</w:t>
      </w:r>
      <w:proofErr w:type="spellEnd"/>
      <w:r w:rsidRPr="00BE5CFC">
        <w:rPr>
          <w:color w:val="000000"/>
          <w:sz w:val="22"/>
          <w:szCs w:val="22"/>
        </w:rPr>
        <w:t>) promoter and a mouse expressing a conditional-ready (i.e.</w:t>
      </w:r>
      <w:proofErr w:type="gramStart"/>
      <w:r w:rsidRPr="00BE5CFC">
        <w:rPr>
          <w:color w:val="000000"/>
          <w:sz w:val="22"/>
          <w:szCs w:val="22"/>
        </w:rPr>
        <w:t>,</w:t>
      </w:r>
      <w:proofErr w:type="spellStart"/>
      <w:r w:rsidRPr="00BE5CFC">
        <w:rPr>
          <w:color w:val="000000"/>
          <w:sz w:val="22"/>
          <w:szCs w:val="22"/>
        </w:rPr>
        <w:t>loxP</w:t>
      </w:r>
      <w:proofErr w:type="spellEnd"/>
      <w:proofErr w:type="gramEnd"/>
      <w:r w:rsidRPr="00BE5CFC">
        <w:rPr>
          <w:color w:val="000000"/>
          <w:sz w:val="22"/>
          <w:szCs w:val="22"/>
        </w:rPr>
        <w:t xml:space="preserve">-flanked) phosphatase and </w:t>
      </w:r>
      <w:proofErr w:type="spellStart"/>
      <w:r w:rsidRPr="00BE5CFC">
        <w:rPr>
          <w:color w:val="000000"/>
          <w:sz w:val="22"/>
          <w:szCs w:val="22"/>
        </w:rPr>
        <w:t>tensin</w:t>
      </w:r>
      <w:proofErr w:type="spellEnd"/>
      <w:r w:rsidRPr="00BE5CFC">
        <w:rPr>
          <w:color w:val="000000"/>
          <w:sz w:val="22"/>
          <w:szCs w:val="22"/>
        </w:rPr>
        <w:t xml:space="preserve"> homolog (</w:t>
      </w:r>
      <w:proofErr w:type="spellStart"/>
      <w:r w:rsidRPr="00E96899">
        <w:rPr>
          <w:i/>
          <w:color w:val="000000"/>
          <w:sz w:val="22"/>
          <w:szCs w:val="22"/>
        </w:rPr>
        <w:t>Pten</w:t>
      </w:r>
      <w:proofErr w:type="spellEnd"/>
      <w:r w:rsidRPr="00BE5CFC">
        <w:rPr>
          <w:color w:val="000000"/>
          <w:sz w:val="22"/>
          <w:szCs w:val="22"/>
        </w:rPr>
        <w:t>) gene were purchased from Jackson laboratories (</w:t>
      </w:r>
      <w:proofErr w:type="spellStart"/>
      <w:r w:rsidRPr="00BE5CFC">
        <w:rPr>
          <w:color w:val="000000"/>
          <w:sz w:val="22"/>
          <w:szCs w:val="22"/>
        </w:rPr>
        <w:t>Tg</w:t>
      </w:r>
      <w:proofErr w:type="spellEnd"/>
      <w:r w:rsidRPr="00BE5CFC">
        <w:rPr>
          <w:color w:val="000000"/>
          <w:sz w:val="22"/>
          <w:szCs w:val="22"/>
        </w:rPr>
        <w:t>(</w:t>
      </w:r>
      <w:proofErr w:type="spellStart"/>
      <w:r w:rsidRPr="00BE5CFC">
        <w:rPr>
          <w:color w:val="000000"/>
          <w:sz w:val="22"/>
          <w:szCs w:val="22"/>
        </w:rPr>
        <w:t>EnoCre</w:t>
      </w:r>
      <w:proofErr w:type="spellEnd"/>
      <w:r w:rsidRPr="00BE5CFC">
        <w:rPr>
          <w:color w:val="000000"/>
          <w:sz w:val="22"/>
          <w:szCs w:val="22"/>
        </w:rPr>
        <w:t>)</w:t>
      </w:r>
      <w:r>
        <w:rPr>
          <w:color w:val="000000"/>
          <w:sz w:val="22"/>
          <w:szCs w:val="22"/>
        </w:rPr>
        <w:t>)</w:t>
      </w:r>
      <w:r w:rsidRPr="00BE5CFC">
        <w:rPr>
          <w:color w:val="000000"/>
          <w:sz w:val="22"/>
          <w:szCs w:val="22"/>
        </w:rPr>
        <w:t xml:space="preserve"> mice and </w:t>
      </w:r>
      <w:proofErr w:type="spellStart"/>
      <w:r w:rsidRPr="00E96899">
        <w:rPr>
          <w:i/>
          <w:color w:val="000000"/>
          <w:sz w:val="22"/>
          <w:szCs w:val="22"/>
        </w:rPr>
        <w:t>Pten</w:t>
      </w:r>
      <w:proofErr w:type="spellEnd"/>
      <w:r w:rsidRPr="00BE5CFC">
        <w:rPr>
          <w:color w:val="000000"/>
          <w:sz w:val="22"/>
          <w:szCs w:val="22"/>
        </w:rPr>
        <w:t xml:space="preserve"> mice (JAX Stock #5938 and 6440, respectively) and bred at the Mouse Biology Facility at University of California at Davis. After </w:t>
      </w:r>
      <w:proofErr w:type="spellStart"/>
      <w:r w:rsidRPr="00BE5CFC">
        <w:rPr>
          <w:color w:val="000000"/>
          <w:sz w:val="22"/>
          <w:szCs w:val="22"/>
        </w:rPr>
        <w:t>interbreedings</w:t>
      </w:r>
      <w:proofErr w:type="spellEnd"/>
      <w:r w:rsidRPr="00BE5CFC">
        <w:rPr>
          <w:color w:val="000000"/>
          <w:sz w:val="22"/>
          <w:szCs w:val="22"/>
        </w:rPr>
        <w:t xml:space="preserve"> of the ensuing 2 generations, a generation of mutant mice in which the </w:t>
      </w:r>
      <w:proofErr w:type="spellStart"/>
      <w:r w:rsidRPr="00E96899">
        <w:rPr>
          <w:i/>
          <w:color w:val="000000"/>
          <w:sz w:val="22"/>
          <w:szCs w:val="22"/>
        </w:rPr>
        <w:t>Pten</w:t>
      </w:r>
      <w:proofErr w:type="spellEnd"/>
      <w:r w:rsidRPr="00BE5CFC">
        <w:rPr>
          <w:color w:val="000000"/>
          <w:sz w:val="22"/>
          <w:szCs w:val="22"/>
        </w:rPr>
        <w:t xml:space="preserve"> gene was deleted only in neural tissues (e.g., </w:t>
      </w:r>
      <w:r w:rsidRPr="00BE5CFC">
        <w:rPr>
          <w:sz w:val="22"/>
          <w:szCs w:val="22"/>
        </w:rPr>
        <w:t xml:space="preserve">central nervous system neurons; spinal neurons) was obtained. The production of the conditionally mutated </w:t>
      </w:r>
      <w:proofErr w:type="spellStart"/>
      <w:r w:rsidRPr="00E96899">
        <w:rPr>
          <w:i/>
          <w:sz w:val="22"/>
          <w:szCs w:val="22"/>
        </w:rPr>
        <w:t>Pten</w:t>
      </w:r>
      <w:proofErr w:type="spellEnd"/>
      <w:r w:rsidRPr="00BE5CFC">
        <w:rPr>
          <w:sz w:val="22"/>
          <w:szCs w:val="22"/>
        </w:rPr>
        <w:t xml:space="preserve"> mice required for study required 2 breeding steps. T</w:t>
      </w:r>
      <w:r w:rsidRPr="00BE5CFC">
        <w:rPr>
          <w:color w:val="000000"/>
          <w:sz w:val="22"/>
        </w:rPr>
        <w:t xml:space="preserve">he first breeding </w:t>
      </w:r>
      <w:proofErr w:type="spellStart"/>
      <w:r w:rsidRPr="00BE5CFC">
        <w:rPr>
          <w:color w:val="000000"/>
          <w:sz w:val="22"/>
        </w:rPr>
        <w:t>Nse-Cre</w:t>
      </w:r>
      <w:proofErr w:type="spellEnd"/>
      <w:r w:rsidRPr="00BE5CFC">
        <w:rPr>
          <w:color w:val="000000"/>
          <w:sz w:val="22"/>
        </w:rPr>
        <w:t xml:space="preserve"> mice were bred with </w:t>
      </w:r>
      <w:proofErr w:type="spellStart"/>
      <w:r w:rsidRPr="00E96899">
        <w:rPr>
          <w:i/>
          <w:color w:val="000000"/>
          <w:sz w:val="22"/>
        </w:rPr>
        <w:t>Pten</w:t>
      </w:r>
      <w:proofErr w:type="spellEnd"/>
      <w:r w:rsidRPr="00BE5CFC">
        <w:rPr>
          <w:color w:val="000000"/>
          <w:sz w:val="22"/>
          <w:szCs w:val="22"/>
          <w:vertAlign w:val="superscript"/>
        </w:rPr>
        <w:t>+/</w:t>
      </w:r>
      <w:proofErr w:type="spellStart"/>
      <w:r w:rsidRPr="00BE5CFC">
        <w:rPr>
          <w:color w:val="000000"/>
          <w:sz w:val="22"/>
          <w:szCs w:val="22"/>
          <w:vertAlign w:val="superscript"/>
        </w:rPr>
        <w:t>loxP</w:t>
      </w:r>
      <w:proofErr w:type="spellEnd"/>
      <w:r w:rsidRPr="00BE5CFC">
        <w:rPr>
          <w:color w:val="000000"/>
          <w:sz w:val="22"/>
        </w:rPr>
        <w:t xml:space="preserve"> mice. The resulting </w:t>
      </w:r>
      <w:proofErr w:type="spellStart"/>
      <w:r w:rsidRPr="00BE5CFC">
        <w:rPr>
          <w:color w:val="000000"/>
          <w:sz w:val="22"/>
        </w:rPr>
        <w:t>Cre</w:t>
      </w:r>
      <w:proofErr w:type="spellEnd"/>
      <w:r w:rsidRPr="00BE5CFC">
        <w:rPr>
          <w:color w:val="000000"/>
          <w:sz w:val="22"/>
          <w:szCs w:val="22"/>
          <w:vertAlign w:val="superscript"/>
        </w:rPr>
        <w:t>+/-</w:t>
      </w:r>
      <w:proofErr w:type="spellStart"/>
      <w:r w:rsidRPr="00E96899">
        <w:rPr>
          <w:i/>
          <w:color w:val="000000"/>
          <w:sz w:val="22"/>
        </w:rPr>
        <w:t>Pten</w:t>
      </w:r>
      <w:proofErr w:type="spellEnd"/>
      <w:r w:rsidRPr="00BE5CFC">
        <w:rPr>
          <w:color w:val="000000"/>
          <w:sz w:val="22"/>
          <w:szCs w:val="22"/>
          <w:vertAlign w:val="superscript"/>
        </w:rPr>
        <w:t>+/</w:t>
      </w:r>
      <w:proofErr w:type="spellStart"/>
      <w:r w:rsidRPr="00BE5CFC">
        <w:rPr>
          <w:color w:val="000000"/>
          <w:sz w:val="22"/>
          <w:szCs w:val="22"/>
          <w:vertAlign w:val="superscript"/>
        </w:rPr>
        <w:t>LoxP</w:t>
      </w:r>
      <w:proofErr w:type="spellEnd"/>
      <w:r w:rsidRPr="00BE5CFC">
        <w:rPr>
          <w:color w:val="000000"/>
          <w:sz w:val="22"/>
        </w:rPr>
        <w:t xml:space="preserve"> mice were then bred to attempt to produce 19% of the pups </w:t>
      </w:r>
      <w:proofErr w:type="spellStart"/>
      <w:r w:rsidRPr="00BE5CFC">
        <w:rPr>
          <w:color w:val="000000"/>
          <w:sz w:val="22"/>
        </w:rPr>
        <w:t>Cre</w:t>
      </w:r>
      <w:proofErr w:type="spellEnd"/>
      <w:r w:rsidRPr="00BE5CFC">
        <w:rPr>
          <w:color w:val="000000"/>
          <w:sz w:val="22"/>
        </w:rPr>
        <w:t xml:space="preserve">-homozygous </w:t>
      </w:r>
      <w:proofErr w:type="spellStart"/>
      <w:r w:rsidRPr="00E96899">
        <w:rPr>
          <w:i/>
          <w:color w:val="000000"/>
          <w:sz w:val="22"/>
        </w:rPr>
        <w:t>Pten</w:t>
      </w:r>
      <w:r w:rsidRPr="00BE5CFC">
        <w:rPr>
          <w:color w:val="000000"/>
          <w:sz w:val="22"/>
          <w:szCs w:val="22"/>
          <w:vertAlign w:val="superscript"/>
        </w:rPr>
        <w:t>LoxP</w:t>
      </w:r>
      <w:proofErr w:type="spellEnd"/>
      <w:r w:rsidRPr="00BE5CFC">
        <w:rPr>
          <w:color w:val="000000"/>
          <w:sz w:val="22"/>
          <w:szCs w:val="22"/>
          <w:vertAlign w:val="superscript"/>
        </w:rPr>
        <w:t>/</w:t>
      </w:r>
      <w:proofErr w:type="spellStart"/>
      <w:r w:rsidRPr="00BE5CFC">
        <w:rPr>
          <w:color w:val="000000"/>
          <w:sz w:val="22"/>
          <w:szCs w:val="22"/>
          <w:vertAlign w:val="superscript"/>
        </w:rPr>
        <w:t>LoxP</w:t>
      </w:r>
      <w:proofErr w:type="spellEnd"/>
      <w:r w:rsidRPr="00BE5CFC">
        <w:rPr>
          <w:sz w:val="22"/>
          <w:szCs w:val="22"/>
        </w:rPr>
        <w:t xml:space="preserve">.  No homozygous </w:t>
      </w:r>
      <w:proofErr w:type="spellStart"/>
      <w:r w:rsidRPr="00BE5CFC">
        <w:rPr>
          <w:i/>
          <w:sz w:val="22"/>
          <w:szCs w:val="22"/>
        </w:rPr>
        <w:t>Pten</w:t>
      </w:r>
      <w:r w:rsidRPr="00BE5CFC">
        <w:rPr>
          <w:sz w:val="22"/>
          <w:szCs w:val="22"/>
          <w:vertAlign w:val="superscript"/>
        </w:rPr>
        <w:t>loxP</w:t>
      </w:r>
      <w:proofErr w:type="spellEnd"/>
      <w:r w:rsidRPr="00BE5CFC">
        <w:rPr>
          <w:sz w:val="22"/>
          <w:szCs w:val="22"/>
          <w:vertAlign w:val="superscript"/>
        </w:rPr>
        <w:t>/</w:t>
      </w:r>
      <w:proofErr w:type="spellStart"/>
      <w:r w:rsidRPr="00BE5CFC">
        <w:rPr>
          <w:sz w:val="22"/>
          <w:szCs w:val="22"/>
          <w:vertAlign w:val="superscript"/>
        </w:rPr>
        <w:t>loxP</w:t>
      </w:r>
      <w:proofErr w:type="spellEnd"/>
      <w:r w:rsidRPr="00BE5CFC">
        <w:rPr>
          <w:sz w:val="22"/>
          <w:szCs w:val="22"/>
          <w:vertAlign w:val="superscript"/>
        </w:rPr>
        <w:t xml:space="preserve"> </w:t>
      </w:r>
      <w:r w:rsidRPr="00BE5CFC">
        <w:rPr>
          <w:sz w:val="22"/>
          <w:szCs w:val="22"/>
        </w:rPr>
        <w:t xml:space="preserve">mice carrying the </w:t>
      </w:r>
      <w:proofErr w:type="spellStart"/>
      <w:r w:rsidRPr="00BE5CFC">
        <w:rPr>
          <w:sz w:val="22"/>
          <w:szCs w:val="22"/>
        </w:rPr>
        <w:t>Cre</w:t>
      </w:r>
      <w:proofErr w:type="spellEnd"/>
      <w:r w:rsidRPr="00BE5CFC">
        <w:rPr>
          <w:sz w:val="22"/>
          <w:szCs w:val="22"/>
        </w:rPr>
        <w:t xml:space="preserve"> transgene after 9 </w:t>
      </w:r>
      <w:proofErr w:type="spellStart"/>
      <w:r w:rsidRPr="00BE5CFC">
        <w:rPr>
          <w:sz w:val="22"/>
          <w:szCs w:val="22"/>
        </w:rPr>
        <w:t>intermatings</w:t>
      </w:r>
      <w:proofErr w:type="spellEnd"/>
      <w:r w:rsidRPr="00BE5CFC">
        <w:rPr>
          <w:sz w:val="22"/>
          <w:szCs w:val="22"/>
        </w:rPr>
        <w:t xml:space="preserve"> between the </w:t>
      </w:r>
      <w:proofErr w:type="spellStart"/>
      <w:r w:rsidRPr="00BE5CFC">
        <w:rPr>
          <w:sz w:val="22"/>
          <w:szCs w:val="22"/>
        </w:rPr>
        <w:t>Cre-</w:t>
      </w:r>
      <w:r w:rsidRPr="00E96899">
        <w:rPr>
          <w:i/>
          <w:sz w:val="22"/>
          <w:szCs w:val="22"/>
        </w:rPr>
        <w:t>Pten</w:t>
      </w:r>
      <w:proofErr w:type="spellEnd"/>
      <w:r w:rsidRPr="00BE5CFC">
        <w:rPr>
          <w:sz w:val="22"/>
          <w:szCs w:val="22"/>
        </w:rPr>
        <w:t xml:space="preserve"> (</w:t>
      </w:r>
      <w:proofErr w:type="spellStart"/>
      <w:r w:rsidRPr="00BE5CFC">
        <w:rPr>
          <w:sz w:val="22"/>
          <w:szCs w:val="22"/>
        </w:rPr>
        <w:t>Cre</w:t>
      </w:r>
      <w:proofErr w:type="spellEnd"/>
      <w:r w:rsidRPr="00BE5CFC">
        <w:rPr>
          <w:sz w:val="22"/>
          <w:szCs w:val="22"/>
          <w:vertAlign w:val="superscript"/>
        </w:rPr>
        <w:t>+/-</w:t>
      </w:r>
      <w:proofErr w:type="gramStart"/>
      <w:r w:rsidRPr="00BE5CFC">
        <w:rPr>
          <w:sz w:val="22"/>
          <w:szCs w:val="22"/>
        </w:rPr>
        <w:t>;</w:t>
      </w:r>
      <w:proofErr w:type="spellStart"/>
      <w:r w:rsidRPr="00BE5CFC">
        <w:rPr>
          <w:i/>
          <w:sz w:val="22"/>
          <w:szCs w:val="22"/>
        </w:rPr>
        <w:t>Pten</w:t>
      </w:r>
      <w:proofErr w:type="spellEnd"/>
      <w:proofErr w:type="gramEnd"/>
      <w:r w:rsidRPr="00BE5CFC">
        <w:rPr>
          <w:sz w:val="22"/>
          <w:szCs w:val="22"/>
          <w:vertAlign w:val="superscript"/>
        </w:rPr>
        <w:t>+/</w:t>
      </w:r>
      <w:proofErr w:type="spellStart"/>
      <w:r w:rsidRPr="00BE5CFC">
        <w:rPr>
          <w:sz w:val="22"/>
          <w:szCs w:val="22"/>
          <w:vertAlign w:val="superscript"/>
        </w:rPr>
        <w:t>loxP</w:t>
      </w:r>
      <w:proofErr w:type="spellEnd"/>
      <w:r w:rsidRPr="00BE5CFC">
        <w:rPr>
          <w:sz w:val="22"/>
          <w:szCs w:val="22"/>
        </w:rPr>
        <w:t xml:space="preserve">) heterozygous mice were obtained because this manipulation appeared to have resulted </w:t>
      </w:r>
      <w:r w:rsidRPr="00BE5CFC">
        <w:rPr>
          <w:i/>
          <w:sz w:val="22"/>
          <w:szCs w:val="22"/>
        </w:rPr>
        <w:t>intra</w:t>
      </w:r>
      <w:r w:rsidRPr="00BE5CFC">
        <w:rPr>
          <w:sz w:val="22"/>
          <w:szCs w:val="22"/>
        </w:rPr>
        <w:t xml:space="preserve">-utero lethality, or cannibalism by the mother.  Additionally, three separate crosses (parallel or sequential </w:t>
      </w:r>
      <w:proofErr w:type="spellStart"/>
      <w:r w:rsidRPr="00BE5CFC">
        <w:rPr>
          <w:sz w:val="22"/>
          <w:szCs w:val="22"/>
        </w:rPr>
        <w:t>intermatings</w:t>
      </w:r>
      <w:proofErr w:type="spellEnd"/>
      <w:r w:rsidRPr="00BE5CFC">
        <w:rPr>
          <w:sz w:val="22"/>
          <w:szCs w:val="22"/>
        </w:rPr>
        <w:t xml:space="preserve">) between a homozygous </w:t>
      </w:r>
      <w:proofErr w:type="spellStart"/>
      <w:r w:rsidRPr="00E96899">
        <w:rPr>
          <w:i/>
          <w:sz w:val="22"/>
          <w:szCs w:val="22"/>
        </w:rPr>
        <w:t>Pten</w:t>
      </w:r>
      <w:proofErr w:type="spellEnd"/>
      <w:r w:rsidRPr="00BE5CFC">
        <w:rPr>
          <w:sz w:val="22"/>
          <w:szCs w:val="22"/>
        </w:rPr>
        <w:t>/</w:t>
      </w:r>
      <w:proofErr w:type="spellStart"/>
      <w:r w:rsidRPr="00E96899">
        <w:rPr>
          <w:i/>
          <w:sz w:val="22"/>
          <w:szCs w:val="22"/>
        </w:rPr>
        <w:t>Pten</w:t>
      </w:r>
      <w:proofErr w:type="spellEnd"/>
      <w:r w:rsidRPr="00BE5CFC">
        <w:rPr>
          <w:sz w:val="22"/>
          <w:szCs w:val="22"/>
        </w:rPr>
        <w:t xml:space="preserve"> </w:t>
      </w:r>
      <w:proofErr w:type="spellStart"/>
      <w:r w:rsidRPr="00BE5CFC">
        <w:rPr>
          <w:sz w:val="22"/>
          <w:szCs w:val="22"/>
        </w:rPr>
        <w:t>floxed</w:t>
      </w:r>
      <w:proofErr w:type="spellEnd"/>
      <w:r w:rsidRPr="00BE5CFC">
        <w:rPr>
          <w:sz w:val="22"/>
          <w:szCs w:val="22"/>
        </w:rPr>
        <w:t xml:space="preserve"> and </w:t>
      </w:r>
      <w:proofErr w:type="spellStart"/>
      <w:r w:rsidRPr="00BE5CFC">
        <w:rPr>
          <w:sz w:val="22"/>
          <w:szCs w:val="22"/>
        </w:rPr>
        <w:t>Cre-</w:t>
      </w:r>
      <w:r w:rsidRPr="00E96899">
        <w:rPr>
          <w:i/>
          <w:sz w:val="22"/>
          <w:szCs w:val="22"/>
        </w:rPr>
        <w:t>Pten</w:t>
      </w:r>
      <w:proofErr w:type="spellEnd"/>
      <w:r w:rsidRPr="00BE5CFC">
        <w:rPr>
          <w:sz w:val="22"/>
          <w:szCs w:val="22"/>
        </w:rPr>
        <w:t xml:space="preserve"> (</w:t>
      </w:r>
      <w:proofErr w:type="spellStart"/>
      <w:r w:rsidRPr="00BE5CFC">
        <w:rPr>
          <w:sz w:val="22"/>
          <w:szCs w:val="22"/>
        </w:rPr>
        <w:t>Cre</w:t>
      </w:r>
      <w:proofErr w:type="spellEnd"/>
      <w:r w:rsidRPr="00BE5CFC">
        <w:rPr>
          <w:sz w:val="22"/>
          <w:szCs w:val="22"/>
          <w:vertAlign w:val="superscript"/>
        </w:rPr>
        <w:t>+/-</w:t>
      </w:r>
      <w:r w:rsidRPr="00BE5CFC">
        <w:rPr>
          <w:sz w:val="22"/>
          <w:szCs w:val="22"/>
        </w:rPr>
        <w:t xml:space="preserve">; </w:t>
      </w:r>
      <w:proofErr w:type="spellStart"/>
      <w:r w:rsidRPr="00E96899">
        <w:rPr>
          <w:i/>
          <w:sz w:val="22"/>
          <w:szCs w:val="22"/>
        </w:rPr>
        <w:t>Pten</w:t>
      </w:r>
      <w:proofErr w:type="spellEnd"/>
      <w:r w:rsidRPr="00BE5CFC">
        <w:rPr>
          <w:sz w:val="22"/>
          <w:szCs w:val="22"/>
          <w:vertAlign w:val="superscript"/>
        </w:rPr>
        <w:t>+/+</w:t>
      </w:r>
      <w:r w:rsidRPr="00BE5CFC">
        <w:rPr>
          <w:sz w:val="22"/>
          <w:szCs w:val="22"/>
        </w:rPr>
        <w:t xml:space="preserve">) heterozygous mice did not result in any wild type </w:t>
      </w:r>
      <w:proofErr w:type="spellStart"/>
      <w:r w:rsidRPr="00BE5CFC">
        <w:rPr>
          <w:i/>
          <w:sz w:val="22"/>
          <w:szCs w:val="22"/>
        </w:rPr>
        <w:t>Pten</w:t>
      </w:r>
      <w:proofErr w:type="spellEnd"/>
      <w:r w:rsidRPr="00BE5CFC">
        <w:rPr>
          <w:sz w:val="22"/>
          <w:szCs w:val="22"/>
        </w:rPr>
        <w:t xml:space="preserve"> homozygous progeny carrying a </w:t>
      </w:r>
      <w:proofErr w:type="spellStart"/>
      <w:r w:rsidRPr="00BE5CFC">
        <w:rPr>
          <w:sz w:val="22"/>
          <w:szCs w:val="22"/>
        </w:rPr>
        <w:t>Cre</w:t>
      </w:r>
      <w:proofErr w:type="spellEnd"/>
      <w:r w:rsidRPr="00BE5CFC">
        <w:rPr>
          <w:sz w:val="22"/>
          <w:szCs w:val="22"/>
        </w:rPr>
        <w:t xml:space="preserve"> transgene.  </w:t>
      </w:r>
      <w:r w:rsidRPr="00BE5CFC">
        <w:rPr>
          <w:color w:val="000000"/>
          <w:sz w:val="22"/>
          <w:szCs w:val="22"/>
        </w:rPr>
        <w:t>The benefit of the two-step breeding scheme was to obtain a reduction of genetic variability between littermates in the second-generation mice.  The conditional mice were then transferred from the Mouse Biology Facility to the Mouse Behavioral Facility on Campus where they were checked for their general health before performing the behavioral tests.</w:t>
      </w:r>
    </w:p>
    <w:p w14:paraId="1C43EAFC" w14:textId="77777777" w:rsidR="00FD2E84" w:rsidRPr="00BE5CFC" w:rsidRDefault="00FD2E84" w:rsidP="00463980">
      <w:pPr>
        <w:widowControl w:val="0"/>
        <w:autoSpaceDE w:val="0"/>
        <w:autoSpaceDN w:val="0"/>
        <w:adjustRightInd w:val="0"/>
        <w:jc w:val="both"/>
        <w:rPr>
          <w:color w:val="000000"/>
          <w:sz w:val="22"/>
        </w:rPr>
      </w:pPr>
      <w:r w:rsidRPr="00BE5CFC">
        <w:rPr>
          <w:color w:val="000000"/>
          <w:sz w:val="22"/>
        </w:rPr>
        <w:t>All procedures were conducted in strict compliance with the policies on animal welfare of the National Institutes of Health and the University of California at Davis (stated in the “Guide for the Care and Use of Laboratory Animals,” Institute of Laboratory Animal Resources, National Research Council, 1996 edition), and approved by the University of California at Davis Animal Care and Use Committee.</w:t>
      </w:r>
    </w:p>
    <w:p w14:paraId="749A8E73" w14:textId="77777777" w:rsidR="00FD2E84" w:rsidRPr="00BE5CFC" w:rsidRDefault="00FD2E84" w:rsidP="00FD2E84">
      <w:pPr>
        <w:widowControl w:val="0"/>
        <w:autoSpaceDE w:val="0"/>
        <w:autoSpaceDN w:val="0"/>
        <w:adjustRightInd w:val="0"/>
        <w:jc w:val="both"/>
        <w:rPr>
          <w:b/>
          <w:i/>
          <w:color w:val="000000"/>
          <w:sz w:val="22"/>
          <w:szCs w:val="22"/>
        </w:rPr>
      </w:pPr>
    </w:p>
    <w:p w14:paraId="6857C7DD" w14:textId="77777777" w:rsidR="00FD2E84" w:rsidRPr="00BE5CFC" w:rsidRDefault="00FD2E84" w:rsidP="00FD2E84">
      <w:pPr>
        <w:widowControl w:val="0"/>
        <w:autoSpaceDE w:val="0"/>
        <w:autoSpaceDN w:val="0"/>
        <w:adjustRightInd w:val="0"/>
        <w:jc w:val="both"/>
        <w:rPr>
          <w:color w:val="000000"/>
          <w:sz w:val="22"/>
          <w:szCs w:val="22"/>
        </w:rPr>
      </w:pPr>
      <w:r w:rsidRPr="00C1113B">
        <w:rPr>
          <w:b/>
          <w:i/>
          <w:color w:val="000000"/>
          <w:sz w:val="22"/>
          <w:szCs w:val="22"/>
        </w:rPr>
        <w:t>Genetic background</w:t>
      </w:r>
      <w:r w:rsidRPr="00C1113B">
        <w:rPr>
          <w:color w:val="000000"/>
          <w:sz w:val="22"/>
          <w:szCs w:val="22"/>
        </w:rPr>
        <w:t xml:space="preserve">: </w:t>
      </w:r>
      <w:proofErr w:type="spellStart"/>
      <w:r w:rsidRPr="00C1113B">
        <w:rPr>
          <w:sz w:val="22"/>
          <w:szCs w:val="22"/>
        </w:rPr>
        <w:t>Nse-Cre</w:t>
      </w:r>
      <w:proofErr w:type="spellEnd"/>
      <w:r w:rsidRPr="00C1113B">
        <w:rPr>
          <w:sz w:val="22"/>
          <w:szCs w:val="22"/>
        </w:rPr>
        <w:t xml:space="preserve"> </w:t>
      </w:r>
      <w:proofErr w:type="spellStart"/>
      <w:r w:rsidRPr="00C1113B">
        <w:rPr>
          <w:sz w:val="22"/>
          <w:szCs w:val="22"/>
        </w:rPr>
        <w:t>recombinase</w:t>
      </w:r>
      <w:proofErr w:type="spellEnd"/>
      <w:r w:rsidRPr="00C1113B">
        <w:rPr>
          <w:sz w:val="22"/>
          <w:szCs w:val="22"/>
        </w:rPr>
        <w:t xml:space="preserve"> construct was microinjected into (C57BL6 x SJL) F1 embryos and the founder mouse line was cross into a C57BL/6 mouse line.  </w:t>
      </w:r>
      <w:r w:rsidRPr="00C1113B">
        <w:rPr>
          <w:color w:val="000000"/>
          <w:sz w:val="22"/>
          <w:szCs w:val="22"/>
        </w:rPr>
        <w:t xml:space="preserve">The </w:t>
      </w:r>
      <w:r w:rsidRPr="00C1113B">
        <w:rPr>
          <w:sz w:val="22"/>
          <w:szCs w:val="22"/>
        </w:rPr>
        <w:t>129S4/</w:t>
      </w:r>
      <w:proofErr w:type="spellStart"/>
      <w:r w:rsidRPr="00C1113B">
        <w:rPr>
          <w:sz w:val="22"/>
          <w:szCs w:val="22"/>
        </w:rPr>
        <w:t>SvJae</w:t>
      </w:r>
      <w:proofErr w:type="spellEnd"/>
      <w:r w:rsidRPr="00C1113B">
        <w:rPr>
          <w:sz w:val="22"/>
          <w:szCs w:val="22"/>
        </w:rPr>
        <w:t xml:space="preserve"> derived LW-1 embryonic stem (ES) cells harboring the </w:t>
      </w:r>
      <w:proofErr w:type="spellStart"/>
      <w:r w:rsidRPr="00E96899">
        <w:rPr>
          <w:i/>
          <w:sz w:val="22"/>
          <w:szCs w:val="22"/>
        </w:rPr>
        <w:t>Pten</w:t>
      </w:r>
      <w:r w:rsidRPr="00C1113B">
        <w:rPr>
          <w:sz w:val="22"/>
          <w:szCs w:val="22"/>
          <w:vertAlign w:val="superscript"/>
        </w:rPr>
        <w:t>LoxP</w:t>
      </w:r>
      <w:proofErr w:type="spellEnd"/>
      <w:r w:rsidRPr="00C1113B">
        <w:rPr>
          <w:sz w:val="22"/>
          <w:szCs w:val="22"/>
          <w:vertAlign w:val="superscript"/>
        </w:rPr>
        <w:t xml:space="preserve">/+ </w:t>
      </w:r>
      <w:r w:rsidRPr="00C1113B">
        <w:rPr>
          <w:sz w:val="22"/>
          <w:szCs w:val="22"/>
        </w:rPr>
        <w:t>were injected into BALB/c blastocysts and the chimeric mice were crossed with BALB/</w:t>
      </w:r>
      <w:proofErr w:type="spellStart"/>
      <w:r w:rsidRPr="00C1113B">
        <w:rPr>
          <w:sz w:val="22"/>
          <w:szCs w:val="22"/>
        </w:rPr>
        <w:t>cAnNTac</w:t>
      </w:r>
      <w:proofErr w:type="spellEnd"/>
      <w:r w:rsidRPr="00C1113B">
        <w:rPr>
          <w:sz w:val="22"/>
          <w:szCs w:val="22"/>
        </w:rPr>
        <w:t xml:space="preserve"> mice.  Ultimately, these mice were backcrossed into a C57BL6/6 background at least five generations.</w:t>
      </w:r>
    </w:p>
    <w:p w14:paraId="0A9B4D51" w14:textId="77777777" w:rsidR="00FD2E84" w:rsidRPr="00BE5CFC" w:rsidRDefault="00FD2E84" w:rsidP="00FD2E84">
      <w:pPr>
        <w:autoSpaceDE w:val="0"/>
        <w:autoSpaceDN w:val="0"/>
        <w:adjustRightInd w:val="0"/>
        <w:jc w:val="both"/>
        <w:rPr>
          <w:b/>
          <w:i/>
          <w:color w:val="000000"/>
          <w:sz w:val="22"/>
          <w:szCs w:val="22"/>
        </w:rPr>
      </w:pPr>
    </w:p>
    <w:p w14:paraId="02F1E2B6" w14:textId="77777777" w:rsidR="00FD2E84" w:rsidRPr="009B0BB6" w:rsidRDefault="00FD2E84" w:rsidP="00FD2E84">
      <w:pPr>
        <w:autoSpaceDE w:val="0"/>
        <w:autoSpaceDN w:val="0"/>
        <w:adjustRightInd w:val="0"/>
        <w:jc w:val="both"/>
        <w:rPr>
          <w:b/>
          <w:sz w:val="22"/>
          <w:szCs w:val="22"/>
        </w:rPr>
      </w:pPr>
      <w:r w:rsidRPr="00C1113B">
        <w:rPr>
          <w:b/>
          <w:i/>
          <w:sz w:val="22"/>
          <w:szCs w:val="22"/>
        </w:rPr>
        <w:t>Genotyping mice:</w:t>
      </w:r>
      <w:r w:rsidRPr="00C1113B">
        <w:rPr>
          <w:b/>
          <w:sz w:val="22"/>
          <w:szCs w:val="22"/>
        </w:rPr>
        <w:t xml:space="preserve"> </w:t>
      </w:r>
      <w:r w:rsidRPr="00C1113B">
        <w:rPr>
          <w:sz w:val="22"/>
        </w:rPr>
        <w:t xml:space="preserve">Five different tissue types (hippocampus, cortex, cerebellum, liver and heart), were extracted through </w:t>
      </w:r>
      <w:proofErr w:type="spellStart"/>
      <w:r w:rsidRPr="00C1113B">
        <w:rPr>
          <w:sz w:val="22"/>
        </w:rPr>
        <w:t>Gentra</w:t>
      </w:r>
      <w:proofErr w:type="spellEnd"/>
      <w:r w:rsidRPr="00C1113B">
        <w:rPr>
          <w:sz w:val="22"/>
        </w:rPr>
        <w:t xml:space="preserve"> </w:t>
      </w:r>
      <w:proofErr w:type="spellStart"/>
      <w:r w:rsidRPr="00C1113B">
        <w:rPr>
          <w:sz w:val="22"/>
        </w:rPr>
        <w:t>Puregene</w:t>
      </w:r>
      <w:proofErr w:type="spellEnd"/>
      <w:r w:rsidRPr="00C1113B">
        <w:rPr>
          <w:sz w:val="22"/>
        </w:rPr>
        <w:t xml:space="preserve"> Tissue Kit from </w:t>
      </w:r>
      <w:proofErr w:type="spellStart"/>
      <w:r w:rsidRPr="00C1113B">
        <w:rPr>
          <w:sz w:val="22"/>
        </w:rPr>
        <w:t>Qiagen</w:t>
      </w:r>
      <w:proofErr w:type="spellEnd"/>
      <w:r w:rsidRPr="00C1113B">
        <w:rPr>
          <w:sz w:val="22"/>
        </w:rPr>
        <w:t xml:space="preserve"> (cat no. 158622). DNA concentrations were determined through </w:t>
      </w:r>
      <w:proofErr w:type="spellStart"/>
      <w:r w:rsidRPr="00C1113B">
        <w:rPr>
          <w:sz w:val="22"/>
        </w:rPr>
        <w:t>Tecan</w:t>
      </w:r>
      <w:proofErr w:type="spellEnd"/>
      <w:r w:rsidRPr="00C1113B">
        <w:rPr>
          <w:sz w:val="22"/>
        </w:rPr>
        <w:t xml:space="preserve"> </w:t>
      </w:r>
      <w:proofErr w:type="spellStart"/>
      <w:r w:rsidRPr="00C1113B">
        <w:rPr>
          <w:sz w:val="22"/>
        </w:rPr>
        <w:t>Microplate</w:t>
      </w:r>
      <w:proofErr w:type="spellEnd"/>
      <w:r w:rsidRPr="00C1113B">
        <w:rPr>
          <w:sz w:val="22"/>
        </w:rPr>
        <w:t xml:space="preserve"> Reader and all samples were normalized to 50 </w:t>
      </w:r>
      <w:proofErr w:type="spellStart"/>
      <w:r w:rsidRPr="00C1113B">
        <w:rPr>
          <w:sz w:val="22"/>
        </w:rPr>
        <w:t>ng</w:t>
      </w:r>
      <w:proofErr w:type="spellEnd"/>
      <w:r w:rsidRPr="00C1113B">
        <w:rPr>
          <w:sz w:val="22"/>
        </w:rPr>
        <w:t xml:space="preserve">/µl.  DNA was extracted as described previously </w:t>
      </w:r>
      <w:r w:rsidR="009A2EF9" w:rsidRPr="00C1113B">
        <w:rPr>
          <w:sz w:val="22"/>
        </w:rPr>
        <w:fldChar w:fldCharType="begin"/>
      </w:r>
      <w:r w:rsidR="004216F0">
        <w:rPr>
          <w:sz w:val="22"/>
        </w:rPr>
        <w:instrText xml:space="preserve"> ADDIN EN.CITE &lt;EndNote&gt;&lt;Cite&gt;&lt;Author&gt;Giulivi&lt;/Author&gt;&lt;Year&gt;2011&lt;/Year&gt;&lt;RecNum&gt;237&lt;/RecNum&gt;&lt;DisplayText&gt;[1]&lt;/DisplayText&gt;&lt;record&gt;&lt;rec-number&gt;237&lt;/rec-number&gt;&lt;foreign-keys&gt;&lt;key app="EN" db-id="s99awd2r7vfsr1epvt5psz5hwsv9exsevdsd"&gt;237&lt;/key&gt;&lt;/foreign-keys&gt;&lt;ref-type name="Journal Article"&gt;17&lt;/ref-type&gt;&lt;contributors&gt;&lt;authors&gt;&lt;author&gt;Giulivi, Cecilia&lt;/author&gt;&lt;author&gt;Ross-Inta, Catherine&lt;/author&gt;&lt;author&gt;Omanska-Klusek, Alicja&lt;/author&gt;&lt;author&gt;Napoli, Eleonora&lt;/author&gt;&lt;author&gt;Sakaguchi, Danielle&lt;/author&gt;&lt;author&gt;Barrientos, Genaro&lt;/author&gt;&lt;author&gt;Allen, Paul D.&lt;/author&gt;&lt;author&gt;Pessah, Isaac N.&lt;/author&gt;&lt;/authors&gt;&lt;/contributors&gt;&lt;titles&gt;&lt;title&gt;Basal Bioenergetic Abnormalities in Skeletal Muscle from Ryanodine Receptor Malignant Hyperthermia-susceptible R163C Knock-in Mice&lt;/title&gt;&lt;secondary-title&gt;Journal of Biological Chemistry&lt;/secondary-title&gt;&lt;/titles&gt;&lt;periodical&gt;&lt;full-title&gt;Journal of Biological Chemistry&lt;/full-title&gt;&lt;/periodical&gt;&lt;pages&gt;99-113&lt;/pages&gt;&lt;volume&gt;286&lt;/volume&gt;&lt;number&gt;1&lt;/number&gt;&lt;dates&gt;&lt;year&gt;2011&lt;/year&gt;&lt;/dates&gt;&lt;urls&gt;&lt;related-urls&gt;&lt;url&gt;http://www.jbc.org/content/286/1/99.abstract&lt;/url&gt;&lt;/related-urls&gt;&lt;/urls&gt;&lt;/record&gt;&lt;/Cite&gt;&lt;/EndNote&gt;</w:instrText>
      </w:r>
      <w:r w:rsidR="009A2EF9" w:rsidRPr="00C1113B">
        <w:rPr>
          <w:sz w:val="22"/>
        </w:rPr>
        <w:fldChar w:fldCharType="separate"/>
      </w:r>
      <w:r w:rsidR="004216F0">
        <w:rPr>
          <w:noProof/>
          <w:sz w:val="22"/>
        </w:rPr>
        <w:t>[</w:t>
      </w:r>
      <w:hyperlink w:anchor="_ENREF_1" w:tooltip="Giulivi, 2011 #237" w:history="1">
        <w:r w:rsidR="004216F0">
          <w:rPr>
            <w:noProof/>
            <w:sz w:val="22"/>
          </w:rPr>
          <w:t>1</w:t>
        </w:r>
      </w:hyperlink>
      <w:r w:rsidR="004216F0">
        <w:rPr>
          <w:noProof/>
          <w:sz w:val="22"/>
        </w:rPr>
        <w:t>]</w:t>
      </w:r>
      <w:r w:rsidR="009A2EF9" w:rsidRPr="00C1113B">
        <w:rPr>
          <w:sz w:val="22"/>
        </w:rPr>
        <w:fldChar w:fldCharType="end"/>
      </w:r>
      <w:r w:rsidRPr="00C1113B">
        <w:rPr>
          <w:sz w:val="22"/>
        </w:rPr>
        <w:t xml:space="preserve">. Two sets of </w:t>
      </w:r>
      <w:proofErr w:type="spellStart"/>
      <w:r w:rsidRPr="00C1113B">
        <w:rPr>
          <w:sz w:val="22"/>
        </w:rPr>
        <w:t>Cre</w:t>
      </w:r>
      <w:proofErr w:type="spellEnd"/>
      <w:r w:rsidRPr="00C1113B">
        <w:rPr>
          <w:sz w:val="22"/>
        </w:rPr>
        <w:t xml:space="preserve"> genotyping primers were used:  forward primer 1, 5’-GAT CTC CGG TAT TGA AAC TCC AGC-3’, forward primer 2,5’-CAA ATG TTG CTT GTC TGG TG – 3’, the reverse primer 1, 5’- GCT AAA CAT GCT TCA TCG </w:t>
      </w:r>
      <w:proofErr w:type="spellStart"/>
      <w:r w:rsidRPr="00C1113B">
        <w:rPr>
          <w:sz w:val="22"/>
        </w:rPr>
        <w:t>TCG</w:t>
      </w:r>
      <w:proofErr w:type="spellEnd"/>
      <w:r w:rsidRPr="00C1113B">
        <w:rPr>
          <w:sz w:val="22"/>
        </w:rPr>
        <w:t xml:space="preserve"> G-3’ and reverse primer 2, 5’- GTC AGT CGA GTG CAC AGT TT-3’.  PCR amplification was done using the </w:t>
      </w:r>
      <w:proofErr w:type="spellStart"/>
      <w:r w:rsidRPr="00C1113B">
        <w:rPr>
          <w:sz w:val="22"/>
        </w:rPr>
        <w:t>Taq</w:t>
      </w:r>
      <w:proofErr w:type="spellEnd"/>
      <w:r w:rsidRPr="00C1113B">
        <w:rPr>
          <w:sz w:val="22"/>
        </w:rPr>
        <w:t xml:space="preserve"> DNA polymerase consisting of 2.5 </w:t>
      </w:r>
      <w:proofErr w:type="spellStart"/>
      <w:r w:rsidRPr="00C1113B">
        <w:rPr>
          <w:sz w:val="22"/>
        </w:rPr>
        <w:t>μl</w:t>
      </w:r>
      <w:proofErr w:type="spellEnd"/>
      <w:r w:rsidRPr="00C1113B">
        <w:rPr>
          <w:sz w:val="22"/>
        </w:rPr>
        <w:t xml:space="preserve"> of 10x Buffer, 1.7 </w:t>
      </w:r>
      <w:proofErr w:type="spellStart"/>
      <w:r w:rsidRPr="00C1113B">
        <w:rPr>
          <w:sz w:val="22"/>
        </w:rPr>
        <w:t>μl</w:t>
      </w:r>
      <w:proofErr w:type="spellEnd"/>
      <w:r w:rsidRPr="00C1113B">
        <w:rPr>
          <w:sz w:val="22"/>
        </w:rPr>
        <w:t xml:space="preserve"> of 25 </w:t>
      </w:r>
      <w:proofErr w:type="spellStart"/>
      <w:r w:rsidRPr="00C1113B">
        <w:rPr>
          <w:sz w:val="22"/>
        </w:rPr>
        <w:t>mM</w:t>
      </w:r>
      <w:proofErr w:type="spellEnd"/>
      <w:r w:rsidRPr="00C1113B">
        <w:rPr>
          <w:sz w:val="22"/>
        </w:rPr>
        <w:t xml:space="preserve"> MgCl</w:t>
      </w:r>
      <w:r w:rsidRPr="00C1113B">
        <w:rPr>
          <w:sz w:val="22"/>
          <w:vertAlign w:val="subscript"/>
        </w:rPr>
        <w:t>2</w:t>
      </w:r>
      <w:r w:rsidRPr="00C1113B">
        <w:rPr>
          <w:sz w:val="22"/>
        </w:rPr>
        <w:t xml:space="preserve">, 0.5 </w:t>
      </w:r>
      <w:proofErr w:type="spellStart"/>
      <w:r w:rsidRPr="00C1113B">
        <w:rPr>
          <w:sz w:val="22"/>
        </w:rPr>
        <w:t>μl</w:t>
      </w:r>
      <w:proofErr w:type="spellEnd"/>
      <w:r w:rsidRPr="00C1113B">
        <w:rPr>
          <w:sz w:val="22"/>
        </w:rPr>
        <w:t xml:space="preserve"> of 10mM </w:t>
      </w:r>
      <w:proofErr w:type="spellStart"/>
      <w:r w:rsidRPr="00C1113B">
        <w:rPr>
          <w:sz w:val="22"/>
        </w:rPr>
        <w:t>dNTP</w:t>
      </w:r>
      <w:proofErr w:type="spellEnd"/>
      <w:r w:rsidRPr="00C1113B">
        <w:rPr>
          <w:sz w:val="22"/>
        </w:rPr>
        <w:t xml:space="preserve"> mix, 0.5 </w:t>
      </w:r>
      <w:proofErr w:type="spellStart"/>
      <w:r w:rsidRPr="00C1113B">
        <w:rPr>
          <w:sz w:val="22"/>
        </w:rPr>
        <w:t>μl</w:t>
      </w:r>
      <w:proofErr w:type="spellEnd"/>
      <w:r w:rsidRPr="00C1113B">
        <w:rPr>
          <w:sz w:val="22"/>
        </w:rPr>
        <w:t xml:space="preserve"> of each primers from set 1, 0.2 </w:t>
      </w:r>
      <w:proofErr w:type="spellStart"/>
      <w:r w:rsidRPr="00C1113B">
        <w:rPr>
          <w:sz w:val="22"/>
        </w:rPr>
        <w:t>μl</w:t>
      </w:r>
      <w:proofErr w:type="spellEnd"/>
      <w:r w:rsidRPr="00C1113B">
        <w:rPr>
          <w:sz w:val="22"/>
        </w:rPr>
        <w:t xml:space="preserve"> of each primers from set 2, 1 </w:t>
      </w:r>
      <w:proofErr w:type="spellStart"/>
      <w:r w:rsidRPr="00C1113B">
        <w:rPr>
          <w:sz w:val="22"/>
        </w:rPr>
        <w:t>μl</w:t>
      </w:r>
      <w:proofErr w:type="spellEnd"/>
      <w:r w:rsidRPr="00C1113B">
        <w:rPr>
          <w:sz w:val="22"/>
        </w:rPr>
        <w:t xml:space="preserve"> of sample with 50 </w:t>
      </w:r>
      <w:proofErr w:type="spellStart"/>
      <w:r w:rsidRPr="00C1113B">
        <w:rPr>
          <w:sz w:val="22"/>
        </w:rPr>
        <w:t>ng</w:t>
      </w:r>
      <w:proofErr w:type="spellEnd"/>
      <w:r w:rsidRPr="00C1113B">
        <w:rPr>
          <w:sz w:val="22"/>
        </w:rPr>
        <w:t xml:space="preserve"> total of DNA, 0.2 </w:t>
      </w:r>
      <w:proofErr w:type="spellStart"/>
      <w:r w:rsidRPr="00C1113B">
        <w:rPr>
          <w:sz w:val="22"/>
        </w:rPr>
        <w:t>μl</w:t>
      </w:r>
      <w:proofErr w:type="spellEnd"/>
      <w:r w:rsidRPr="00C1113B">
        <w:rPr>
          <w:sz w:val="22"/>
        </w:rPr>
        <w:t xml:space="preserve"> of </w:t>
      </w:r>
      <w:proofErr w:type="spellStart"/>
      <w:r w:rsidRPr="00C1113B">
        <w:rPr>
          <w:sz w:val="22"/>
        </w:rPr>
        <w:t>Taq</w:t>
      </w:r>
      <w:proofErr w:type="spellEnd"/>
      <w:r w:rsidRPr="00C1113B">
        <w:rPr>
          <w:sz w:val="22"/>
        </w:rPr>
        <w:t xml:space="preserve"> enzyme and 17.7 </w:t>
      </w:r>
      <w:proofErr w:type="spellStart"/>
      <w:r w:rsidRPr="00C1113B">
        <w:rPr>
          <w:sz w:val="22"/>
        </w:rPr>
        <w:t>μl</w:t>
      </w:r>
      <w:proofErr w:type="spellEnd"/>
      <w:r w:rsidRPr="00C1113B">
        <w:rPr>
          <w:sz w:val="22"/>
        </w:rPr>
        <w:t xml:space="preserve"> of </w:t>
      </w:r>
      <w:proofErr w:type="spellStart"/>
      <w:r w:rsidRPr="00C1113B">
        <w:rPr>
          <w:sz w:val="22"/>
        </w:rPr>
        <w:t>MilliQ</w:t>
      </w:r>
      <w:proofErr w:type="spellEnd"/>
      <w:r w:rsidRPr="00C1113B">
        <w:rPr>
          <w:sz w:val="22"/>
        </w:rPr>
        <w:t xml:space="preserve"> water for the total reaction volume of 25 </w:t>
      </w:r>
      <w:proofErr w:type="spellStart"/>
      <w:r w:rsidRPr="00C1113B">
        <w:rPr>
          <w:sz w:val="22"/>
        </w:rPr>
        <w:t>μl</w:t>
      </w:r>
      <w:proofErr w:type="spellEnd"/>
      <w:r w:rsidRPr="00C1113B">
        <w:rPr>
          <w:sz w:val="22"/>
        </w:rPr>
        <w:t xml:space="preserve">. The following cycling conditions were used: 94°C for 3 min, 10 cycles of 94°C for 15 s 65°C for 30 s (with 1°C decrease at each cycle), and 72°C for 40 s, following with 30 cycles of 94°C for 15 s, 55°C for 30 s, and 72°C for 40 s. Final elongation was done for 5 min at 72°C with a 15°C forever hold step.    The PCR products were run on </w:t>
      </w:r>
      <w:proofErr w:type="spellStart"/>
      <w:r w:rsidRPr="00C1113B">
        <w:rPr>
          <w:sz w:val="22"/>
        </w:rPr>
        <w:t>agarose</w:t>
      </w:r>
      <w:proofErr w:type="spellEnd"/>
      <w:r w:rsidRPr="00C1113B">
        <w:rPr>
          <w:sz w:val="22"/>
        </w:rPr>
        <w:t xml:space="preserve"> gels, and the expected sizes were 2000 </w:t>
      </w:r>
      <w:proofErr w:type="spellStart"/>
      <w:r w:rsidRPr="00C1113B">
        <w:rPr>
          <w:sz w:val="22"/>
        </w:rPr>
        <w:t>bp</w:t>
      </w:r>
      <w:proofErr w:type="spellEnd"/>
      <w:r w:rsidRPr="00C1113B">
        <w:rPr>
          <w:sz w:val="22"/>
        </w:rPr>
        <w:t xml:space="preserve"> for wild-type and</w:t>
      </w:r>
      <w:r w:rsidRPr="00BE5CFC">
        <w:t xml:space="preserve"> </w:t>
      </w:r>
      <w:r w:rsidRPr="00C1113B">
        <w:rPr>
          <w:sz w:val="22"/>
        </w:rPr>
        <w:t xml:space="preserve">2000 and 650 </w:t>
      </w:r>
      <w:proofErr w:type="spellStart"/>
      <w:r w:rsidRPr="00C1113B">
        <w:rPr>
          <w:sz w:val="22"/>
        </w:rPr>
        <w:t>bp</w:t>
      </w:r>
      <w:proofErr w:type="spellEnd"/>
      <w:r w:rsidRPr="00C1113B">
        <w:rPr>
          <w:sz w:val="22"/>
        </w:rPr>
        <w:t xml:space="preserve"> for </w:t>
      </w:r>
      <w:proofErr w:type="spellStart"/>
      <w:r w:rsidRPr="00C1113B">
        <w:rPr>
          <w:sz w:val="22"/>
        </w:rPr>
        <w:t>Cre</w:t>
      </w:r>
      <w:proofErr w:type="spellEnd"/>
      <w:r w:rsidRPr="00C1113B">
        <w:rPr>
          <w:sz w:val="22"/>
        </w:rPr>
        <w:t xml:space="preserve">.  </w:t>
      </w:r>
      <w:r w:rsidRPr="00C1113B">
        <w:rPr>
          <w:sz w:val="22"/>
          <w:szCs w:val="22"/>
        </w:rPr>
        <w:t xml:space="preserve">Genotyping was used to screen for </w:t>
      </w:r>
      <w:proofErr w:type="spellStart"/>
      <w:r w:rsidRPr="00C1113B">
        <w:rPr>
          <w:sz w:val="22"/>
          <w:szCs w:val="22"/>
        </w:rPr>
        <w:t>hemizygosity</w:t>
      </w:r>
      <w:proofErr w:type="spellEnd"/>
      <w:r w:rsidRPr="00C1113B">
        <w:rPr>
          <w:sz w:val="22"/>
          <w:szCs w:val="22"/>
        </w:rPr>
        <w:t xml:space="preserve"> of </w:t>
      </w:r>
      <w:proofErr w:type="spellStart"/>
      <w:r w:rsidRPr="00C1113B">
        <w:rPr>
          <w:sz w:val="22"/>
          <w:szCs w:val="22"/>
        </w:rPr>
        <w:t>Cre-recombinase</w:t>
      </w:r>
      <w:proofErr w:type="spellEnd"/>
      <w:r w:rsidRPr="00C1113B">
        <w:rPr>
          <w:sz w:val="22"/>
          <w:szCs w:val="22"/>
        </w:rPr>
        <w:t xml:space="preserve"> transgene in all mice</w:t>
      </w:r>
      <w:r w:rsidRPr="00C1113B">
        <w:rPr>
          <w:sz w:val="22"/>
        </w:rPr>
        <w:t xml:space="preserve">.  </w:t>
      </w:r>
      <w:proofErr w:type="spellStart"/>
      <w:r w:rsidRPr="00E96899">
        <w:rPr>
          <w:i/>
          <w:sz w:val="22"/>
        </w:rPr>
        <w:t>Pten</w:t>
      </w:r>
      <w:proofErr w:type="spellEnd"/>
      <w:r w:rsidRPr="00C1113B">
        <w:rPr>
          <w:sz w:val="22"/>
        </w:rPr>
        <w:t xml:space="preserve"> genotyping primers were obtained from </w:t>
      </w:r>
      <w:proofErr w:type="spellStart"/>
      <w:r w:rsidRPr="00C1113B">
        <w:rPr>
          <w:sz w:val="22"/>
          <w:lang w:eastAsia="zh-CN"/>
        </w:rPr>
        <w:t>Lesche</w:t>
      </w:r>
      <w:proofErr w:type="spellEnd"/>
      <w:r w:rsidRPr="00C1113B">
        <w:rPr>
          <w:sz w:val="22"/>
          <w:lang w:eastAsia="zh-CN"/>
        </w:rPr>
        <w:t xml:space="preserve"> et al. </w:t>
      </w:r>
      <w:r w:rsidR="009A2EF9" w:rsidRPr="00C1113B">
        <w:rPr>
          <w:sz w:val="22"/>
          <w:lang w:eastAsia="zh-CN"/>
        </w:rPr>
        <w:fldChar w:fldCharType="begin"/>
      </w:r>
      <w:r w:rsidR="004216F0">
        <w:rPr>
          <w:sz w:val="22"/>
          <w:lang w:eastAsia="zh-CN"/>
        </w:rPr>
        <w:instrText xml:space="preserve"> ADDIN EN.CITE &lt;EndNote&gt;&lt;Cite&gt;&lt;Author&gt;Lesche&lt;/Author&gt;&lt;Year&gt;2002&lt;/Year&gt;&lt;RecNum&gt;137&lt;/RecNum&gt;&lt;DisplayText&gt;[2]&lt;/DisplayText&gt;&lt;record&gt;&lt;rec-number&gt;137&lt;/rec-number&gt;&lt;foreign-keys&gt;&lt;key app="EN" db-id="s99awd2r7vfsr1epvt5psz5hwsv9exsevdsd"&gt;137&lt;/key&gt;&lt;/foreign-keys&gt;&lt;ref-type name="Journal Article"&gt;17&lt;/ref-type&gt;&lt;contributors&gt;&lt;authors&gt;&lt;author&gt;Lesche, R.&lt;/author&gt;&lt;author&gt;Groszer, M.&lt;/author&gt;&lt;author&gt;Gao, J.&lt;/author&gt;&lt;author&gt;Wang, Y.&lt;/author&gt;&lt;author&gt;Messing, A.&lt;/author&gt;&lt;author&gt;Sun, H.&lt;/author&gt;&lt;author&gt;Liu, X.&lt;/author&gt;&lt;author&gt;Wu, H.&lt;/author&gt;&lt;/authors&gt;&lt;/contributors&gt;&lt;auth-address&gt;Howard Hughes Medical Institute and Department of Molecular and Medical Pharmacology, UCLA School of Medicine, Los Angeles, California 90095, USA.&lt;/auth-address&gt;&lt;titles&gt;&lt;title&gt;Cre/loxP-mediated inactivation of the murine Pten tumor suppressor gene&lt;/title&gt;&lt;secondary-title&gt;Genesis&lt;/secondary-title&gt;&lt;/titles&gt;&lt;periodical&gt;&lt;full-title&gt;Genesis&lt;/full-title&gt;&lt;/periodical&gt;&lt;pages&gt;148-9&lt;/pages&gt;&lt;volume&gt;32&lt;/volume&gt;&lt;number&gt;2&lt;/number&gt;&lt;edition&gt;2002/02/22&lt;/edition&gt;&lt;keywords&gt;&lt;keyword&gt;Animals&lt;/keyword&gt;&lt;keyword&gt;*Gene Silencing&lt;/keyword&gt;&lt;keyword&gt;Genes, Tumor Suppressor&lt;/keyword&gt;&lt;keyword&gt;Integrases/genetics&lt;/keyword&gt;&lt;keyword&gt;Mice&lt;/keyword&gt;&lt;keyword&gt;Mice, Transgenic/genetics&lt;/keyword&gt;&lt;keyword&gt;PTEN Phosphohydrolase&lt;/keyword&gt;&lt;keyword&gt;Phosphoric Monoester Hydrolases/*genetics/physiology&lt;/keyword&gt;&lt;keyword&gt;Tissue Distribution&lt;/keyword&gt;&lt;keyword&gt;Tumor Suppressor Proteins/*genetics/physiology&lt;/keyword&gt;&lt;keyword&gt;Viral Proteins/genetics&lt;/keyword&gt;&lt;/keywords&gt;&lt;dates&gt;&lt;year&gt;2002&lt;/year&gt;&lt;pub-dates&gt;&lt;date&gt;Feb&lt;/date&gt;&lt;/pub-dates&gt;&lt;/dates&gt;&lt;isbn&gt;1526-954X (Print)&amp;#xD;1526-954X (Linking)&lt;/isbn&gt;&lt;accession-num&gt;11857804&lt;/accession-num&gt;&lt;urls&gt;&lt;related-urls&gt;&lt;url&gt;http://www.ncbi.nlm.nih.gov/entrez/query.fcgi?cmd=Retrieve&amp;amp;db=PubMed&amp;amp;dopt=Citation&amp;amp;list_uids=11857804&lt;/url&gt;&lt;/related-urls&gt;&lt;/urls&gt;&lt;electronic-resource-num&gt;10.1002/gene.10036 [pii]&lt;/electronic-resource-num&gt;&lt;language&gt;eng&lt;/language&gt;&lt;/record&gt;&lt;/Cite&gt;&lt;/EndNote&gt;</w:instrText>
      </w:r>
      <w:r w:rsidR="009A2EF9" w:rsidRPr="00C1113B">
        <w:rPr>
          <w:sz w:val="22"/>
          <w:lang w:eastAsia="zh-CN"/>
        </w:rPr>
        <w:fldChar w:fldCharType="separate"/>
      </w:r>
      <w:r w:rsidR="004216F0">
        <w:rPr>
          <w:noProof/>
          <w:sz w:val="22"/>
          <w:lang w:eastAsia="zh-CN"/>
        </w:rPr>
        <w:t>[</w:t>
      </w:r>
      <w:hyperlink w:anchor="_ENREF_2" w:tooltip="Lesche, 2002 #137" w:history="1">
        <w:r w:rsidR="004216F0">
          <w:rPr>
            <w:noProof/>
            <w:sz w:val="22"/>
            <w:lang w:eastAsia="zh-CN"/>
          </w:rPr>
          <w:t>2</w:t>
        </w:r>
      </w:hyperlink>
      <w:r w:rsidR="004216F0">
        <w:rPr>
          <w:noProof/>
          <w:sz w:val="22"/>
          <w:lang w:eastAsia="zh-CN"/>
        </w:rPr>
        <w:t>]</w:t>
      </w:r>
      <w:r w:rsidR="009A2EF9" w:rsidRPr="00C1113B">
        <w:rPr>
          <w:sz w:val="22"/>
          <w:lang w:eastAsia="zh-CN"/>
        </w:rPr>
        <w:fldChar w:fldCharType="end"/>
      </w:r>
      <w:r w:rsidRPr="00C1113B">
        <w:rPr>
          <w:sz w:val="22"/>
          <w:lang w:eastAsia="zh-CN"/>
        </w:rPr>
        <w:t xml:space="preserve"> with</w:t>
      </w:r>
      <w:r w:rsidRPr="00C1113B">
        <w:rPr>
          <w:sz w:val="22"/>
        </w:rPr>
        <w:t xml:space="preserve"> one forward primer </w:t>
      </w:r>
      <w:r w:rsidRPr="00C1113B">
        <w:rPr>
          <w:sz w:val="22"/>
          <w:lang w:eastAsia="zh-CN"/>
        </w:rPr>
        <w:t xml:space="preserve">P1, 5-ACTCAAGGCAGGGATGAGC-3, and two reverse, P2 5-AATCTAGGGCCTCTTGTG CC-3,  P3 5-GCTTGATATCGAATTCCTGCAGC-3. </w:t>
      </w:r>
      <w:r w:rsidRPr="00C1113B">
        <w:rPr>
          <w:sz w:val="22"/>
          <w:szCs w:val="22"/>
        </w:rPr>
        <w:t xml:space="preserve">PCR amplification was done using the </w:t>
      </w:r>
      <w:proofErr w:type="spellStart"/>
      <w:r w:rsidRPr="00C1113B">
        <w:rPr>
          <w:sz w:val="22"/>
          <w:szCs w:val="22"/>
        </w:rPr>
        <w:t>Qiagen</w:t>
      </w:r>
      <w:proofErr w:type="spellEnd"/>
      <w:r w:rsidRPr="00C1113B">
        <w:rPr>
          <w:sz w:val="22"/>
          <w:szCs w:val="22"/>
        </w:rPr>
        <w:t xml:space="preserve"> </w:t>
      </w:r>
      <w:proofErr w:type="spellStart"/>
      <w:r w:rsidRPr="00C1113B">
        <w:rPr>
          <w:sz w:val="22"/>
          <w:szCs w:val="22"/>
        </w:rPr>
        <w:t>Taq</w:t>
      </w:r>
      <w:proofErr w:type="spellEnd"/>
      <w:r w:rsidRPr="00C1113B">
        <w:rPr>
          <w:sz w:val="22"/>
          <w:szCs w:val="22"/>
        </w:rPr>
        <w:t xml:space="preserve"> DNA polymerase consisting of 2.5 </w:t>
      </w:r>
      <w:proofErr w:type="spellStart"/>
      <w:r w:rsidRPr="00C1113B">
        <w:rPr>
          <w:sz w:val="22"/>
        </w:rPr>
        <w:t>μl</w:t>
      </w:r>
      <w:proofErr w:type="spellEnd"/>
      <w:r w:rsidRPr="00C1113B">
        <w:rPr>
          <w:sz w:val="22"/>
        </w:rPr>
        <w:t xml:space="preserve"> of 10x Buffer, 1.7 </w:t>
      </w:r>
      <w:proofErr w:type="spellStart"/>
      <w:r w:rsidRPr="00C1113B">
        <w:rPr>
          <w:sz w:val="22"/>
        </w:rPr>
        <w:t>μl</w:t>
      </w:r>
      <w:proofErr w:type="spellEnd"/>
      <w:r w:rsidRPr="00C1113B">
        <w:rPr>
          <w:sz w:val="22"/>
        </w:rPr>
        <w:t xml:space="preserve"> of 25 </w:t>
      </w:r>
      <w:proofErr w:type="spellStart"/>
      <w:r w:rsidRPr="00C1113B">
        <w:rPr>
          <w:sz w:val="22"/>
        </w:rPr>
        <w:t>mM</w:t>
      </w:r>
      <w:proofErr w:type="spellEnd"/>
      <w:r w:rsidRPr="00C1113B">
        <w:rPr>
          <w:sz w:val="22"/>
        </w:rPr>
        <w:t xml:space="preserve"> MgCl</w:t>
      </w:r>
      <w:r w:rsidRPr="00C1113B">
        <w:rPr>
          <w:sz w:val="22"/>
          <w:vertAlign w:val="subscript"/>
        </w:rPr>
        <w:t>2</w:t>
      </w:r>
      <w:r w:rsidRPr="00C1113B">
        <w:rPr>
          <w:sz w:val="22"/>
        </w:rPr>
        <w:t xml:space="preserve">, 0.5 </w:t>
      </w:r>
      <w:proofErr w:type="spellStart"/>
      <w:r w:rsidRPr="00C1113B">
        <w:rPr>
          <w:sz w:val="22"/>
        </w:rPr>
        <w:t>μl</w:t>
      </w:r>
      <w:proofErr w:type="spellEnd"/>
      <w:r w:rsidRPr="00C1113B">
        <w:rPr>
          <w:sz w:val="22"/>
        </w:rPr>
        <w:t xml:space="preserve"> of 10 </w:t>
      </w:r>
      <w:proofErr w:type="spellStart"/>
      <w:r w:rsidRPr="00C1113B">
        <w:rPr>
          <w:sz w:val="22"/>
        </w:rPr>
        <w:t>mM</w:t>
      </w:r>
      <w:proofErr w:type="spellEnd"/>
      <w:r w:rsidRPr="00C1113B">
        <w:rPr>
          <w:sz w:val="22"/>
        </w:rPr>
        <w:t xml:space="preserve"> </w:t>
      </w:r>
      <w:proofErr w:type="spellStart"/>
      <w:r w:rsidRPr="00C1113B">
        <w:rPr>
          <w:sz w:val="22"/>
        </w:rPr>
        <w:t>dNTP</w:t>
      </w:r>
      <w:proofErr w:type="spellEnd"/>
      <w:r w:rsidRPr="00C1113B">
        <w:rPr>
          <w:sz w:val="22"/>
        </w:rPr>
        <w:t xml:space="preserve"> mix, 0.5 </w:t>
      </w:r>
      <w:proofErr w:type="spellStart"/>
      <w:r w:rsidRPr="00C1113B">
        <w:rPr>
          <w:sz w:val="22"/>
        </w:rPr>
        <w:t>μl</w:t>
      </w:r>
      <w:proofErr w:type="spellEnd"/>
      <w:r w:rsidRPr="00C1113B">
        <w:rPr>
          <w:sz w:val="22"/>
        </w:rPr>
        <w:t xml:space="preserve"> of each of the </w:t>
      </w:r>
      <w:r w:rsidRPr="00C1113B">
        <w:rPr>
          <w:sz w:val="22"/>
        </w:rPr>
        <w:lastRenderedPageBreak/>
        <w:t xml:space="preserve">three primers, 1 </w:t>
      </w:r>
      <w:proofErr w:type="spellStart"/>
      <w:r w:rsidRPr="00C1113B">
        <w:rPr>
          <w:sz w:val="22"/>
        </w:rPr>
        <w:t>μl</w:t>
      </w:r>
      <w:proofErr w:type="spellEnd"/>
      <w:r w:rsidRPr="00C1113B">
        <w:rPr>
          <w:sz w:val="22"/>
        </w:rPr>
        <w:t xml:space="preserve"> of sample with 50 </w:t>
      </w:r>
      <w:proofErr w:type="spellStart"/>
      <w:r w:rsidRPr="00C1113B">
        <w:rPr>
          <w:sz w:val="22"/>
        </w:rPr>
        <w:t>ng</w:t>
      </w:r>
      <w:proofErr w:type="spellEnd"/>
      <w:r w:rsidRPr="00C1113B">
        <w:rPr>
          <w:sz w:val="22"/>
        </w:rPr>
        <w:t xml:space="preserve"> total of DNA, 0.2 </w:t>
      </w:r>
      <w:proofErr w:type="spellStart"/>
      <w:r w:rsidRPr="00C1113B">
        <w:rPr>
          <w:sz w:val="22"/>
        </w:rPr>
        <w:t>μl</w:t>
      </w:r>
      <w:proofErr w:type="spellEnd"/>
      <w:r w:rsidRPr="00C1113B">
        <w:rPr>
          <w:sz w:val="22"/>
        </w:rPr>
        <w:t xml:space="preserve"> of </w:t>
      </w:r>
      <w:proofErr w:type="spellStart"/>
      <w:r w:rsidRPr="00C1113B">
        <w:rPr>
          <w:sz w:val="22"/>
        </w:rPr>
        <w:t>Taq</w:t>
      </w:r>
      <w:proofErr w:type="spellEnd"/>
      <w:r w:rsidRPr="00C1113B">
        <w:rPr>
          <w:sz w:val="22"/>
        </w:rPr>
        <w:t xml:space="preserve"> enzyme and 17.6 </w:t>
      </w:r>
      <w:proofErr w:type="spellStart"/>
      <w:r w:rsidRPr="00C1113B">
        <w:rPr>
          <w:sz w:val="22"/>
        </w:rPr>
        <w:t>μl</w:t>
      </w:r>
      <w:proofErr w:type="spellEnd"/>
      <w:r w:rsidRPr="00C1113B">
        <w:rPr>
          <w:sz w:val="22"/>
        </w:rPr>
        <w:t xml:space="preserve"> of </w:t>
      </w:r>
      <w:proofErr w:type="spellStart"/>
      <w:r w:rsidRPr="00C1113B">
        <w:rPr>
          <w:sz w:val="22"/>
        </w:rPr>
        <w:t>MilliQ</w:t>
      </w:r>
      <w:proofErr w:type="spellEnd"/>
      <w:r w:rsidRPr="00C1113B">
        <w:rPr>
          <w:sz w:val="22"/>
        </w:rPr>
        <w:t xml:space="preserve"> water for the total reaction volume of 25 </w:t>
      </w:r>
      <w:proofErr w:type="spellStart"/>
      <w:r w:rsidRPr="00C1113B">
        <w:rPr>
          <w:sz w:val="22"/>
        </w:rPr>
        <w:t>μl</w:t>
      </w:r>
      <w:proofErr w:type="spellEnd"/>
      <w:r w:rsidRPr="00C1113B">
        <w:rPr>
          <w:sz w:val="22"/>
        </w:rPr>
        <w:t xml:space="preserve">. The following cycling conditions were used: 94°C for 3 min, 10 cycles of 94°C for 15 s 65°C for 30 s (with 1°C decrease at each cycle), and 72°C for 40 s, following with 30 cycles of 94°C for 15 s, 55°C for 30 s, and 72°C for 40 s. Final elongation was done for 5 min at 72°C with a 15°C forever hold step.  </w:t>
      </w:r>
      <w:r w:rsidRPr="00C1113B">
        <w:rPr>
          <w:sz w:val="22"/>
          <w:szCs w:val="22"/>
        </w:rPr>
        <w:t xml:space="preserve">The efficiency of the </w:t>
      </w:r>
      <w:proofErr w:type="spellStart"/>
      <w:r w:rsidRPr="00C1113B">
        <w:rPr>
          <w:sz w:val="22"/>
          <w:szCs w:val="22"/>
        </w:rPr>
        <w:t>Cre</w:t>
      </w:r>
      <w:proofErr w:type="spellEnd"/>
      <w:r w:rsidRPr="00C1113B">
        <w:rPr>
          <w:sz w:val="22"/>
          <w:szCs w:val="22"/>
        </w:rPr>
        <w:t xml:space="preserve">-mediated deletion of </w:t>
      </w:r>
      <w:proofErr w:type="spellStart"/>
      <w:r w:rsidRPr="00E96899">
        <w:rPr>
          <w:i/>
          <w:sz w:val="22"/>
          <w:szCs w:val="22"/>
        </w:rPr>
        <w:t>Pten</w:t>
      </w:r>
      <w:proofErr w:type="spellEnd"/>
      <w:r w:rsidRPr="00C1113B">
        <w:rPr>
          <w:sz w:val="22"/>
          <w:szCs w:val="22"/>
        </w:rPr>
        <w:t xml:space="preserve"> was deduced from the ratio of the mutant truncated </w:t>
      </w:r>
      <w:proofErr w:type="spellStart"/>
      <w:r w:rsidRPr="00E96899">
        <w:rPr>
          <w:i/>
          <w:sz w:val="22"/>
          <w:szCs w:val="22"/>
        </w:rPr>
        <w:t>Pten</w:t>
      </w:r>
      <w:proofErr w:type="spellEnd"/>
      <w:r w:rsidRPr="00C1113B">
        <w:rPr>
          <w:sz w:val="22"/>
          <w:szCs w:val="22"/>
        </w:rPr>
        <w:t xml:space="preserve"> to the wild-type </w:t>
      </w:r>
      <w:proofErr w:type="spellStart"/>
      <w:r w:rsidRPr="00E96899">
        <w:rPr>
          <w:i/>
          <w:sz w:val="22"/>
          <w:szCs w:val="22"/>
        </w:rPr>
        <w:t>Pten</w:t>
      </w:r>
      <w:proofErr w:type="spellEnd"/>
      <w:r w:rsidRPr="00C1113B">
        <w:rPr>
          <w:sz w:val="22"/>
          <w:szCs w:val="22"/>
        </w:rPr>
        <w:t xml:space="preserve"> in various adult mouse tissues (10-12 weeks old) from HET-CRE mice (</w:t>
      </w:r>
      <w:proofErr w:type="spellStart"/>
      <w:r w:rsidRPr="00C1113B">
        <w:rPr>
          <w:sz w:val="22"/>
          <w:szCs w:val="22"/>
        </w:rPr>
        <w:t>Cre</w:t>
      </w:r>
      <w:proofErr w:type="spellEnd"/>
      <w:r w:rsidRPr="00C1113B">
        <w:rPr>
          <w:sz w:val="22"/>
          <w:szCs w:val="22"/>
          <w:vertAlign w:val="superscript"/>
        </w:rPr>
        <w:t>+/-</w:t>
      </w:r>
      <w:r w:rsidRPr="00C1113B">
        <w:rPr>
          <w:sz w:val="22"/>
          <w:szCs w:val="22"/>
        </w:rPr>
        <w:t xml:space="preserve">; </w:t>
      </w:r>
      <w:proofErr w:type="spellStart"/>
      <w:r w:rsidRPr="00C1113B">
        <w:rPr>
          <w:sz w:val="22"/>
          <w:szCs w:val="22"/>
        </w:rPr>
        <w:t>Pten</w:t>
      </w:r>
      <w:proofErr w:type="spellEnd"/>
      <w:r w:rsidRPr="00C1113B">
        <w:rPr>
          <w:sz w:val="22"/>
          <w:szCs w:val="22"/>
          <w:vertAlign w:val="superscript"/>
        </w:rPr>
        <w:t>+/</w:t>
      </w:r>
      <w:proofErr w:type="spellStart"/>
      <w:r w:rsidRPr="00C1113B">
        <w:rPr>
          <w:sz w:val="22"/>
          <w:szCs w:val="22"/>
          <w:vertAlign w:val="superscript"/>
        </w:rPr>
        <w:t>loxP</w:t>
      </w:r>
      <w:proofErr w:type="spellEnd"/>
      <w:r w:rsidRPr="00C1113B">
        <w:rPr>
          <w:sz w:val="22"/>
          <w:szCs w:val="22"/>
        </w:rPr>
        <w:t xml:space="preserve">).  For the particular HET-CRE mouse samples run on the gel shown under Figure S1, </w:t>
      </w:r>
      <w:r w:rsidR="00D402E1">
        <w:rPr>
          <w:sz w:val="22"/>
          <w:szCs w:val="22"/>
        </w:rPr>
        <w:t xml:space="preserve">(mouse #88) </w:t>
      </w:r>
      <w:proofErr w:type="spellStart"/>
      <w:r w:rsidRPr="00C1113B">
        <w:rPr>
          <w:sz w:val="22"/>
          <w:szCs w:val="22"/>
        </w:rPr>
        <w:t>Cre</w:t>
      </w:r>
      <w:proofErr w:type="spellEnd"/>
      <w:r w:rsidRPr="00C1113B">
        <w:rPr>
          <w:sz w:val="22"/>
          <w:szCs w:val="22"/>
        </w:rPr>
        <w:t xml:space="preserve">-mediated </w:t>
      </w:r>
      <w:proofErr w:type="spellStart"/>
      <w:r w:rsidRPr="00E96899">
        <w:rPr>
          <w:i/>
          <w:sz w:val="22"/>
          <w:szCs w:val="22"/>
        </w:rPr>
        <w:t>Pten</w:t>
      </w:r>
      <w:proofErr w:type="spellEnd"/>
      <w:r w:rsidRPr="00C1113B">
        <w:rPr>
          <w:sz w:val="22"/>
          <w:szCs w:val="22"/>
        </w:rPr>
        <w:t xml:space="preserve"> deletion was less than 20% in liver and heart, but it was significant in neural tissues (76%, 60%, and 62% </w:t>
      </w:r>
      <w:proofErr w:type="spellStart"/>
      <w:r w:rsidRPr="00C1113B">
        <w:rPr>
          <w:i/>
          <w:sz w:val="22"/>
          <w:szCs w:val="22"/>
        </w:rPr>
        <w:t>Pten</w:t>
      </w:r>
      <w:proofErr w:type="spellEnd"/>
      <w:r w:rsidRPr="00C1113B">
        <w:rPr>
          <w:i/>
          <w:sz w:val="22"/>
          <w:szCs w:val="22"/>
        </w:rPr>
        <w:t xml:space="preserve"> </w:t>
      </w:r>
      <w:r w:rsidRPr="00C1113B">
        <w:rPr>
          <w:sz w:val="22"/>
          <w:szCs w:val="22"/>
        </w:rPr>
        <w:t xml:space="preserve">deletion in hippocampus, </w:t>
      </w:r>
      <w:r w:rsidRPr="00D402E1">
        <w:rPr>
          <w:sz w:val="22"/>
          <w:szCs w:val="22"/>
        </w:rPr>
        <w:t xml:space="preserve">cerebellum, and </w:t>
      </w:r>
      <w:r w:rsidR="00E053F5" w:rsidRPr="00D402E1">
        <w:rPr>
          <w:sz w:val="22"/>
          <w:szCs w:val="22"/>
        </w:rPr>
        <w:t>brain cortex</w:t>
      </w:r>
      <w:r w:rsidRPr="00D402E1">
        <w:rPr>
          <w:color w:val="FF0000"/>
          <w:sz w:val="22"/>
          <w:szCs w:val="22"/>
        </w:rPr>
        <w:t xml:space="preserve">, </w:t>
      </w:r>
      <w:r w:rsidRPr="00D402E1">
        <w:rPr>
          <w:sz w:val="22"/>
          <w:szCs w:val="22"/>
        </w:rPr>
        <w:t>respectively).</w:t>
      </w:r>
    </w:p>
    <w:p w14:paraId="14932222" w14:textId="77777777" w:rsidR="00FD2E84" w:rsidRPr="00BE5CFC" w:rsidRDefault="00FD2E84" w:rsidP="00FD2E84">
      <w:pPr>
        <w:widowControl w:val="0"/>
        <w:autoSpaceDE w:val="0"/>
        <w:autoSpaceDN w:val="0"/>
        <w:adjustRightInd w:val="0"/>
        <w:ind w:firstLine="720"/>
        <w:rPr>
          <w:b/>
          <w:color w:val="000000"/>
          <w:sz w:val="22"/>
        </w:rPr>
      </w:pPr>
    </w:p>
    <w:p w14:paraId="6B9126CD" w14:textId="77777777" w:rsidR="00FD2E84" w:rsidRPr="00BE5CFC" w:rsidRDefault="00FD2E84" w:rsidP="00FD2E84">
      <w:pPr>
        <w:widowControl w:val="0"/>
        <w:autoSpaceDE w:val="0"/>
        <w:autoSpaceDN w:val="0"/>
        <w:adjustRightInd w:val="0"/>
        <w:jc w:val="both"/>
        <w:rPr>
          <w:b/>
          <w:bCs/>
          <w:i/>
          <w:color w:val="000000"/>
          <w:sz w:val="22"/>
          <w:szCs w:val="22"/>
        </w:rPr>
      </w:pPr>
      <w:r w:rsidRPr="00BE5CFC">
        <w:rPr>
          <w:b/>
          <w:bCs/>
          <w:i/>
          <w:color w:val="000000"/>
          <w:sz w:val="22"/>
          <w:szCs w:val="22"/>
        </w:rPr>
        <w:t>Animal health, housing conditions and behavior</w:t>
      </w:r>
    </w:p>
    <w:p w14:paraId="3A8A7D03" w14:textId="77777777" w:rsidR="00FD2E84" w:rsidRPr="00BE5CFC" w:rsidRDefault="00FD2E84" w:rsidP="00FD2E84">
      <w:pPr>
        <w:widowControl w:val="0"/>
        <w:autoSpaceDE w:val="0"/>
        <w:autoSpaceDN w:val="0"/>
        <w:adjustRightInd w:val="0"/>
        <w:jc w:val="both"/>
        <w:rPr>
          <w:color w:val="000000"/>
          <w:sz w:val="22"/>
          <w:szCs w:val="22"/>
        </w:rPr>
      </w:pPr>
      <w:r w:rsidRPr="00BE5CFC">
        <w:rPr>
          <w:b/>
          <w:bCs/>
          <w:i/>
          <w:color w:val="000000"/>
          <w:sz w:val="22"/>
          <w:szCs w:val="22"/>
        </w:rPr>
        <w:t>General health:</w:t>
      </w:r>
      <w:r w:rsidRPr="00BE5CFC">
        <w:rPr>
          <w:b/>
          <w:bCs/>
          <w:color w:val="000000"/>
          <w:sz w:val="22"/>
          <w:szCs w:val="22"/>
        </w:rPr>
        <w:t xml:space="preserve"> </w:t>
      </w:r>
      <w:r w:rsidRPr="00BE5CFC">
        <w:rPr>
          <w:color w:val="000000"/>
          <w:sz w:val="22"/>
          <w:szCs w:val="22"/>
        </w:rPr>
        <w:t xml:space="preserve">Upon </w:t>
      </w:r>
      <w:r w:rsidR="000F58A6">
        <w:rPr>
          <w:color w:val="000000"/>
          <w:sz w:val="22"/>
          <w:szCs w:val="22"/>
        </w:rPr>
        <w:t>transferring the mice from the breeding Facility on Campus to the Mouse Behavioral</w:t>
      </w:r>
      <w:r w:rsidRPr="00BE5CFC">
        <w:rPr>
          <w:color w:val="000000"/>
          <w:sz w:val="22"/>
          <w:szCs w:val="22"/>
        </w:rPr>
        <w:t xml:space="preserve">, mice were first evaluated for general health </w:t>
      </w:r>
      <w:r w:rsidR="009A2EF9" w:rsidRPr="00BE5CFC">
        <w:rPr>
          <w:color w:val="000000"/>
          <w:sz w:val="22"/>
          <w:szCs w:val="22"/>
        </w:rPr>
        <w:fldChar w:fldCharType="begin">
          <w:fldData xml:space="preserve">PEVuZE5vdGU+PENpdGU+PEF1dGhvcj5DcmF3bGV5PC9BdXRob3I+PFllYXI+MTk5OTwvWWVhcj48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</w:fldData>
        </w:fldChar>
      </w:r>
      <w:r w:rsidR="004216F0">
        <w:rPr>
          <w:color w:val="000000"/>
          <w:sz w:val="22"/>
          <w:szCs w:val="22"/>
        </w:rPr>
        <w:instrText xml:space="preserve"> ADDIN EN.CITE </w:instrText>
      </w:r>
      <w:r w:rsidR="009A2EF9">
        <w:rPr>
          <w:color w:val="000000"/>
          <w:sz w:val="22"/>
          <w:szCs w:val="22"/>
        </w:rPr>
        <w:fldChar w:fldCharType="begin">
          <w:fldData xml:space="preserve">PEVuZE5vdGU+PENpdGU+PEF1dGhvcj5DcmF3bGV5PC9BdXRob3I+PFllYXI+MTk5OTwvWWVhcj48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</w:fldData>
        </w:fldChar>
      </w:r>
      <w:r w:rsidR="004216F0">
        <w:rPr>
          <w:color w:val="000000"/>
          <w:sz w:val="22"/>
          <w:szCs w:val="22"/>
        </w:rPr>
        <w:instrText xml:space="preserve"> ADDIN EN.CITE.DATA </w:instrText>
      </w:r>
      <w:r w:rsidR="009A2EF9">
        <w:rPr>
          <w:color w:val="000000"/>
          <w:sz w:val="22"/>
          <w:szCs w:val="22"/>
        </w:rPr>
      </w:r>
      <w:r w:rsidR="009A2EF9">
        <w:rPr>
          <w:color w:val="000000"/>
          <w:sz w:val="22"/>
          <w:szCs w:val="22"/>
        </w:rPr>
        <w:fldChar w:fldCharType="end"/>
      </w:r>
      <w:r w:rsidR="009A2EF9" w:rsidRPr="00BE5CFC">
        <w:rPr>
          <w:color w:val="000000"/>
          <w:sz w:val="22"/>
          <w:szCs w:val="22"/>
        </w:rPr>
      </w:r>
      <w:r w:rsidR="009A2EF9" w:rsidRPr="00BE5CFC">
        <w:rPr>
          <w:color w:val="000000"/>
          <w:sz w:val="22"/>
          <w:szCs w:val="22"/>
        </w:rPr>
        <w:fldChar w:fldCharType="separate"/>
      </w:r>
      <w:r w:rsidR="004216F0">
        <w:rPr>
          <w:noProof/>
          <w:color w:val="000000"/>
          <w:sz w:val="22"/>
          <w:szCs w:val="22"/>
        </w:rPr>
        <w:t>[</w:t>
      </w:r>
      <w:hyperlink w:anchor="_ENREF_3" w:tooltip="Crawley, 1999 #18" w:history="1">
        <w:r w:rsidR="004216F0">
          <w:rPr>
            <w:noProof/>
            <w:color w:val="000000"/>
            <w:sz w:val="22"/>
            <w:szCs w:val="22"/>
          </w:rPr>
          <w:t>3-5</w:t>
        </w:r>
      </w:hyperlink>
      <w:r w:rsidR="004216F0">
        <w:rPr>
          <w:noProof/>
          <w:color w:val="000000"/>
          <w:sz w:val="22"/>
          <w:szCs w:val="22"/>
        </w:rPr>
        <w:t>]</w:t>
      </w:r>
      <w:r w:rsidR="009A2EF9" w:rsidRPr="00BE5CFC">
        <w:rPr>
          <w:color w:val="000000"/>
          <w:sz w:val="22"/>
          <w:szCs w:val="22"/>
        </w:rPr>
        <w:fldChar w:fldCharType="end"/>
      </w:r>
      <w:r w:rsidRPr="00BE5CFC">
        <w:rPr>
          <w:color w:val="000000"/>
          <w:sz w:val="22"/>
          <w:szCs w:val="22"/>
        </w:rPr>
        <w:t>, including body weight, eye, fur and whiskers physical conditions.  Records were taken for body weight and length. The animals were housed three to four mice per cage.  Behavioral testing began 4-6 days after arrival into the animal facility. Mice from the two groups appeared in good general health, without any overt impairments, aberrant responses or unusual levels of activity or fighting during the home cage observation periods.</w:t>
      </w:r>
    </w:p>
    <w:p w14:paraId="6DEA9D5A" w14:textId="77777777" w:rsidR="00FD2E84" w:rsidRPr="00BE5CFC" w:rsidRDefault="00FD2E84" w:rsidP="00FD2E84">
      <w:pPr>
        <w:widowControl w:val="0"/>
        <w:autoSpaceDE w:val="0"/>
        <w:autoSpaceDN w:val="0"/>
        <w:adjustRightInd w:val="0"/>
        <w:jc w:val="both"/>
        <w:rPr>
          <w:color w:val="000000"/>
          <w:sz w:val="22"/>
        </w:rPr>
      </w:pPr>
      <w:r w:rsidRPr="00BE5CFC">
        <w:rPr>
          <w:b/>
          <w:bCs/>
          <w:i/>
          <w:color w:val="000000"/>
          <w:sz w:val="22"/>
        </w:rPr>
        <w:t>Animal housing:</w:t>
      </w:r>
      <w:r w:rsidRPr="00BE5CFC">
        <w:rPr>
          <w:b/>
          <w:bCs/>
          <w:color w:val="000000"/>
          <w:sz w:val="22"/>
        </w:rPr>
        <w:t xml:space="preserve"> </w:t>
      </w:r>
      <w:r w:rsidRPr="00BE5CFC">
        <w:rPr>
          <w:bCs/>
          <w:color w:val="000000"/>
          <w:sz w:val="22"/>
        </w:rPr>
        <w:t>All a</w:t>
      </w:r>
      <w:r w:rsidRPr="00BE5CFC">
        <w:rPr>
          <w:color w:val="000000"/>
          <w:sz w:val="22"/>
        </w:rPr>
        <w:t xml:space="preserve">nimals were housed with three to four mice </w:t>
      </w:r>
      <w:r w:rsidRPr="00BE5CFC">
        <w:rPr>
          <w:i/>
          <w:color w:val="000000"/>
          <w:sz w:val="22"/>
        </w:rPr>
        <w:t>per</w:t>
      </w:r>
      <w:r w:rsidRPr="00BE5CFC">
        <w:rPr>
          <w:color w:val="000000"/>
          <w:sz w:val="22"/>
        </w:rPr>
        <w:t xml:space="preserve"> plastic tub cage, and provided with Purina 5058 chow and water </w:t>
      </w:r>
      <w:r w:rsidRPr="00BE5CFC">
        <w:rPr>
          <w:i/>
          <w:color w:val="000000"/>
          <w:sz w:val="22"/>
        </w:rPr>
        <w:t>ad libitum</w:t>
      </w:r>
      <w:r w:rsidRPr="00BE5CFC">
        <w:rPr>
          <w:color w:val="000000"/>
          <w:sz w:val="22"/>
        </w:rPr>
        <w:t xml:space="preserve">. The housing room was maintained at 23°C on a 12-h light/dark cycle (lights off at 6 pm). </w:t>
      </w:r>
    </w:p>
    <w:p w14:paraId="5CA3678D" w14:textId="77777777" w:rsidR="00FD2E84" w:rsidRPr="00BE5CFC" w:rsidRDefault="00FD2E84" w:rsidP="00FD2E84">
      <w:pPr>
        <w:widowControl w:val="0"/>
        <w:autoSpaceDE w:val="0"/>
        <w:autoSpaceDN w:val="0"/>
        <w:adjustRightInd w:val="0"/>
        <w:jc w:val="both"/>
        <w:rPr>
          <w:color w:val="000000"/>
          <w:sz w:val="22"/>
          <w:szCs w:val="20"/>
        </w:rPr>
      </w:pPr>
      <w:r w:rsidRPr="00C1113B">
        <w:rPr>
          <w:b/>
          <w:bCs/>
          <w:i/>
          <w:color w:val="000000"/>
          <w:sz w:val="22"/>
          <w:szCs w:val="20"/>
        </w:rPr>
        <w:t>Behavioral tests:  S</w:t>
      </w:r>
      <w:r w:rsidRPr="00BE5CFC">
        <w:rPr>
          <w:b/>
          <w:bCs/>
          <w:i/>
          <w:color w:val="000000"/>
          <w:sz w:val="22"/>
          <w:szCs w:val="20"/>
        </w:rPr>
        <w:t>ociability and preference for social novelty.</w:t>
      </w:r>
      <w:r w:rsidRPr="00BE5CFC">
        <w:rPr>
          <w:b/>
          <w:bCs/>
          <w:color w:val="000000"/>
          <w:sz w:val="22"/>
          <w:szCs w:val="20"/>
        </w:rPr>
        <w:t xml:space="preserve"> </w:t>
      </w:r>
      <w:r w:rsidRPr="00BE5CFC">
        <w:rPr>
          <w:color w:val="000000"/>
          <w:sz w:val="22"/>
        </w:rPr>
        <w:t>A mouse social approach task was used to assess sociability, the tendency to spend time with another conspecific, and preference for</w:t>
      </w:r>
      <w:r w:rsidRPr="00BE5CFC">
        <w:rPr>
          <w:rFonts w:ascii="Arial" w:hAnsi="Arial" w:cs="TimesNewRomanPSMT"/>
          <w:color w:val="000000"/>
          <w:sz w:val="22"/>
        </w:rPr>
        <w:t xml:space="preserve"> </w:t>
      </w:r>
      <w:r w:rsidRPr="00BE5CFC">
        <w:rPr>
          <w:color w:val="000000"/>
          <w:sz w:val="22"/>
          <w:szCs w:val="22"/>
        </w:rPr>
        <w:t xml:space="preserve">social novelty, the ability to discriminate and choose between familiar and new conspecifics </w:t>
      </w:r>
      <w:r w:rsidR="009A2EF9" w:rsidRPr="00BE5CFC">
        <w:rPr>
          <w:color w:val="000000"/>
          <w:sz w:val="22"/>
          <w:szCs w:val="22"/>
        </w:rPr>
        <w:fldChar w:fldCharType="begin">
          <w:fldData xml:space="preserve">PEVuZE5vdGU+PENpdGU+PEF1dGhvcj5Nb3k8L0F1dGhvcj48WWVhcj4yMDA0PC9ZZWFyPjxSZWNO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</w:fldData>
        </w:fldChar>
      </w:r>
      <w:r w:rsidR="004216F0">
        <w:rPr>
          <w:color w:val="000000"/>
          <w:sz w:val="22"/>
          <w:szCs w:val="22"/>
        </w:rPr>
        <w:instrText xml:space="preserve"> ADDIN EN.CITE </w:instrText>
      </w:r>
      <w:r w:rsidR="009A2EF9">
        <w:rPr>
          <w:color w:val="000000"/>
          <w:sz w:val="22"/>
          <w:szCs w:val="22"/>
        </w:rPr>
        <w:fldChar w:fldCharType="begin">
          <w:fldData xml:space="preserve">PEVuZE5vdGU+PENpdGU+PEF1dGhvcj5Nb3k8L0F1dGhvcj48WWVhcj4yMDA0PC9ZZWFyPjxSZWNO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</w:fldData>
        </w:fldChar>
      </w:r>
      <w:r w:rsidR="004216F0">
        <w:rPr>
          <w:color w:val="000000"/>
          <w:sz w:val="22"/>
          <w:szCs w:val="22"/>
        </w:rPr>
        <w:instrText xml:space="preserve"> ADDIN EN.CITE.DATA </w:instrText>
      </w:r>
      <w:r w:rsidR="009A2EF9">
        <w:rPr>
          <w:color w:val="000000"/>
          <w:sz w:val="22"/>
          <w:szCs w:val="22"/>
        </w:rPr>
      </w:r>
      <w:r w:rsidR="009A2EF9">
        <w:rPr>
          <w:color w:val="000000"/>
          <w:sz w:val="22"/>
          <w:szCs w:val="22"/>
        </w:rPr>
        <w:fldChar w:fldCharType="end"/>
      </w:r>
      <w:r w:rsidR="009A2EF9" w:rsidRPr="00BE5CFC">
        <w:rPr>
          <w:color w:val="000000"/>
          <w:sz w:val="22"/>
          <w:szCs w:val="22"/>
        </w:rPr>
      </w:r>
      <w:r w:rsidR="009A2EF9" w:rsidRPr="00BE5CFC">
        <w:rPr>
          <w:color w:val="000000"/>
          <w:sz w:val="22"/>
          <w:szCs w:val="22"/>
        </w:rPr>
        <w:fldChar w:fldCharType="separate"/>
      </w:r>
      <w:r w:rsidR="004216F0">
        <w:rPr>
          <w:noProof/>
          <w:color w:val="000000"/>
          <w:sz w:val="22"/>
          <w:szCs w:val="22"/>
        </w:rPr>
        <w:t>[</w:t>
      </w:r>
      <w:hyperlink w:anchor="_ENREF_5" w:tooltip="Moy, 2004 #60" w:history="1">
        <w:r w:rsidR="004216F0">
          <w:rPr>
            <w:noProof/>
            <w:color w:val="000000"/>
            <w:sz w:val="22"/>
            <w:szCs w:val="22"/>
          </w:rPr>
          <w:t>5</w:t>
        </w:r>
      </w:hyperlink>
      <w:r w:rsidR="004216F0">
        <w:rPr>
          <w:noProof/>
          <w:color w:val="000000"/>
          <w:sz w:val="22"/>
          <w:szCs w:val="22"/>
        </w:rPr>
        <w:t>,</w:t>
      </w:r>
      <w:hyperlink w:anchor="_ENREF_6" w:tooltip="Nadler, 2004 #85" w:history="1">
        <w:r w:rsidR="004216F0">
          <w:rPr>
            <w:noProof/>
            <w:color w:val="000000"/>
            <w:sz w:val="22"/>
            <w:szCs w:val="22"/>
          </w:rPr>
          <w:t>6</w:t>
        </w:r>
      </w:hyperlink>
      <w:r w:rsidR="004216F0">
        <w:rPr>
          <w:noProof/>
          <w:color w:val="000000"/>
          <w:sz w:val="22"/>
          <w:szCs w:val="22"/>
        </w:rPr>
        <w:t>]</w:t>
      </w:r>
      <w:r w:rsidR="009A2EF9" w:rsidRPr="00BE5CFC">
        <w:rPr>
          <w:color w:val="000000"/>
          <w:sz w:val="22"/>
          <w:szCs w:val="22"/>
        </w:rPr>
        <w:fldChar w:fldCharType="end"/>
      </w:r>
      <w:r w:rsidRPr="00BE5CFC">
        <w:rPr>
          <w:color w:val="000000"/>
          <w:sz w:val="22"/>
          <w:szCs w:val="22"/>
        </w:rPr>
        <w:t xml:space="preserve">. </w:t>
      </w:r>
      <w:r w:rsidRPr="00BE5CFC">
        <w:rPr>
          <w:color w:val="000000"/>
          <w:sz w:val="22"/>
          <w:szCs w:val="20"/>
        </w:rPr>
        <w:t xml:space="preserve">The apparatus used was a rectangular, three-chambered box fabricated from clear polycarbonate. Dividing walls had retractable doorways allowing access into each chamber. The </w:t>
      </w:r>
      <w:proofErr w:type="spellStart"/>
      <w:r w:rsidRPr="00BE5CFC">
        <w:rPr>
          <w:color w:val="000000"/>
          <w:sz w:val="22"/>
          <w:szCs w:val="20"/>
        </w:rPr>
        <w:t>Topscan</w:t>
      </w:r>
      <w:proofErr w:type="spellEnd"/>
      <w:r w:rsidRPr="00BE5CFC">
        <w:rPr>
          <w:color w:val="000000"/>
          <w:sz w:val="22"/>
          <w:szCs w:val="20"/>
        </w:rPr>
        <w:t xml:space="preserve"> tracking system was used to track animals in real time and outputs the data in terms of the animal location and sniffing of the test animal to the cages. The chambers of the apparatus were cleaned with water and dried with paper towels between each trial. At the end of each test day, the apparatus was sprayed with 70% ethanol and wiped clean with paper towels.</w:t>
      </w:r>
    </w:p>
    <w:p w14:paraId="03C86EC2" w14:textId="77777777" w:rsidR="00FD2E84" w:rsidRDefault="00FD2E84" w:rsidP="00FD2E84">
      <w:pPr>
        <w:jc w:val="both"/>
        <w:rPr>
          <w:color w:val="000000"/>
          <w:sz w:val="22"/>
          <w:szCs w:val="22"/>
        </w:rPr>
      </w:pPr>
      <w:r w:rsidRPr="00BE5CFC">
        <w:rPr>
          <w:b/>
          <w:bCs/>
          <w:i/>
          <w:color w:val="000000"/>
          <w:sz w:val="22"/>
          <w:szCs w:val="20"/>
        </w:rPr>
        <w:t xml:space="preserve">Procedure: </w:t>
      </w:r>
      <w:r w:rsidRPr="00BE5CFC">
        <w:rPr>
          <w:color w:val="000000"/>
          <w:sz w:val="22"/>
          <w:szCs w:val="20"/>
        </w:rPr>
        <w:t>A) Habituation. The test mouse was first placed in the middle chamber and allowed to explore for ten min, with the doorways into the two side chambers open. Each of the two sides contained an empty wire cage (Galaxy Cup, Spectrum Diversified Designs, Inc., Streetsboro, Ohio). The wire cages were 11 cm in height, with a bottom diameter of 10.5 cm and bars spaced 1 cm apart. A weighted cup was placed on the top of each cage to prevent climbing by the test mice. Each wire cage was used only once per day, and all cages were washed with soap and water at the end of each test day.  B) Sociability. After the habituation period, the test mouse was enclosed in the center compartment of the social test box, and an unfamiliar mouse (stranger 1; a C57BL/6J male), further described below, was enclosed in one of the wire cages and placed in one of the side chambers. The location for stranger 1 alternated between the left and right sides of the social test box across subjects. Following placement of stranger 1, the doors were re-opened, and the subject was allowed to explore the entire social test box for a ten-minute session. Measures were taken of the amount of time spent in each chamber and the number of entries into each chamber by the automated testing system (</w:t>
      </w:r>
      <w:proofErr w:type="spellStart"/>
      <w:r w:rsidRPr="00BE5CFC">
        <w:rPr>
          <w:color w:val="000000"/>
          <w:sz w:val="22"/>
          <w:szCs w:val="20"/>
        </w:rPr>
        <w:t>Topscan</w:t>
      </w:r>
      <w:proofErr w:type="spellEnd"/>
      <w:r w:rsidRPr="00BE5CFC">
        <w:rPr>
          <w:color w:val="000000"/>
          <w:sz w:val="22"/>
          <w:szCs w:val="20"/>
        </w:rPr>
        <w:t xml:space="preserve"> software). In addition, this software also scored time spent sniffing each wire cage.  Stranger mice were adult male C57BL/6J (JAX), and were housed in cages separate from and distant to the cages housing the subject mice, to avoid visual, auditory, and olfactory contact. Strangers had no previous physical contact with the subjects, and were kept in a separate location from the subjects on the day of testing. Several days before the start of social testing, the mice serving as strangers were habituated to the wire cages in the social apparatus for 5–10 min per day, for at least five days. Each stranger was used only once per day, and the strangers for the sociability test and the social novelty tests were taken from separate cages. Containing the stranger mouse in a wire cage served the purpose of preventing aggressive and sexual interactions, as well as ensuring that all social approaches were initiated only by the subject </w:t>
      </w:r>
      <w:r w:rsidRPr="00C20C4D">
        <w:rPr>
          <w:sz w:val="22"/>
          <w:szCs w:val="20"/>
        </w:rPr>
        <w:t>mouse.</w:t>
      </w:r>
      <w:r w:rsidRPr="00BE5CFC">
        <w:rPr>
          <w:color w:val="000000"/>
          <w:sz w:val="22"/>
          <w:szCs w:val="20"/>
        </w:rPr>
        <w:t xml:space="preserve"> The empty wire cage served as a control for the properties of the container, in addition to serving as inanimate object with no social valence.  C) Preference for social novelty. At the end of the ten-minute sociability test, each mouse was further tested in a third ten-minute session to quantitate preference to spend time with a new stranger. A new unfamiliar mouse was placed in the wire cage that had been empty during the previous ten-minute session. The test mouse had a choice between the first, already-</w:t>
      </w:r>
      <w:r w:rsidRPr="00BE5CFC">
        <w:rPr>
          <w:color w:val="000000"/>
          <w:sz w:val="22"/>
          <w:szCs w:val="20"/>
        </w:rPr>
        <w:lastRenderedPageBreak/>
        <w:t xml:space="preserve">investigated, now-familiar mouse (stranger 1) and the novel unfamiliar mouse (stranger 2). As described above, measures were taken of the amount of time spent in each chamber, the number of transitions between chambers of the apparatus, and time spent sniffing each wire cage.  </w:t>
      </w:r>
      <w:r w:rsidRPr="00BE5CFC">
        <w:rPr>
          <w:b/>
          <w:bCs/>
          <w:color w:val="000000"/>
          <w:sz w:val="22"/>
          <w:szCs w:val="20"/>
        </w:rPr>
        <w:t xml:space="preserve">Statistical analysis: </w:t>
      </w:r>
      <w:r w:rsidRPr="00BE5CFC">
        <w:rPr>
          <w:color w:val="000000"/>
          <w:sz w:val="22"/>
          <w:szCs w:val="20"/>
        </w:rPr>
        <w:t xml:space="preserve">Each mouse was tested separately in the behavioral assays. Data from the two components of the social behavior test (sociability and social novelty) were analyzed using two-tailed Student t-test. For all comparisons, significance was set at </w:t>
      </w:r>
      <w:r w:rsidRPr="00BE5CFC">
        <w:rPr>
          <w:i/>
          <w:color w:val="000000"/>
          <w:sz w:val="22"/>
          <w:szCs w:val="20"/>
        </w:rPr>
        <w:t xml:space="preserve">p </w:t>
      </w:r>
      <w:r>
        <w:rPr>
          <w:color w:val="000000"/>
          <w:sz w:val="22"/>
          <w:szCs w:val="20"/>
        </w:rPr>
        <w:t xml:space="preserve">≤ </w:t>
      </w:r>
      <w:r w:rsidRPr="00BE5CFC">
        <w:rPr>
          <w:color w:val="000000"/>
          <w:sz w:val="22"/>
          <w:szCs w:val="20"/>
        </w:rPr>
        <w:t>0.05</w:t>
      </w:r>
      <w:r>
        <w:rPr>
          <w:color w:val="000000"/>
          <w:sz w:val="22"/>
          <w:szCs w:val="20"/>
        </w:rPr>
        <w:t xml:space="preserve">; however, </w:t>
      </w:r>
      <w:bookmarkStart w:id="1" w:name="1307a5c1febdbf61_1307a4c9a255398b__msoan"/>
      <w:bookmarkStart w:id="2" w:name="1307a8900ec170a4_1307a6b380d8c2d0_1307a5"/>
      <w:bookmarkEnd w:id="1"/>
      <w:bookmarkEnd w:id="2"/>
      <w:r>
        <w:rPr>
          <w:sz w:val="22"/>
          <w:szCs w:val="22"/>
        </w:rPr>
        <w:t>outcomes were considered relevant and worth reporting when the power of the test was ≥ 0.900</w:t>
      </w:r>
      <w:r>
        <w:rPr>
          <w:color w:val="000000"/>
          <w:sz w:val="22"/>
          <w:szCs w:val="22"/>
        </w:rPr>
        <w:t>.</w:t>
      </w:r>
    </w:p>
    <w:p w14:paraId="3B4DB67C" w14:textId="77777777" w:rsidR="00FD2E84" w:rsidRPr="00BE5CFC" w:rsidRDefault="00FD2E84" w:rsidP="00FD2E84">
      <w:pPr>
        <w:widowControl w:val="0"/>
        <w:autoSpaceDE w:val="0"/>
        <w:autoSpaceDN w:val="0"/>
        <w:adjustRightInd w:val="0"/>
        <w:jc w:val="both"/>
        <w:rPr>
          <w:color w:val="000000"/>
          <w:sz w:val="22"/>
          <w:szCs w:val="20"/>
        </w:rPr>
      </w:pPr>
    </w:p>
    <w:p w14:paraId="2F5E7AC1" w14:textId="77777777" w:rsidR="00FD2E84" w:rsidRPr="00BE5CFC" w:rsidRDefault="00FD2E84" w:rsidP="00FD2E84">
      <w:pPr>
        <w:jc w:val="both"/>
        <w:rPr>
          <w:sz w:val="22"/>
          <w:szCs w:val="22"/>
          <w:u w:color="234BC5"/>
        </w:rPr>
      </w:pPr>
      <w:r w:rsidRPr="00BE5CFC">
        <w:rPr>
          <w:b/>
          <w:bCs/>
          <w:i/>
          <w:sz w:val="22"/>
          <w:szCs w:val="22"/>
        </w:rPr>
        <w:t>Self-grooming.</w:t>
      </w:r>
      <w:r w:rsidRPr="00BE5CFC">
        <w:rPr>
          <w:sz w:val="22"/>
          <w:szCs w:val="22"/>
        </w:rPr>
        <w:t> </w:t>
      </w:r>
      <w:r>
        <w:rPr>
          <w:sz w:val="22"/>
          <w:szCs w:val="22"/>
        </w:rPr>
        <w:t xml:space="preserve">Ten </w:t>
      </w:r>
      <w:r w:rsidRPr="00BE5CFC">
        <w:rPr>
          <w:sz w:val="22"/>
          <w:szCs w:val="22"/>
        </w:rPr>
        <w:t xml:space="preserve">HET and </w:t>
      </w:r>
      <w:r>
        <w:rPr>
          <w:sz w:val="22"/>
          <w:szCs w:val="22"/>
        </w:rPr>
        <w:t>six</w:t>
      </w:r>
      <w:r w:rsidRPr="00BE5CFC">
        <w:rPr>
          <w:sz w:val="22"/>
          <w:szCs w:val="22"/>
        </w:rPr>
        <w:t xml:space="preserve"> HET-CRE mice (</w:t>
      </w:r>
      <w:r>
        <w:rPr>
          <w:sz w:val="22"/>
          <w:szCs w:val="22"/>
        </w:rPr>
        <w:t xml:space="preserve">see </w:t>
      </w:r>
      <w:r>
        <w:rPr>
          <w:b/>
          <w:sz w:val="22"/>
          <w:szCs w:val="22"/>
        </w:rPr>
        <w:t xml:space="preserve">Table </w:t>
      </w:r>
      <w:r w:rsidR="00B07EB3">
        <w:rPr>
          <w:b/>
          <w:sz w:val="22"/>
          <w:szCs w:val="22"/>
        </w:rPr>
        <w:t>1</w:t>
      </w:r>
      <w:r>
        <w:rPr>
          <w:sz w:val="22"/>
          <w:szCs w:val="22"/>
        </w:rPr>
        <w:t>)</w:t>
      </w:r>
      <w:r w:rsidRPr="00BE5CFC">
        <w:rPr>
          <w:sz w:val="22"/>
          <w:szCs w:val="22"/>
        </w:rPr>
        <w:t xml:space="preserve"> </w:t>
      </w:r>
      <w:r>
        <w:rPr>
          <w:sz w:val="22"/>
          <w:szCs w:val="22"/>
        </w:rPr>
        <w:t xml:space="preserve">aged 20-29 weeks </w:t>
      </w:r>
      <w:r w:rsidRPr="00BE5CFC">
        <w:rPr>
          <w:sz w:val="22"/>
          <w:szCs w:val="22"/>
        </w:rPr>
        <w:t xml:space="preserve">were scored for spontaneous grooming behavior as described by others </w:t>
      </w:r>
      <w:r w:rsidR="009A2EF9" w:rsidRPr="00BE5CFC">
        <w:rPr>
          <w:sz w:val="22"/>
          <w:szCs w:val="22"/>
        </w:rPr>
        <w:fldChar w:fldCharType="begin">
          <w:fldData xml:space="preserve">PEVuZE5vdGU+PENpdGU+PEF1dGhvcj5TaWx2ZXJtYW48L0F1dGhvcj48WWVhcj4yMDEwPC9ZZWFy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==
</w:fldData>
        </w:fldChar>
      </w:r>
      <w:r w:rsidR="004216F0">
        <w:rPr>
          <w:sz w:val="22"/>
          <w:szCs w:val="22"/>
        </w:rPr>
        <w:instrText xml:space="preserve"> ADDIN EN.CITE </w:instrText>
      </w:r>
      <w:r w:rsidR="009A2EF9">
        <w:rPr>
          <w:sz w:val="22"/>
          <w:szCs w:val="22"/>
        </w:rPr>
        <w:fldChar w:fldCharType="begin">
          <w:fldData xml:space="preserve">PEVuZE5vdGU+PENpdGU+PEF1dGhvcj5TaWx2ZXJtYW48L0F1dGhvcj48WWVhcj4yMDEwPC9ZZWFy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==
</w:fldData>
        </w:fldChar>
      </w:r>
      <w:r w:rsidR="004216F0">
        <w:rPr>
          <w:sz w:val="22"/>
          <w:szCs w:val="22"/>
        </w:rPr>
        <w:instrText xml:space="preserve"> ADDIN EN.CITE.DATA </w:instrText>
      </w:r>
      <w:r w:rsidR="009A2EF9">
        <w:rPr>
          <w:sz w:val="22"/>
          <w:szCs w:val="22"/>
        </w:rPr>
      </w:r>
      <w:r w:rsidR="009A2EF9">
        <w:rPr>
          <w:sz w:val="22"/>
          <w:szCs w:val="22"/>
        </w:rPr>
        <w:fldChar w:fldCharType="end"/>
      </w:r>
      <w:r w:rsidR="009A2EF9" w:rsidRPr="00BE5CFC">
        <w:rPr>
          <w:sz w:val="22"/>
          <w:szCs w:val="22"/>
        </w:rPr>
      </w:r>
      <w:r w:rsidR="009A2EF9" w:rsidRPr="00BE5CFC">
        <w:rPr>
          <w:sz w:val="22"/>
          <w:szCs w:val="22"/>
        </w:rPr>
        <w:fldChar w:fldCharType="separate"/>
      </w:r>
      <w:r w:rsidR="004216F0">
        <w:rPr>
          <w:noProof/>
          <w:sz w:val="22"/>
          <w:szCs w:val="22"/>
        </w:rPr>
        <w:t>[</w:t>
      </w:r>
      <w:hyperlink w:anchor="_ENREF_7" w:tooltip="Silverman, 2010 #423" w:history="1">
        <w:r w:rsidR="004216F0">
          <w:rPr>
            <w:noProof/>
            <w:sz w:val="22"/>
            <w:szCs w:val="22"/>
          </w:rPr>
          <w:t>7</w:t>
        </w:r>
      </w:hyperlink>
      <w:r w:rsidR="004216F0">
        <w:rPr>
          <w:noProof/>
          <w:sz w:val="22"/>
          <w:szCs w:val="22"/>
        </w:rPr>
        <w:t>]</w:t>
      </w:r>
      <w:r w:rsidR="009A2EF9" w:rsidRPr="00BE5CFC">
        <w:rPr>
          <w:sz w:val="22"/>
          <w:szCs w:val="22"/>
        </w:rPr>
        <w:fldChar w:fldCharType="end"/>
      </w:r>
      <w:r w:rsidRPr="00BE5CFC">
        <w:rPr>
          <w:sz w:val="22"/>
          <w:szCs w:val="22"/>
        </w:rPr>
        <w:t xml:space="preserve">. </w:t>
      </w:r>
      <w:r w:rsidRPr="00BE5CFC">
        <w:rPr>
          <w:sz w:val="22"/>
          <w:szCs w:val="22"/>
          <w:u w:color="234BC5"/>
        </w:rPr>
        <w:t>Each mouse was placed individually into a standard mouse cage at 20-22ºC with &lt; 1-cm layer of bedding</w:t>
      </w:r>
      <w:r>
        <w:rPr>
          <w:sz w:val="22"/>
          <w:szCs w:val="22"/>
          <w:u w:color="234BC5"/>
        </w:rPr>
        <w:t>.  This bedding was included to r</w:t>
      </w:r>
      <w:r w:rsidRPr="00BE5CFC">
        <w:rPr>
          <w:sz w:val="22"/>
          <w:szCs w:val="22"/>
          <w:u w:color="234BC5"/>
        </w:rPr>
        <w:t xml:space="preserve">educe </w:t>
      </w:r>
      <w:proofErr w:type="spellStart"/>
      <w:r w:rsidRPr="00BE5CFC">
        <w:rPr>
          <w:sz w:val="22"/>
          <w:szCs w:val="22"/>
          <w:u w:color="234BC5"/>
        </w:rPr>
        <w:t>neophobia</w:t>
      </w:r>
      <w:proofErr w:type="spellEnd"/>
      <w:r>
        <w:rPr>
          <w:sz w:val="22"/>
          <w:szCs w:val="22"/>
          <w:u w:color="234BC5"/>
        </w:rPr>
        <w:t xml:space="preserve"> and it was thin enough to </w:t>
      </w:r>
      <w:r w:rsidRPr="00BE5CFC">
        <w:rPr>
          <w:sz w:val="22"/>
          <w:szCs w:val="22"/>
          <w:u w:color="234BC5"/>
        </w:rPr>
        <w:t xml:space="preserve">prevent digging, a potentially competing behavior. After a 10-min habituation period in the test cage, each mouse was scored with a stopwatch for 15- min for cumulative time spent grooming any body part. </w:t>
      </w:r>
      <w:r w:rsidRPr="00BE5CFC">
        <w:rPr>
          <w:sz w:val="22"/>
          <w:szCs w:val="22"/>
        </w:rPr>
        <w:t>Self-grooming was analyzed with ANOVA.</w:t>
      </w:r>
    </w:p>
    <w:p w14:paraId="5698116F" w14:textId="77777777" w:rsidR="00FD2E84" w:rsidRPr="00BE5CFC" w:rsidRDefault="00FD2E84" w:rsidP="00FD2E84">
      <w:pPr>
        <w:widowControl w:val="0"/>
        <w:autoSpaceDE w:val="0"/>
        <w:autoSpaceDN w:val="0"/>
        <w:adjustRightInd w:val="0"/>
        <w:rPr>
          <w:color w:val="000000"/>
          <w:sz w:val="22"/>
          <w:szCs w:val="20"/>
        </w:rPr>
      </w:pPr>
    </w:p>
    <w:p w14:paraId="22E1A891" w14:textId="77777777" w:rsidR="00FD2E84" w:rsidRPr="00BE5CFC" w:rsidRDefault="00FD2E84" w:rsidP="00FD2E84">
      <w:pPr>
        <w:jc w:val="both"/>
        <w:rPr>
          <w:b/>
          <w:i/>
          <w:color w:val="000000"/>
          <w:sz w:val="22"/>
          <w:szCs w:val="22"/>
        </w:rPr>
      </w:pPr>
      <w:r w:rsidRPr="00BE5CFC">
        <w:rPr>
          <w:b/>
          <w:i/>
          <w:color w:val="000000"/>
          <w:sz w:val="22"/>
          <w:szCs w:val="22"/>
        </w:rPr>
        <w:t xml:space="preserve">Evaluation of </w:t>
      </w:r>
      <w:proofErr w:type="spellStart"/>
      <w:r w:rsidRPr="00BE5CFC">
        <w:rPr>
          <w:b/>
          <w:i/>
          <w:color w:val="000000"/>
          <w:sz w:val="22"/>
          <w:szCs w:val="22"/>
        </w:rPr>
        <w:t>mtDNA</w:t>
      </w:r>
      <w:proofErr w:type="spellEnd"/>
      <w:r w:rsidRPr="00BE5CFC">
        <w:rPr>
          <w:b/>
          <w:i/>
          <w:color w:val="000000"/>
          <w:sz w:val="22"/>
          <w:szCs w:val="22"/>
        </w:rPr>
        <w:t xml:space="preserve"> copy number </w:t>
      </w:r>
      <w:r w:rsidR="000F58A6">
        <w:rPr>
          <w:b/>
          <w:i/>
          <w:color w:val="000000"/>
          <w:sz w:val="22"/>
          <w:szCs w:val="22"/>
        </w:rPr>
        <w:t xml:space="preserve">per cell </w:t>
      </w:r>
      <w:r w:rsidRPr="00BE5CFC">
        <w:rPr>
          <w:b/>
          <w:i/>
          <w:color w:val="000000"/>
          <w:sz w:val="22"/>
          <w:szCs w:val="22"/>
        </w:rPr>
        <w:t xml:space="preserve">and </w:t>
      </w:r>
      <w:proofErr w:type="spellStart"/>
      <w:r w:rsidRPr="00BE5CFC">
        <w:rPr>
          <w:b/>
          <w:i/>
          <w:color w:val="000000"/>
          <w:sz w:val="22"/>
          <w:szCs w:val="22"/>
        </w:rPr>
        <w:t>mtDNA</w:t>
      </w:r>
      <w:proofErr w:type="spellEnd"/>
      <w:r w:rsidRPr="00BE5CFC">
        <w:rPr>
          <w:b/>
          <w:i/>
          <w:color w:val="000000"/>
          <w:sz w:val="22"/>
          <w:szCs w:val="22"/>
        </w:rPr>
        <w:t xml:space="preserve"> deletions</w:t>
      </w:r>
      <w:r w:rsidRPr="00980D76">
        <w:rPr>
          <w:b/>
          <w:i/>
          <w:color w:val="000000"/>
          <w:sz w:val="22"/>
          <w:szCs w:val="22"/>
        </w:rPr>
        <w:t xml:space="preserve">: </w:t>
      </w:r>
      <w:r w:rsidR="00F653D0" w:rsidRPr="00980D76">
        <w:rPr>
          <w:sz w:val="22"/>
          <w:szCs w:val="22"/>
        </w:rPr>
        <w:t>Genomic DNA was first isolated from 1 x 10</w:t>
      </w:r>
      <w:r w:rsidR="00F653D0" w:rsidRPr="00980D76">
        <w:rPr>
          <w:sz w:val="22"/>
          <w:szCs w:val="22"/>
          <w:vertAlign w:val="superscript"/>
        </w:rPr>
        <w:t xml:space="preserve">6  </w:t>
      </w:r>
      <w:r w:rsidR="00F653D0" w:rsidRPr="00980D76">
        <w:rPr>
          <w:sz w:val="22"/>
          <w:szCs w:val="22"/>
        </w:rPr>
        <w:t xml:space="preserve">HTC-116 cells using the </w:t>
      </w:r>
      <w:proofErr w:type="spellStart"/>
      <w:r w:rsidR="00F653D0" w:rsidRPr="00980D76">
        <w:rPr>
          <w:sz w:val="22"/>
          <w:szCs w:val="22"/>
        </w:rPr>
        <w:t>Gentra</w:t>
      </w:r>
      <w:proofErr w:type="spellEnd"/>
      <w:r w:rsidR="00F653D0" w:rsidRPr="00980D76">
        <w:rPr>
          <w:sz w:val="22"/>
          <w:szCs w:val="22"/>
        </w:rPr>
        <w:t xml:space="preserve"> </w:t>
      </w:r>
      <w:proofErr w:type="spellStart"/>
      <w:r w:rsidR="00F653D0" w:rsidRPr="00980D76">
        <w:rPr>
          <w:sz w:val="22"/>
          <w:szCs w:val="22"/>
        </w:rPr>
        <w:t>Puregene</w:t>
      </w:r>
      <w:proofErr w:type="spellEnd"/>
      <w:r w:rsidR="00F653D0" w:rsidRPr="00980D76">
        <w:rPr>
          <w:sz w:val="22"/>
          <w:szCs w:val="22"/>
        </w:rPr>
        <w:t xml:space="preserve"> Cell and Tissue Kit (</w:t>
      </w:r>
      <w:proofErr w:type="spellStart"/>
      <w:r w:rsidR="00F653D0" w:rsidRPr="00980D76">
        <w:rPr>
          <w:sz w:val="22"/>
          <w:szCs w:val="22"/>
        </w:rPr>
        <w:t>Qiagen</w:t>
      </w:r>
      <w:proofErr w:type="spellEnd"/>
      <w:r w:rsidR="00F653D0" w:rsidRPr="00980D76">
        <w:rPr>
          <w:sz w:val="22"/>
          <w:szCs w:val="22"/>
        </w:rPr>
        <w:t xml:space="preserve"> #158388) following the manufacturer’s recommendations for cultured cells.  Concentration and purity of DNA was measured at an absorbance of 260 nm and 280 nm using the </w:t>
      </w:r>
      <w:proofErr w:type="spellStart"/>
      <w:r w:rsidR="00F653D0" w:rsidRPr="00980D76">
        <w:rPr>
          <w:sz w:val="22"/>
          <w:szCs w:val="22"/>
        </w:rPr>
        <w:t>Tecan</w:t>
      </w:r>
      <w:proofErr w:type="spellEnd"/>
      <w:r w:rsidR="00F653D0" w:rsidRPr="00980D76">
        <w:rPr>
          <w:sz w:val="22"/>
          <w:szCs w:val="22"/>
        </w:rPr>
        <w:t xml:space="preserve"> </w:t>
      </w:r>
      <w:proofErr w:type="spellStart"/>
      <w:r w:rsidR="00F653D0" w:rsidRPr="00980D76">
        <w:rPr>
          <w:sz w:val="22"/>
          <w:szCs w:val="22"/>
        </w:rPr>
        <w:t>i</w:t>
      </w:r>
      <w:proofErr w:type="spellEnd"/>
      <w:r w:rsidR="00F653D0" w:rsidRPr="00980D76">
        <w:rPr>
          <w:sz w:val="22"/>
          <w:szCs w:val="22"/>
        </w:rPr>
        <w:t xml:space="preserve">-control 1.6 software (v. 1.6.19.2) on a </w:t>
      </w:r>
      <w:proofErr w:type="spellStart"/>
      <w:r w:rsidR="00F653D0" w:rsidRPr="00980D76">
        <w:rPr>
          <w:sz w:val="22"/>
          <w:szCs w:val="22"/>
        </w:rPr>
        <w:t>Tecan</w:t>
      </w:r>
      <w:proofErr w:type="spellEnd"/>
      <w:r w:rsidR="00F653D0" w:rsidRPr="00980D76">
        <w:rPr>
          <w:sz w:val="22"/>
          <w:szCs w:val="22"/>
        </w:rPr>
        <w:t xml:space="preserve"> infinite M200 </w:t>
      </w:r>
      <w:proofErr w:type="spellStart"/>
      <w:r w:rsidR="00F653D0" w:rsidRPr="00980D76">
        <w:rPr>
          <w:sz w:val="22"/>
          <w:szCs w:val="22"/>
        </w:rPr>
        <w:t>Nanoquant</w:t>
      </w:r>
      <w:proofErr w:type="spellEnd"/>
      <w:r w:rsidR="00F653D0" w:rsidRPr="00980D76">
        <w:rPr>
          <w:sz w:val="22"/>
          <w:szCs w:val="22"/>
        </w:rPr>
        <w:t xml:space="preserve"> (</w:t>
      </w:r>
      <w:proofErr w:type="spellStart"/>
      <w:r w:rsidR="00F653D0" w:rsidRPr="00980D76">
        <w:rPr>
          <w:sz w:val="22"/>
          <w:szCs w:val="22"/>
        </w:rPr>
        <w:t>Tecan</w:t>
      </w:r>
      <w:proofErr w:type="spellEnd"/>
      <w:r w:rsidR="00F653D0" w:rsidRPr="00980D76">
        <w:rPr>
          <w:sz w:val="22"/>
          <w:szCs w:val="22"/>
        </w:rPr>
        <w:t xml:space="preserve">, Austria, GmbH).  Following DNA extraction, changes in </w:t>
      </w:r>
      <w:proofErr w:type="spellStart"/>
      <w:r w:rsidR="00F653D0" w:rsidRPr="00980D76">
        <w:rPr>
          <w:sz w:val="22"/>
          <w:szCs w:val="22"/>
        </w:rPr>
        <w:t>mtDNA</w:t>
      </w:r>
      <w:proofErr w:type="spellEnd"/>
      <w:r w:rsidR="00F653D0" w:rsidRPr="00980D76">
        <w:rPr>
          <w:sz w:val="22"/>
          <w:szCs w:val="22"/>
        </w:rPr>
        <w:t xml:space="preserve"> copy number were evaluated by dual labeled </w:t>
      </w:r>
      <w:proofErr w:type="spellStart"/>
      <w:r w:rsidR="00F653D0" w:rsidRPr="00980D76">
        <w:rPr>
          <w:sz w:val="22"/>
          <w:szCs w:val="22"/>
        </w:rPr>
        <w:t>qPCR</w:t>
      </w:r>
      <w:proofErr w:type="spellEnd"/>
      <w:r w:rsidR="00F653D0" w:rsidRPr="00980D76">
        <w:rPr>
          <w:sz w:val="22"/>
          <w:szCs w:val="22"/>
        </w:rPr>
        <w:t xml:space="preserve">.  The gene copy number of cytochrome </w:t>
      </w:r>
      <w:r w:rsidR="00F653D0" w:rsidRPr="00980D76">
        <w:rPr>
          <w:i/>
          <w:sz w:val="22"/>
          <w:szCs w:val="22"/>
        </w:rPr>
        <w:t>b</w:t>
      </w:r>
      <w:r w:rsidR="00F653D0" w:rsidRPr="00980D76">
        <w:rPr>
          <w:sz w:val="22"/>
          <w:szCs w:val="22"/>
        </w:rPr>
        <w:t xml:space="preserve">, ND1 and ND4 were normalized by a single copy nuclear gene (pyruvate kinase).  Because minor changes in the efficiency of the amplification of each gene can result in large changes in the ratio of </w:t>
      </w:r>
      <w:proofErr w:type="spellStart"/>
      <w:r w:rsidR="00F653D0" w:rsidRPr="00980D76">
        <w:rPr>
          <w:sz w:val="22"/>
          <w:szCs w:val="22"/>
        </w:rPr>
        <w:t>mtDNA</w:t>
      </w:r>
      <w:proofErr w:type="spellEnd"/>
      <w:r w:rsidR="00F653D0" w:rsidRPr="00980D76">
        <w:rPr>
          <w:sz w:val="22"/>
          <w:szCs w:val="22"/>
        </w:rPr>
        <w:t xml:space="preserve"> per cell, the mitochondrial primers were designed for regions of low polymorphisms (&lt;1%).  Species-specific primers were selected using the Primer Express 3 software (Applied </w:t>
      </w:r>
      <w:proofErr w:type="spellStart"/>
      <w:r w:rsidR="00F653D0" w:rsidRPr="00980D76">
        <w:rPr>
          <w:sz w:val="22"/>
          <w:szCs w:val="22"/>
        </w:rPr>
        <w:t>Biosystems</w:t>
      </w:r>
      <w:proofErr w:type="spellEnd"/>
      <w:r w:rsidR="00F653D0" w:rsidRPr="00980D76">
        <w:rPr>
          <w:sz w:val="22"/>
          <w:szCs w:val="22"/>
        </w:rPr>
        <w:t xml:space="preserve">).  Human primers for PK were: forward 5’-AGCCCAAATGGCCTTGAAG-3’; reverse 5’-AGAGACAGAATGCCAGTGAGCTT-3’; primers for CYTB were: forward 5’-CACGATTCTTTACCTTTCACTTCATC-3’; reverse 5’-TGATCCCGTTTCGTGCAAG-3’.  The probes used were from Roche UPL library, Locked Nucleic Acids, short hydrolysis probes, labeled at the 5’ end with fluorescein and at the 3’ end with a dark quencher dye (#11 for PK, cat no:04685105001; #10 for CYTB, cat no: 04685091001).  ND1 primers and probe were: forward 3485-3504, 5’-CCCTAAAACCCGCCACATCT-3’; reverse 3532-3553, 5’-CCCTAAAACCCGCCACATCT-3’; probe 3506-3529, 5’ FAM-CCATCACCCTCTACATCACCGCCC-BHQ-3’.  ND4 primers and probe were the following: forward 12087-12109, 5’-CCATTCTCCTCCTATCCCTCAAC-3’, reverse 12140-12170, 5’ CACAATCTGATGTTTTGGTTAAACTATATTT-3’, probe 12111-12138, 5’FAM-CCGACATCATTACCGGTTTTCCTCTTG-BHQ-3’. </w:t>
      </w:r>
      <w:proofErr w:type="spellStart"/>
      <w:proofErr w:type="gramStart"/>
      <w:r w:rsidR="00F653D0" w:rsidRPr="00980D76">
        <w:rPr>
          <w:sz w:val="22"/>
          <w:szCs w:val="22"/>
        </w:rPr>
        <w:t>qPCR</w:t>
      </w:r>
      <w:proofErr w:type="spellEnd"/>
      <w:proofErr w:type="gramEnd"/>
      <w:r w:rsidR="00F653D0" w:rsidRPr="00980D76">
        <w:rPr>
          <w:sz w:val="22"/>
          <w:szCs w:val="22"/>
        </w:rPr>
        <w:t xml:space="preserve"> was performed on a </w:t>
      </w:r>
      <w:proofErr w:type="spellStart"/>
      <w:r w:rsidR="00F653D0" w:rsidRPr="00980D76">
        <w:rPr>
          <w:sz w:val="22"/>
          <w:szCs w:val="22"/>
        </w:rPr>
        <w:t>Mastercycler</w:t>
      </w:r>
      <w:proofErr w:type="spellEnd"/>
      <w:r w:rsidR="00F653D0" w:rsidRPr="00980D76">
        <w:rPr>
          <w:sz w:val="22"/>
          <w:szCs w:val="22"/>
        </w:rPr>
        <w:t xml:space="preserve"> EP </w:t>
      </w:r>
      <w:proofErr w:type="spellStart"/>
      <w:r w:rsidR="00F653D0" w:rsidRPr="00980D76">
        <w:rPr>
          <w:sz w:val="22"/>
          <w:szCs w:val="22"/>
        </w:rPr>
        <w:t>Realplex</w:t>
      </w:r>
      <w:proofErr w:type="spellEnd"/>
      <w:r w:rsidR="00F653D0" w:rsidRPr="00980D76">
        <w:rPr>
          <w:sz w:val="22"/>
          <w:szCs w:val="22"/>
        </w:rPr>
        <w:t xml:space="preserve"> </w:t>
      </w:r>
      <w:proofErr w:type="spellStart"/>
      <w:r w:rsidR="00F653D0" w:rsidRPr="00980D76">
        <w:rPr>
          <w:sz w:val="22"/>
          <w:szCs w:val="22"/>
        </w:rPr>
        <w:t>thermocycler</w:t>
      </w:r>
      <w:proofErr w:type="spellEnd"/>
      <w:r w:rsidR="00F653D0" w:rsidRPr="00980D76">
        <w:rPr>
          <w:sz w:val="22"/>
          <w:szCs w:val="22"/>
        </w:rPr>
        <w:t xml:space="preserve"> (</w:t>
      </w:r>
      <w:proofErr w:type="spellStart"/>
      <w:r w:rsidR="00F653D0" w:rsidRPr="00980D76">
        <w:rPr>
          <w:sz w:val="22"/>
          <w:szCs w:val="22"/>
        </w:rPr>
        <w:t>Eppendorf</w:t>
      </w:r>
      <w:proofErr w:type="spellEnd"/>
      <w:r w:rsidR="00F653D0" w:rsidRPr="00980D76">
        <w:rPr>
          <w:sz w:val="22"/>
          <w:szCs w:val="22"/>
        </w:rPr>
        <w:t>, Westbury, NY). The corresponding real time PCR efficiencies for each mitochondrial and nuclear gene amplification were calculated according to the equation: E=10</w:t>
      </w:r>
      <w:r w:rsidR="00F653D0" w:rsidRPr="00980D76">
        <w:rPr>
          <w:sz w:val="22"/>
          <w:szCs w:val="22"/>
          <w:vertAlign w:val="superscript"/>
        </w:rPr>
        <w:t xml:space="preserve">(-1/slope) </w:t>
      </w:r>
      <w:r w:rsidR="00F653D0" w:rsidRPr="00980D76">
        <w:rPr>
          <w:sz w:val="22"/>
          <w:szCs w:val="22"/>
        </w:rPr>
        <w:t xml:space="preserve">-1 according to the </w:t>
      </w:r>
      <w:proofErr w:type="spellStart"/>
      <w:r w:rsidR="00F653D0" w:rsidRPr="00980D76">
        <w:rPr>
          <w:sz w:val="22"/>
          <w:szCs w:val="22"/>
        </w:rPr>
        <w:t>Mastercycler</w:t>
      </w:r>
      <w:proofErr w:type="spellEnd"/>
      <w:r w:rsidR="00F653D0" w:rsidRPr="00980D76">
        <w:rPr>
          <w:sz w:val="22"/>
          <w:szCs w:val="22"/>
        </w:rPr>
        <w:t xml:space="preserve"> EP manual.  After establishing the linear response between Ct number and template amount (25, 12.5, 6.25, 3.13 and 1.56 </w:t>
      </w:r>
      <w:proofErr w:type="spellStart"/>
      <w:r w:rsidR="00F653D0" w:rsidRPr="00980D76">
        <w:rPr>
          <w:sz w:val="22"/>
          <w:szCs w:val="22"/>
        </w:rPr>
        <w:t>ng</w:t>
      </w:r>
      <w:proofErr w:type="spellEnd"/>
      <w:r w:rsidR="00F653D0" w:rsidRPr="00980D76">
        <w:rPr>
          <w:sz w:val="22"/>
          <w:szCs w:val="22"/>
        </w:rPr>
        <w:t xml:space="preserve"> total per reaction), efficiencies for each gene were 101 ± 3% and 102 ± 4% for PK and CYTB, and respectively, 98.6 ± 0.3% % for ND1 and 101 ± 3% for ND4.  </w:t>
      </w:r>
      <w:proofErr w:type="spellStart"/>
      <w:proofErr w:type="gramStart"/>
      <w:r w:rsidR="00F653D0" w:rsidRPr="00980D76">
        <w:rPr>
          <w:sz w:val="22"/>
          <w:szCs w:val="22"/>
        </w:rPr>
        <w:t>qPCR</w:t>
      </w:r>
      <w:proofErr w:type="spellEnd"/>
      <w:proofErr w:type="gramEnd"/>
      <w:r w:rsidR="00F653D0" w:rsidRPr="00980D76">
        <w:rPr>
          <w:sz w:val="22"/>
          <w:szCs w:val="22"/>
        </w:rPr>
        <w:t xml:space="preserve"> was performed using 96-well PCR plates with </w:t>
      </w:r>
      <w:proofErr w:type="spellStart"/>
      <w:r w:rsidR="00F653D0" w:rsidRPr="00980D76">
        <w:rPr>
          <w:sz w:val="22"/>
          <w:szCs w:val="22"/>
        </w:rPr>
        <w:t>TaqMan</w:t>
      </w:r>
      <w:proofErr w:type="spellEnd"/>
      <w:r w:rsidR="00F653D0" w:rsidRPr="00980D76">
        <w:rPr>
          <w:sz w:val="22"/>
          <w:szCs w:val="22"/>
        </w:rPr>
        <w:t xml:space="preserve"> Universal </w:t>
      </w:r>
      <w:proofErr w:type="spellStart"/>
      <w:r w:rsidR="00F653D0" w:rsidRPr="00980D76">
        <w:rPr>
          <w:sz w:val="22"/>
          <w:szCs w:val="22"/>
        </w:rPr>
        <w:t>Mastermix</w:t>
      </w:r>
      <w:proofErr w:type="spellEnd"/>
      <w:r w:rsidR="00F653D0" w:rsidRPr="00980D76">
        <w:rPr>
          <w:sz w:val="22"/>
          <w:szCs w:val="22"/>
        </w:rPr>
        <w:t xml:space="preserve"> (Applied </w:t>
      </w:r>
      <w:proofErr w:type="spellStart"/>
      <w:r w:rsidR="00F653D0" w:rsidRPr="00980D76">
        <w:rPr>
          <w:sz w:val="22"/>
          <w:szCs w:val="22"/>
        </w:rPr>
        <w:t>Biosystems</w:t>
      </w:r>
      <w:proofErr w:type="spellEnd"/>
      <w:r w:rsidR="00F653D0" w:rsidRPr="00980D76">
        <w:rPr>
          <w:sz w:val="22"/>
          <w:szCs w:val="22"/>
        </w:rPr>
        <w:t xml:space="preserve">) with 400 </w:t>
      </w:r>
      <w:proofErr w:type="spellStart"/>
      <w:r w:rsidR="00F653D0" w:rsidRPr="00980D76">
        <w:rPr>
          <w:sz w:val="22"/>
          <w:szCs w:val="22"/>
        </w:rPr>
        <w:t>nM</w:t>
      </w:r>
      <w:proofErr w:type="spellEnd"/>
      <w:r w:rsidR="00F653D0" w:rsidRPr="00980D76">
        <w:rPr>
          <w:sz w:val="22"/>
          <w:szCs w:val="22"/>
        </w:rPr>
        <w:t xml:space="preserve"> of each primer, 80 </w:t>
      </w:r>
      <w:proofErr w:type="spellStart"/>
      <w:r w:rsidR="00F653D0" w:rsidRPr="00980D76">
        <w:rPr>
          <w:sz w:val="22"/>
          <w:szCs w:val="22"/>
        </w:rPr>
        <w:t>nM</w:t>
      </w:r>
      <w:proofErr w:type="spellEnd"/>
      <w:r w:rsidR="00F653D0" w:rsidRPr="00980D76">
        <w:rPr>
          <w:sz w:val="22"/>
          <w:szCs w:val="22"/>
        </w:rPr>
        <w:t xml:space="preserve"> of </w:t>
      </w:r>
      <w:proofErr w:type="spellStart"/>
      <w:r w:rsidR="00F653D0" w:rsidRPr="00980D76">
        <w:rPr>
          <w:sz w:val="22"/>
          <w:szCs w:val="22"/>
        </w:rPr>
        <w:t>fluorogenic</w:t>
      </w:r>
      <w:proofErr w:type="spellEnd"/>
      <w:r w:rsidR="00F653D0" w:rsidRPr="00980D76">
        <w:rPr>
          <w:sz w:val="22"/>
          <w:szCs w:val="22"/>
        </w:rPr>
        <w:t xml:space="preserve"> Roche Universal Library probe and 5 µl of 3.13 </w:t>
      </w:r>
      <w:proofErr w:type="spellStart"/>
      <w:r w:rsidR="00F653D0" w:rsidRPr="00980D76">
        <w:rPr>
          <w:sz w:val="22"/>
          <w:szCs w:val="22"/>
        </w:rPr>
        <w:t>ng</w:t>
      </w:r>
      <w:proofErr w:type="spellEnd"/>
      <w:r w:rsidR="00F653D0" w:rsidRPr="00980D76">
        <w:rPr>
          <w:sz w:val="22"/>
          <w:szCs w:val="22"/>
        </w:rPr>
        <w:t xml:space="preserve"> total of template DNA per reaction.  Amplification was performed using the default cycling parameters of 2 minutes at 50°C, 10 minutes at 95°C, and 40 cycles of 15 seconds at 95°C and 60 seconds at 60°C.  Products were run on a gel, purified (</w:t>
      </w:r>
      <w:proofErr w:type="spellStart"/>
      <w:r w:rsidR="00F653D0" w:rsidRPr="00980D76">
        <w:rPr>
          <w:sz w:val="22"/>
          <w:szCs w:val="22"/>
        </w:rPr>
        <w:t>QIAquick</w:t>
      </w:r>
      <w:proofErr w:type="spellEnd"/>
      <w:r w:rsidR="00F653D0" w:rsidRPr="00980D76">
        <w:rPr>
          <w:sz w:val="22"/>
          <w:szCs w:val="22"/>
        </w:rPr>
        <w:t xml:space="preserve"> Gel Extraction Kit, </w:t>
      </w:r>
      <w:proofErr w:type="spellStart"/>
      <w:r w:rsidR="00F653D0" w:rsidRPr="00980D76">
        <w:rPr>
          <w:sz w:val="22"/>
          <w:szCs w:val="22"/>
        </w:rPr>
        <w:t>Qiagen</w:t>
      </w:r>
      <w:proofErr w:type="spellEnd"/>
      <w:r w:rsidR="00F653D0" w:rsidRPr="00980D76">
        <w:rPr>
          <w:sz w:val="22"/>
          <w:szCs w:val="22"/>
        </w:rPr>
        <w:t>) and sequenced to check for primer specificity.  The mean cycle time obtained by double derivatives (</w:t>
      </w:r>
      <w:proofErr w:type="spellStart"/>
      <w:r w:rsidR="00F653D0" w:rsidRPr="00980D76">
        <w:rPr>
          <w:sz w:val="22"/>
          <w:szCs w:val="22"/>
        </w:rPr>
        <w:t>CalqPlex</w:t>
      </w:r>
      <w:proofErr w:type="spellEnd"/>
      <w:r w:rsidR="00F653D0" w:rsidRPr="00980D76">
        <w:rPr>
          <w:sz w:val="22"/>
          <w:szCs w:val="22"/>
        </w:rPr>
        <w:t xml:space="preserve"> algorithm; </w:t>
      </w:r>
      <w:proofErr w:type="spellStart"/>
      <w:r w:rsidR="00F653D0" w:rsidRPr="00980D76">
        <w:rPr>
          <w:sz w:val="22"/>
          <w:szCs w:val="22"/>
        </w:rPr>
        <w:t>Eppendorf</w:t>
      </w:r>
      <w:proofErr w:type="spellEnd"/>
      <w:r w:rsidR="00F653D0" w:rsidRPr="00980D76">
        <w:rPr>
          <w:sz w:val="22"/>
          <w:szCs w:val="22"/>
        </w:rPr>
        <w:t xml:space="preserve">, Westbury, NY) was designated as Ct.  </w:t>
      </w:r>
      <w:r w:rsidR="00F653D0" w:rsidRPr="00980D76">
        <w:rPr>
          <w:color w:val="000000"/>
          <w:sz w:val="22"/>
          <w:szCs w:val="22"/>
        </w:rPr>
        <w:t xml:space="preserve">The detection parameters were set as follows: threshold </w:t>
      </w:r>
      <w:proofErr w:type="spellStart"/>
      <w:r w:rsidR="00F653D0" w:rsidRPr="00980D76">
        <w:rPr>
          <w:color w:val="000000"/>
          <w:sz w:val="22"/>
          <w:szCs w:val="22"/>
        </w:rPr>
        <w:t>calqplex</w:t>
      </w:r>
      <w:proofErr w:type="spellEnd"/>
      <w:r w:rsidR="00F653D0" w:rsidRPr="00980D76">
        <w:rPr>
          <w:color w:val="000000"/>
          <w:sz w:val="22"/>
          <w:szCs w:val="22"/>
        </w:rPr>
        <w:t xml:space="preserve">, automatic baseline, and drift correction on. </w:t>
      </w:r>
      <w:r w:rsidR="00F653D0" w:rsidRPr="00980D76">
        <w:rPr>
          <w:sz w:val="22"/>
          <w:szCs w:val="22"/>
        </w:rPr>
        <w:t xml:space="preserve">Relative </w:t>
      </w:r>
      <w:proofErr w:type="spellStart"/>
      <w:r w:rsidR="00F653D0" w:rsidRPr="00980D76">
        <w:rPr>
          <w:sz w:val="22"/>
          <w:szCs w:val="22"/>
        </w:rPr>
        <w:t>mtDNA</w:t>
      </w:r>
      <w:proofErr w:type="spellEnd"/>
      <w:r w:rsidR="00F653D0" w:rsidRPr="00980D76">
        <w:rPr>
          <w:sz w:val="22"/>
          <w:szCs w:val="22"/>
        </w:rPr>
        <w:t xml:space="preserve"> copy number per cell was assessed by comparative Ct method, using the following equation: </w:t>
      </w:r>
      <w:proofErr w:type="spellStart"/>
      <w:r w:rsidR="00F653D0" w:rsidRPr="00980D76">
        <w:rPr>
          <w:sz w:val="22"/>
          <w:szCs w:val="22"/>
        </w:rPr>
        <w:t>mtDNA</w:t>
      </w:r>
      <w:proofErr w:type="spellEnd"/>
      <w:r w:rsidR="00F653D0" w:rsidRPr="00980D76">
        <w:rPr>
          <w:sz w:val="22"/>
          <w:szCs w:val="22"/>
        </w:rPr>
        <w:t>/</w:t>
      </w:r>
      <w:proofErr w:type="spellStart"/>
      <w:r w:rsidR="00F653D0" w:rsidRPr="00980D76">
        <w:rPr>
          <w:sz w:val="22"/>
          <w:szCs w:val="22"/>
        </w:rPr>
        <w:t>nDNA</w:t>
      </w:r>
      <w:proofErr w:type="spellEnd"/>
      <w:r w:rsidR="00F653D0" w:rsidRPr="00980D76">
        <w:rPr>
          <w:sz w:val="22"/>
          <w:szCs w:val="22"/>
        </w:rPr>
        <w:t xml:space="preserve"> = 2</w:t>
      </w:r>
      <w:r w:rsidR="00F653D0" w:rsidRPr="00980D76">
        <w:rPr>
          <w:sz w:val="22"/>
          <w:szCs w:val="22"/>
          <w:vertAlign w:val="superscript"/>
        </w:rPr>
        <w:t>-ΔCt</w:t>
      </w:r>
      <w:r w:rsidR="00F653D0" w:rsidRPr="00980D76">
        <w:rPr>
          <w:sz w:val="22"/>
          <w:szCs w:val="22"/>
        </w:rPr>
        <w:t xml:space="preserve">, where </w:t>
      </w:r>
      <w:proofErr w:type="spellStart"/>
      <w:r w:rsidR="00F653D0" w:rsidRPr="00980D76">
        <w:rPr>
          <w:sz w:val="22"/>
          <w:szCs w:val="22"/>
        </w:rPr>
        <w:t>ΔCt</w:t>
      </w:r>
      <w:proofErr w:type="spellEnd"/>
      <w:r w:rsidR="00F653D0" w:rsidRPr="00980D76">
        <w:rPr>
          <w:sz w:val="22"/>
          <w:szCs w:val="22"/>
        </w:rPr>
        <w:t xml:space="preserve"> = </w:t>
      </w:r>
      <w:proofErr w:type="spellStart"/>
      <w:r w:rsidR="00F653D0" w:rsidRPr="00980D76">
        <w:rPr>
          <w:sz w:val="22"/>
          <w:szCs w:val="22"/>
        </w:rPr>
        <w:t>Ct</w:t>
      </w:r>
      <w:r w:rsidR="00F653D0" w:rsidRPr="00980D76">
        <w:rPr>
          <w:sz w:val="22"/>
          <w:szCs w:val="22"/>
          <w:vertAlign w:val="subscript"/>
        </w:rPr>
        <w:t>mitochondrial</w:t>
      </w:r>
      <w:proofErr w:type="spellEnd"/>
      <w:r w:rsidR="00F653D0" w:rsidRPr="00980D76">
        <w:rPr>
          <w:sz w:val="22"/>
          <w:szCs w:val="22"/>
        </w:rPr>
        <w:t xml:space="preserve">- </w:t>
      </w:r>
      <w:proofErr w:type="spellStart"/>
      <w:r w:rsidR="00F653D0" w:rsidRPr="00980D76">
        <w:rPr>
          <w:sz w:val="22"/>
          <w:szCs w:val="22"/>
        </w:rPr>
        <w:t>Ct</w:t>
      </w:r>
      <w:r w:rsidR="00F653D0" w:rsidRPr="00980D76">
        <w:rPr>
          <w:sz w:val="22"/>
          <w:szCs w:val="22"/>
          <w:vertAlign w:val="subscript"/>
        </w:rPr>
        <w:t>nuclear</w:t>
      </w:r>
      <w:proofErr w:type="spellEnd"/>
      <w:r w:rsidR="00F653D0" w:rsidRPr="00980D76">
        <w:rPr>
          <w:sz w:val="22"/>
          <w:szCs w:val="22"/>
        </w:rPr>
        <w:t xml:space="preserve">.  Each sample was analyzed in triplicates.  </w:t>
      </w:r>
      <w:r w:rsidRPr="00980D76">
        <w:rPr>
          <w:color w:val="000000"/>
          <w:sz w:val="22"/>
          <w:szCs w:val="22"/>
        </w:rPr>
        <w:t>Positive and negative controls were run in each plate.</w:t>
      </w:r>
      <w:r w:rsidR="00F653D0" w:rsidRPr="00980D76">
        <w:rPr>
          <w:color w:val="000000"/>
          <w:sz w:val="22"/>
          <w:szCs w:val="22"/>
        </w:rPr>
        <w:t xml:space="preserve">  </w:t>
      </w:r>
      <w:proofErr w:type="spellStart"/>
      <w:proofErr w:type="gramStart"/>
      <w:r w:rsidRPr="00980D76">
        <w:rPr>
          <w:color w:val="000000"/>
          <w:sz w:val="22"/>
          <w:szCs w:val="22"/>
        </w:rPr>
        <w:t>mtDNA</w:t>
      </w:r>
      <w:proofErr w:type="spellEnd"/>
      <w:proofErr w:type="gramEnd"/>
      <w:r w:rsidRPr="00980D76">
        <w:rPr>
          <w:color w:val="000000"/>
          <w:sz w:val="22"/>
          <w:szCs w:val="22"/>
        </w:rPr>
        <w:t xml:space="preserve"> deletions were considered if the mean ND4/ND1, CYTB/ND1, and COX3/ND1 ratios were lower than the </w:t>
      </w:r>
      <w:r w:rsidR="000F58A6" w:rsidRPr="00980D76">
        <w:rPr>
          <w:color w:val="000000"/>
          <w:sz w:val="22"/>
          <w:szCs w:val="22"/>
        </w:rPr>
        <w:t>lowest limit of the 99% CI of control values</w:t>
      </w:r>
      <w:r w:rsidR="000F58A6">
        <w:rPr>
          <w:color w:val="000000"/>
          <w:sz w:val="22"/>
          <w:szCs w:val="22"/>
        </w:rPr>
        <w:t xml:space="preserve">. </w:t>
      </w:r>
    </w:p>
    <w:p w14:paraId="460C82F7" w14:textId="77777777" w:rsidR="00FD2E84" w:rsidRPr="00BE5CFC" w:rsidRDefault="00FD2E84" w:rsidP="00FD2E84">
      <w:pPr>
        <w:ind w:firstLine="720"/>
        <w:jc w:val="both"/>
        <w:rPr>
          <w:color w:val="000000"/>
          <w:sz w:val="22"/>
          <w:szCs w:val="22"/>
        </w:rPr>
      </w:pPr>
    </w:p>
    <w:p w14:paraId="690911B9" w14:textId="77777777" w:rsidR="00FD2E84" w:rsidRPr="00BE5CFC" w:rsidRDefault="00FD2E84" w:rsidP="00FD2E84">
      <w:pPr>
        <w:jc w:val="both"/>
        <w:rPr>
          <w:b/>
          <w:i/>
          <w:sz w:val="22"/>
          <w:szCs w:val="22"/>
        </w:rPr>
      </w:pPr>
      <w:r w:rsidRPr="00BE5CFC">
        <w:rPr>
          <w:b/>
          <w:i/>
          <w:sz w:val="22"/>
          <w:szCs w:val="22"/>
        </w:rPr>
        <w:t xml:space="preserve">Real-time quantitative PCR analysis of HCT-116 cells: </w:t>
      </w:r>
      <w:r w:rsidRPr="00BE5CFC">
        <w:rPr>
          <w:sz w:val="22"/>
          <w:szCs w:val="22"/>
        </w:rPr>
        <w:t xml:space="preserve">Total RNA was isolated by using </w:t>
      </w:r>
      <w:proofErr w:type="spellStart"/>
      <w:r w:rsidRPr="00BE5CFC">
        <w:rPr>
          <w:sz w:val="22"/>
          <w:szCs w:val="22"/>
        </w:rPr>
        <w:t>TRIzol</w:t>
      </w:r>
      <w:proofErr w:type="spellEnd"/>
      <w:r w:rsidRPr="00BE5CFC">
        <w:rPr>
          <w:sz w:val="22"/>
          <w:szCs w:val="22"/>
        </w:rPr>
        <w:t xml:space="preserve"> (Invitrogen). For quantitative real-time PCR, </w:t>
      </w:r>
      <w:proofErr w:type="spellStart"/>
      <w:r w:rsidRPr="00BE5CFC">
        <w:rPr>
          <w:sz w:val="22"/>
          <w:szCs w:val="22"/>
        </w:rPr>
        <w:t>cDNAs</w:t>
      </w:r>
      <w:proofErr w:type="spellEnd"/>
      <w:r w:rsidRPr="00BE5CFC">
        <w:rPr>
          <w:sz w:val="22"/>
          <w:szCs w:val="22"/>
        </w:rPr>
        <w:t xml:space="preserve"> were synthesized using Advantage RT-for PCR kit according to the </w:t>
      </w:r>
      <w:r w:rsidRPr="00BE5CFC">
        <w:rPr>
          <w:sz w:val="22"/>
          <w:szCs w:val="22"/>
        </w:rPr>
        <w:lastRenderedPageBreak/>
        <w:t xml:space="preserve">manufacture’s protocol (BD Biosciences), followed by amplification of the target </w:t>
      </w:r>
      <w:proofErr w:type="spellStart"/>
      <w:r w:rsidRPr="00BE5CFC">
        <w:rPr>
          <w:sz w:val="22"/>
          <w:szCs w:val="22"/>
        </w:rPr>
        <w:t>cDNAs</w:t>
      </w:r>
      <w:proofErr w:type="spellEnd"/>
      <w:r w:rsidRPr="00BE5CFC">
        <w:rPr>
          <w:sz w:val="22"/>
          <w:szCs w:val="22"/>
        </w:rPr>
        <w:t xml:space="preserve"> with SYBR Green-based real time PCR in </w:t>
      </w:r>
      <w:proofErr w:type="spellStart"/>
      <w:r w:rsidRPr="00BE5CFC">
        <w:rPr>
          <w:sz w:val="22"/>
          <w:szCs w:val="22"/>
        </w:rPr>
        <w:t>Mastercycler</w:t>
      </w:r>
      <w:proofErr w:type="spellEnd"/>
      <w:r w:rsidRPr="00BE5CFC">
        <w:rPr>
          <w:sz w:val="22"/>
          <w:szCs w:val="22"/>
        </w:rPr>
        <w:t xml:space="preserve"> </w:t>
      </w:r>
      <w:proofErr w:type="spellStart"/>
      <w:r w:rsidRPr="00BE5CFC">
        <w:rPr>
          <w:sz w:val="22"/>
          <w:szCs w:val="22"/>
        </w:rPr>
        <w:t>realplex</w:t>
      </w:r>
      <w:proofErr w:type="spellEnd"/>
      <w:r w:rsidRPr="00BE5CFC">
        <w:rPr>
          <w:sz w:val="22"/>
          <w:szCs w:val="22"/>
        </w:rPr>
        <w:t xml:space="preserve"> system with </w:t>
      </w:r>
      <w:proofErr w:type="spellStart"/>
      <w:r w:rsidRPr="00BE5CFC">
        <w:rPr>
          <w:sz w:val="22"/>
          <w:szCs w:val="22"/>
        </w:rPr>
        <w:t>RealMasterMix</w:t>
      </w:r>
      <w:proofErr w:type="spellEnd"/>
      <w:r w:rsidRPr="00BE5CFC">
        <w:rPr>
          <w:sz w:val="22"/>
          <w:szCs w:val="22"/>
        </w:rPr>
        <w:t xml:space="preserve"> (</w:t>
      </w:r>
      <w:proofErr w:type="spellStart"/>
      <w:r w:rsidRPr="00BE5CFC">
        <w:rPr>
          <w:sz w:val="22"/>
          <w:szCs w:val="22"/>
        </w:rPr>
        <w:t>Eppendorf</w:t>
      </w:r>
      <w:proofErr w:type="spellEnd"/>
      <w:r w:rsidRPr="00BE5CFC">
        <w:rPr>
          <w:sz w:val="22"/>
          <w:szCs w:val="22"/>
        </w:rPr>
        <w:t>).  The mRNA levels were calculated to the corresponding of glyceraldehyde-3-phosphate dehydrogenase (GAPDH) used as housekeeping gene as 2</w:t>
      </w:r>
      <w:r w:rsidRPr="00BE5CFC">
        <w:rPr>
          <w:sz w:val="22"/>
          <w:szCs w:val="22"/>
          <w:vertAlign w:val="superscript"/>
        </w:rPr>
        <w:t>-(Ct target gene – Ct house keeping gene)</w:t>
      </w:r>
      <w:r w:rsidR="009A2EF9" w:rsidRPr="00BE5CFC">
        <w:rPr>
          <w:sz w:val="22"/>
          <w:szCs w:val="22"/>
        </w:rPr>
        <w:fldChar w:fldCharType="begin"/>
      </w:r>
      <w:r w:rsidR="004216F0">
        <w:rPr>
          <w:sz w:val="22"/>
          <w:szCs w:val="22"/>
        </w:rPr>
        <w:instrText xml:space="preserve"> ADDIN EN.CITE &lt;EndNote&gt;&lt;Cite&gt;&lt;Author&gt;Livak&lt;/Author&gt;&lt;Year&gt;2001&lt;/Year&gt;&lt;RecNum&gt;235&lt;/RecNum&gt;&lt;DisplayText&gt;[8]&lt;/DisplayText&gt;&lt;record&gt;&lt;rec-number&gt;235&lt;/rec-number&gt;&lt;foreign-keys&gt;&lt;key app="EN" db-id="s99awd2r7vfsr1epvt5psz5hwsv9exsevdsd"&gt;235&lt;/key&gt;&lt;/foreign-keys&gt;&lt;ref-type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 (San Diego, Calif&lt;/alt-title&gt;&lt;/titles&gt;&lt;periodical&gt;&lt;full-title&gt;Methods&lt;/full-title&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(Print)&lt;/isbn&gt;&lt;accession-num&gt;11846609&lt;/accession-num&gt;&lt;urls&gt;&lt;related-urls&gt;&lt;url&gt;http://www.ncbi.nlm.nih.gov/entrez/query.fcgi?cmd=Retrieve&amp;amp;db=PubMed&amp;amp;dopt=Citation&amp;amp;list_uids=11846609 &lt;/url&gt;&lt;/related-urls&gt;&lt;/urls&gt;&lt;language&gt;eng&lt;/language&gt;&lt;/record&gt;&lt;/Cite&gt;&lt;/EndNote&gt;</w:instrText>
      </w:r>
      <w:r w:rsidR="009A2EF9" w:rsidRPr="00BE5CFC">
        <w:rPr>
          <w:sz w:val="22"/>
          <w:szCs w:val="22"/>
        </w:rPr>
        <w:fldChar w:fldCharType="separate"/>
      </w:r>
      <w:r w:rsidR="004216F0">
        <w:rPr>
          <w:noProof/>
          <w:sz w:val="22"/>
          <w:szCs w:val="22"/>
        </w:rPr>
        <w:t>[</w:t>
      </w:r>
      <w:hyperlink w:anchor="_ENREF_8" w:tooltip="Livak, 2001 #235" w:history="1">
        <w:r w:rsidR="004216F0">
          <w:rPr>
            <w:noProof/>
            <w:sz w:val="22"/>
            <w:szCs w:val="22"/>
          </w:rPr>
          <w:t>8</w:t>
        </w:r>
      </w:hyperlink>
      <w:r w:rsidR="004216F0">
        <w:rPr>
          <w:noProof/>
          <w:sz w:val="22"/>
          <w:szCs w:val="22"/>
        </w:rPr>
        <w:t>]</w:t>
      </w:r>
      <w:r w:rsidR="009A2EF9" w:rsidRPr="00BE5CFC">
        <w:rPr>
          <w:sz w:val="22"/>
          <w:szCs w:val="22"/>
        </w:rPr>
        <w:fldChar w:fldCharType="end"/>
      </w:r>
      <w:r w:rsidRPr="00BE5CFC">
        <w:rPr>
          <w:sz w:val="22"/>
          <w:szCs w:val="22"/>
        </w:rPr>
        <w:t xml:space="preserve">. For quantification, 20 </w:t>
      </w:r>
      <w:proofErr w:type="spellStart"/>
      <w:r w:rsidRPr="00BE5CFC">
        <w:rPr>
          <w:sz w:val="22"/>
          <w:szCs w:val="22"/>
        </w:rPr>
        <w:t>ng</w:t>
      </w:r>
      <w:proofErr w:type="spellEnd"/>
      <w:r w:rsidRPr="00BE5CFC">
        <w:rPr>
          <w:sz w:val="22"/>
          <w:szCs w:val="22"/>
        </w:rPr>
        <w:t xml:space="preserve"> of </w:t>
      </w:r>
      <w:proofErr w:type="spellStart"/>
      <w:r w:rsidRPr="00BE5CFC">
        <w:rPr>
          <w:sz w:val="22"/>
          <w:szCs w:val="22"/>
        </w:rPr>
        <w:t>cDNA</w:t>
      </w:r>
      <w:proofErr w:type="spellEnd"/>
      <w:r w:rsidRPr="00BE5CFC">
        <w:rPr>
          <w:sz w:val="22"/>
          <w:szCs w:val="22"/>
        </w:rPr>
        <w:t xml:space="preserve"> was mixed with a buffer containing 4 </w:t>
      </w:r>
      <w:proofErr w:type="spellStart"/>
      <w:r w:rsidRPr="00BE5CFC">
        <w:rPr>
          <w:sz w:val="22"/>
          <w:szCs w:val="22"/>
        </w:rPr>
        <w:t>mM</w:t>
      </w:r>
      <w:proofErr w:type="spellEnd"/>
      <w:r w:rsidRPr="00BE5CFC">
        <w:rPr>
          <w:sz w:val="22"/>
          <w:szCs w:val="22"/>
        </w:rPr>
        <w:t xml:space="preserve"> MgCl</w:t>
      </w:r>
      <w:r w:rsidRPr="00BE5CFC">
        <w:rPr>
          <w:sz w:val="22"/>
          <w:szCs w:val="22"/>
          <w:vertAlign w:val="subscript"/>
        </w:rPr>
        <w:t>2</w:t>
      </w:r>
      <w:r w:rsidRPr="00BE5CFC">
        <w:rPr>
          <w:sz w:val="22"/>
          <w:szCs w:val="22"/>
        </w:rPr>
        <w:t xml:space="preserve">, 0.4 </w:t>
      </w:r>
      <w:proofErr w:type="spellStart"/>
      <w:r w:rsidRPr="00BE5CFC">
        <w:rPr>
          <w:sz w:val="22"/>
          <w:szCs w:val="22"/>
        </w:rPr>
        <w:t>mM</w:t>
      </w:r>
      <w:proofErr w:type="spellEnd"/>
      <w:r w:rsidRPr="00BE5CFC">
        <w:rPr>
          <w:sz w:val="22"/>
          <w:szCs w:val="22"/>
        </w:rPr>
        <w:t xml:space="preserve"> </w:t>
      </w:r>
      <w:proofErr w:type="spellStart"/>
      <w:r w:rsidRPr="00BE5CFC">
        <w:rPr>
          <w:sz w:val="22"/>
          <w:szCs w:val="22"/>
        </w:rPr>
        <w:t>dNTPs</w:t>
      </w:r>
      <w:proofErr w:type="spellEnd"/>
      <w:r w:rsidRPr="00BE5CFC">
        <w:rPr>
          <w:sz w:val="22"/>
          <w:szCs w:val="22"/>
        </w:rPr>
        <w:t xml:space="preserve">, 0.2 µM of forward and reverse primers, SYBR Green I dye, and 0.25 U </w:t>
      </w:r>
      <w:proofErr w:type="spellStart"/>
      <w:r w:rsidRPr="00BE5CFC">
        <w:rPr>
          <w:sz w:val="22"/>
          <w:szCs w:val="22"/>
        </w:rPr>
        <w:t>HotMaster</w:t>
      </w:r>
      <w:proofErr w:type="spellEnd"/>
      <w:r w:rsidRPr="00BE5CFC">
        <w:rPr>
          <w:sz w:val="22"/>
          <w:szCs w:val="22"/>
        </w:rPr>
        <w:t xml:space="preserve"> Tag DNA polymerase made up to a final volume of 20 µl. The PCR reaction was performed as follows: initial denaturing at 95˚C for 2 min and 40 cycles at 95˚C for 15s, 55˚C for 20s, and 68˚C for 30s. A melting curve was systematically analyzed in order to check the specificity of the PCR sample. The primers utilized were for p53 forward 5’-TAACAGTTCCTGCATGGGCCGC-3’ and reverse 5’-AGGACAGGCACAAACACGCACC-3’; for SCO2</w:t>
      </w:r>
      <w:r w:rsidRPr="00BE5CFC">
        <w:rPr>
          <w:sz w:val="22"/>
          <w:szCs w:val="22"/>
        </w:rPr>
        <w:tab/>
        <w:t>forward 5’-GCAGCCTGTCTTCATCACTGTGGACC-3’ and reverse 5’-CCGCACACTGTCTGAGATCTGCTC-3’</w:t>
      </w:r>
      <w:r w:rsidR="00FC4C0E">
        <w:rPr>
          <w:sz w:val="22"/>
          <w:szCs w:val="22"/>
        </w:rPr>
        <w:t xml:space="preserve">, for TFAM forward </w:t>
      </w:r>
      <w:r w:rsidR="00FC4C0E" w:rsidRPr="00FC4C0E">
        <w:rPr>
          <w:sz w:val="22"/>
          <w:szCs w:val="22"/>
        </w:rPr>
        <w:t>5'-CCCAGATGCAAAAACTACAGAACTAA-3'</w:t>
      </w:r>
      <w:r w:rsidR="00FC4C0E">
        <w:rPr>
          <w:rFonts w:ascii="Arial" w:hAnsi="Arial" w:cs="Arial"/>
          <w:sz w:val="16"/>
          <w:szCs w:val="16"/>
        </w:rPr>
        <w:t xml:space="preserve"> </w:t>
      </w:r>
      <w:r w:rsidR="00FC4C0E">
        <w:rPr>
          <w:sz w:val="22"/>
          <w:szCs w:val="22"/>
        </w:rPr>
        <w:t xml:space="preserve">and reverse </w:t>
      </w:r>
      <w:r w:rsidR="00FC4C0E" w:rsidRPr="00FC4C0E">
        <w:rPr>
          <w:sz w:val="22"/>
          <w:szCs w:val="22"/>
        </w:rPr>
        <w:t>5'-TCCGCCCCTATAAGCATCTTGA-3'</w:t>
      </w:r>
      <w:r w:rsidRPr="00BE5CFC">
        <w:rPr>
          <w:sz w:val="22"/>
          <w:szCs w:val="22"/>
        </w:rPr>
        <w:t xml:space="preserve">. The efficiencies of these primers were tested with the plasmid that contains each </w:t>
      </w:r>
      <w:proofErr w:type="spellStart"/>
      <w:r w:rsidRPr="00BE5CFC">
        <w:rPr>
          <w:sz w:val="22"/>
          <w:szCs w:val="22"/>
        </w:rPr>
        <w:t>cDNA</w:t>
      </w:r>
      <w:proofErr w:type="spellEnd"/>
      <w:r w:rsidRPr="00BE5CFC">
        <w:rPr>
          <w:sz w:val="22"/>
          <w:szCs w:val="22"/>
        </w:rPr>
        <w:t xml:space="preserve"> of target genes in extracts from HCT116 cell lines, resulting in values of 0.875 to 0.995.</w:t>
      </w:r>
    </w:p>
    <w:p w14:paraId="1BF9D7CD" w14:textId="77777777" w:rsidR="00FD2E84" w:rsidRDefault="00FD2E84" w:rsidP="00FD2E84">
      <w:pPr>
        <w:widowControl w:val="0"/>
        <w:autoSpaceDE w:val="0"/>
        <w:autoSpaceDN w:val="0"/>
        <w:adjustRightInd w:val="0"/>
        <w:rPr>
          <w:color w:val="000000"/>
          <w:sz w:val="22"/>
          <w:szCs w:val="22"/>
        </w:rPr>
      </w:pPr>
    </w:p>
    <w:p w14:paraId="5AD89509" w14:textId="77777777" w:rsidR="00FD2E84" w:rsidRDefault="00FD2E84" w:rsidP="00FD2E84">
      <w:pPr>
        <w:jc w:val="center"/>
        <w:rPr>
          <w:sz w:val="22"/>
        </w:rPr>
      </w:pPr>
    </w:p>
    <w:p w14:paraId="41DA51A3" w14:textId="77777777" w:rsidR="004216F0" w:rsidRPr="00094B33" w:rsidRDefault="009A2EF9" w:rsidP="004216F0">
      <w:pPr>
        <w:jc w:val="center"/>
        <w:rPr>
          <w:noProof/>
          <w:sz w:val="22"/>
          <w:szCs w:val="22"/>
        </w:rPr>
      </w:pPr>
      <w:r w:rsidRPr="00094B33">
        <w:rPr>
          <w:sz w:val="22"/>
          <w:szCs w:val="22"/>
        </w:rPr>
        <w:fldChar w:fldCharType="begin"/>
      </w:r>
      <w:r w:rsidR="00FD2E84" w:rsidRPr="00094B33">
        <w:rPr>
          <w:sz w:val="22"/>
          <w:szCs w:val="22"/>
        </w:rPr>
        <w:instrText xml:space="preserve"> ADDIN EN.REFLIST </w:instrText>
      </w:r>
      <w:r w:rsidRPr="00094B33">
        <w:rPr>
          <w:sz w:val="22"/>
          <w:szCs w:val="22"/>
        </w:rPr>
        <w:fldChar w:fldCharType="separate"/>
      </w:r>
      <w:r w:rsidR="004216F0" w:rsidRPr="00094B33">
        <w:rPr>
          <w:noProof/>
          <w:sz w:val="22"/>
          <w:szCs w:val="22"/>
        </w:rPr>
        <w:t>REFERENCES</w:t>
      </w:r>
    </w:p>
    <w:p w14:paraId="6F7AAC1C" w14:textId="77777777" w:rsidR="004216F0" w:rsidRPr="00094B33" w:rsidRDefault="004216F0" w:rsidP="004216F0">
      <w:pPr>
        <w:jc w:val="center"/>
        <w:rPr>
          <w:noProof/>
          <w:sz w:val="22"/>
          <w:szCs w:val="22"/>
        </w:rPr>
      </w:pPr>
    </w:p>
    <w:p w14:paraId="50299C77" w14:textId="77777777" w:rsidR="004216F0" w:rsidRPr="00094B33" w:rsidRDefault="004216F0" w:rsidP="004216F0">
      <w:pPr>
        <w:ind w:left="720" w:hanging="720"/>
        <w:jc w:val="both"/>
        <w:rPr>
          <w:noProof/>
          <w:sz w:val="22"/>
          <w:szCs w:val="22"/>
        </w:rPr>
      </w:pPr>
      <w:bookmarkStart w:id="3" w:name="_ENREF_1"/>
      <w:r w:rsidRPr="00094B33">
        <w:rPr>
          <w:noProof/>
          <w:sz w:val="22"/>
          <w:szCs w:val="22"/>
        </w:rPr>
        <w:t>1. Giulivi C, Ross-Inta C, Omanska-Klusek A, Napoli E, Sakaguchi D, et al. (2011) Basal Bioenergetic Abnormalities in Skeletal Muscle from Ryanodine Receptor Malignant Hyperthermia-suscepti</w:t>
      </w:r>
      <w:r w:rsidR="00A26164" w:rsidRPr="00094B33">
        <w:rPr>
          <w:noProof/>
          <w:sz w:val="22"/>
          <w:szCs w:val="22"/>
        </w:rPr>
        <w:t>ble R163C Knock-in Mice. J Biol Chem</w:t>
      </w:r>
      <w:r w:rsidRPr="00094B33">
        <w:rPr>
          <w:noProof/>
          <w:sz w:val="22"/>
          <w:szCs w:val="22"/>
        </w:rPr>
        <w:t xml:space="preserve"> 286: 99-113.</w:t>
      </w:r>
      <w:bookmarkEnd w:id="3"/>
    </w:p>
    <w:p w14:paraId="67646974" w14:textId="77777777" w:rsidR="004216F0" w:rsidRPr="00094B33" w:rsidRDefault="004216F0" w:rsidP="004216F0">
      <w:pPr>
        <w:ind w:left="720" w:hanging="720"/>
        <w:jc w:val="both"/>
        <w:rPr>
          <w:noProof/>
          <w:sz w:val="22"/>
          <w:szCs w:val="22"/>
        </w:rPr>
      </w:pPr>
      <w:bookmarkStart w:id="4" w:name="_ENREF_2"/>
      <w:r w:rsidRPr="00094B33">
        <w:rPr>
          <w:noProof/>
          <w:sz w:val="22"/>
          <w:szCs w:val="22"/>
        </w:rPr>
        <w:t>2. Lesche R, Groszer M, Gao J, Wang Y, Messing A, et al. (2002) Cre/loxP-mediated inactivation of the murine Pten tumor suppressor gene. Genesis 32: 148-149.</w:t>
      </w:r>
      <w:bookmarkEnd w:id="4"/>
    </w:p>
    <w:p w14:paraId="122E7A62" w14:textId="77777777" w:rsidR="004216F0" w:rsidRPr="00094B33" w:rsidRDefault="004216F0" w:rsidP="004216F0">
      <w:pPr>
        <w:ind w:left="720" w:hanging="720"/>
        <w:jc w:val="both"/>
        <w:rPr>
          <w:noProof/>
          <w:sz w:val="22"/>
          <w:szCs w:val="22"/>
        </w:rPr>
      </w:pPr>
      <w:bookmarkStart w:id="5" w:name="_ENREF_3"/>
      <w:r w:rsidRPr="00094B33">
        <w:rPr>
          <w:noProof/>
          <w:sz w:val="22"/>
          <w:szCs w:val="22"/>
        </w:rPr>
        <w:t>3. Crawley JN (1999) Behavioral phenotyping of transgenic and knockout mice: Experimental design and evaluation of general health, sensory functions, motor abilities, and specific behavioral tests. Brain Research 835: 18-26.</w:t>
      </w:r>
      <w:bookmarkEnd w:id="5"/>
    </w:p>
    <w:p w14:paraId="1C19C304" w14:textId="77777777" w:rsidR="005F5417" w:rsidRPr="00094B33" w:rsidRDefault="004216F0" w:rsidP="004216F0">
      <w:pPr>
        <w:ind w:left="720" w:hanging="720"/>
        <w:jc w:val="both"/>
        <w:rPr>
          <w:noProof/>
          <w:sz w:val="22"/>
          <w:szCs w:val="22"/>
        </w:rPr>
      </w:pPr>
      <w:bookmarkStart w:id="6" w:name="_ENREF_4"/>
      <w:r w:rsidRPr="00094B33">
        <w:rPr>
          <w:noProof/>
          <w:sz w:val="22"/>
          <w:szCs w:val="22"/>
        </w:rPr>
        <w:t xml:space="preserve">4. </w:t>
      </w:r>
      <w:r w:rsidR="00E053F5" w:rsidRPr="00094B33">
        <w:rPr>
          <w:noProof/>
          <w:sz w:val="22"/>
          <w:szCs w:val="22"/>
        </w:rPr>
        <w:t xml:space="preserve">Crawley JN (2000) What's wrong with my mouse? Behavioral phenotyping of transgenic and knockout mice. </w:t>
      </w:r>
      <w:bookmarkStart w:id="7" w:name="_ENREF_5"/>
      <w:bookmarkEnd w:id="6"/>
      <w:r w:rsidR="005F5417" w:rsidRPr="00094B33">
        <w:rPr>
          <w:rFonts w:eastAsia="Calibri"/>
          <w:sz w:val="22"/>
          <w:szCs w:val="22"/>
        </w:rPr>
        <w:t>Second Edition John Wiley &amp; Sons, Inc., New York</w:t>
      </w:r>
    </w:p>
    <w:p w14:paraId="235B39E3" w14:textId="77777777" w:rsidR="004216F0" w:rsidRPr="00094B33" w:rsidRDefault="004216F0" w:rsidP="004216F0">
      <w:pPr>
        <w:ind w:left="720" w:hanging="720"/>
        <w:jc w:val="both"/>
        <w:rPr>
          <w:noProof/>
          <w:sz w:val="22"/>
          <w:szCs w:val="22"/>
        </w:rPr>
      </w:pPr>
      <w:r w:rsidRPr="00094B33">
        <w:rPr>
          <w:noProof/>
          <w:sz w:val="22"/>
          <w:szCs w:val="22"/>
        </w:rPr>
        <w:t>5. Moy SS, Nadler JJ, Perez A, Barbaro RP, Johns JM, et al. (2004) Sociability and preference for social novelty in five inbred strains: An approach to assess autistic-like behavior in mice. Genes, Brain and Behavior 3: 287-302.</w:t>
      </w:r>
      <w:bookmarkEnd w:id="7"/>
    </w:p>
    <w:p w14:paraId="7DC86D3D" w14:textId="77777777" w:rsidR="004216F0" w:rsidRPr="00094B33" w:rsidRDefault="004216F0" w:rsidP="004216F0">
      <w:pPr>
        <w:ind w:left="720" w:hanging="720"/>
        <w:jc w:val="both"/>
        <w:rPr>
          <w:noProof/>
          <w:sz w:val="22"/>
          <w:szCs w:val="22"/>
        </w:rPr>
      </w:pPr>
      <w:bookmarkStart w:id="8" w:name="_ENREF_6"/>
      <w:r w:rsidRPr="00094B33">
        <w:rPr>
          <w:noProof/>
          <w:sz w:val="22"/>
          <w:szCs w:val="22"/>
        </w:rPr>
        <w:t>6. Nadler JJ, Moy SS, Dold G, Trang D, Simmons N, et al. (2004) Automated apparatus for quantitation of social approach behaviors in mice. Genes, Brain and Behavior 3: 303-314.</w:t>
      </w:r>
      <w:bookmarkEnd w:id="8"/>
    </w:p>
    <w:p w14:paraId="0D13AAB5" w14:textId="77777777" w:rsidR="004216F0" w:rsidRPr="00094B33" w:rsidRDefault="004216F0" w:rsidP="004216F0">
      <w:pPr>
        <w:ind w:left="720" w:hanging="720"/>
        <w:jc w:val="both"/>
        <w:rPr>
          <w:noProof/>
          <w:sz w:val="22"/>
          <w:szCs w:val="22"/>
        </w:rPr>
      </w:pPr>
      <w:bookmarkStart w:id="9" w:name="_ENREF_7"/>
      <w:r w:rsidRPr="00094B33">
        <w:rPr>
          <w:noProof/>
          <w:sz w:val="22"/>
          <w:szCs w:val="22"/>
        </w:rPr>
        <w:t>7. Silverman JL, Tolu SS, Barkan CL, Crawley JN (2010) Repetitive self-grooming behavior in the BTBR mouse model of autism is blocked by the mGluR5 antagonist MPEP. Neuropsychopharmacology : official publication of the American College of Neuropsychopharmacology 35: 976-989.</w:t>
      </w:r>
      <w:bookmarkEnd w:id="9"/>
    </w:p>
    <w:p w14:paraId="4688AACF" w14:textId="77777777" w:rsidR="004216F0" w:rsidRPr="00094B33" w:rsidRDefault="004216F0" w:rsidP="004216F0">
      <w:pPr>
        <w:ind w:left="720" w:hanging="720"/>
        <w:jc w:val="both"/>
        <w:rPr>
          <w:noProof/>
          <w:sz w:val="22"/>
          <w:szCs w:val="22"/>
        </w:rPr>
      </w:pPr>
      <w:bookmarkStart w:id="10" w:name="_ENREF_8"/>
      <w:r w:rsidRPr="00094B33">
        <w:rPr>
          <w:noProof/>
          <w:sz w:val="22"/>
          <w:szCs w:val="22"/>
        </w:rPr>
        <w:t>8. Livak KJ, Schmittgen TD (2001) Analysis of relative gene expression data using real-time quantitative PCR and the 2(-Delta Delta C(T)) Method. Methods 25: 402-408.</w:t>
      </w:r>
      <w:bookmarkEnd w:id="10"/>
    </w:p>
    <w:p w14:paraId="040DA4DD" w14:textId="77777777" w:rsidR="004216F0" w:rsidRPr="00094B33" w:rsidRDefault="004216F0" w:rsidP="004216F0">
      <w:pPr>
        <w:jc w:val="both"/>
        <w:rPr>
          <w:noProof/>
          <w:sz w:val="22"/>
          <w:szCs w:val="22"/>
        </w:rPr>
      </w:pPr>
    </w:p>
    <w:p w14:paraId="1A7A67B6" w14:textId="77777777" w:rsidR="00FD2E84" w:rsidRPr="00BE5CFC" w:rsidRDefault="009A2EF9" w:rsidP="00FD2E84">
      <w:pPr>
        <w:jc w:val="both"/>
        <w:rPr>
          <w:sz w:val="22"/>
        </w:rPr>
      </w:pPr>
      <w:r w:rsidRPr="00094B33">
        <w:rPr>
          <w:sz w:val="22"/>
          <w:szCs w:val="22"/>
        </w:rPr>
        <w:fldChar w:fldCharType="end"/>
      </w:r>
    </w:p>
    <w:sectPr w:rsidR="00FD2E84" w:rsidRPr="00BE5CFC" w:rsidSect="00FD2E84">
      <w:type w:val="continuous"/>
      <w:pgSz w:w="12240" w:h="15840"/>
      <w:pgMar w:top="1152" w:right="1152" w:bottom="1152" w:left="115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TimesNewRomanPSMT">
    <w:altName w:val="Times New Roman"/>
    <w:charset w:val="00"/>
    <w:family w:val="auto"/>
    <w:pitch w:val="variable"/>
    <w:sig w:usb0="00000003" w:usb1="08070000" w:usb2="00000010" w:usb3="00000000" w:csb0="0002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04A8"/>
    <w:multiLevelType w:val="multilevel"/>
    <w:tmpl w:val="8F1E15F8"/>
    <w:numStyleLink w:val="CurrentList1"/>
  </w:abstractNum>
  <w:abstractNum w:abstractNumId="1">
    <w:nsid w:val="50AF147F"/>
    <w:multiLevelType w:val="multilevel"/>
    <w:tmpl w:val="8F1E15F8"/>
    <w:styleLink w:val="CurrentList1"/>
    <w:lvl w:ilvl="0">
      <w:start w:val="1"/>
      <w:numFmt w:val="decimal"/>
      <w:lvlText w:val="Q. %1."/>
      <w:lvlJc w:val="left"/>
      <w:pPr>
        <w:ind w:left="0" w:firstLine="0"/>
      </w:pPr>
      <w:rPr>
        <w:rFonts w:ascii="Arial Bold" w:hAnsi="Arial Bold" w:hint="default"/>
        <w:sz w:val="24"/>
      </w:rPr>
    </w:lvl>
    <w:lvl w:ilvl="1">
      <w:start w:val="1"/>
      <w:numFmt w:val="decimalZero"/>
      <w:isLgl/>
      <w:lvlText w:val="A. %1."/>
      <w:lvlJc w:val="left"/>
      <w:pPr>
        <w:ind w:left="0" w:firstLine="0"/>
      </w:pPr>
      <w:rPr>
        <w:rFonts w:ascii="Arial Bold" w:hAnsi="Arial Bold" w:hint="default"/>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0"/>
    <w:lvlOverride w:ilvl="0">
      <w:lvl w:ilvl="0">
        <w:start w:val="1"/>
        <w:numFmt w:val="decimal"/>
        <w:lvlText w:val="Q.%1."/>
        <w:lvlJc w:val="left"/>
        <w:pPr>
          <w:ind w:left="0" w:firstLine="0"/>
        </w:pPr>
        <w:rPr>
          <w:rFonts w:ascii="Arial" w:hAnsi="Arial" w:hint="default"/>
          <w:b/>
          <w:i w:val="0"/>
          <w:sz w:val="24"/>
        </w:rPr>
      </w:lvl>
    </w:lvlOverride>
    <w:lvlOverride w:ilvl="1">
      <w:lvl w:ilvl="1">
        <w:start w:val="1"/>
        <w:numFmt w:val="decimal"/>
        <w:lvlRestart w:val="0"/>
        <w:lvlText w:val="A.%2."/>
        <w:lvlJc w:val="left"/>
        <w:pPr>
          <w:ind w:left="0" w:firstLine="0"/>
        </w:pPr>
        <w:rPr>
          <w:rFonts w:ascii="Arial Bold" w:hAnsi="Arial Bold" w:hint="default"/>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lvlOverride w:ilvl="0">
      <w:lvl w:ilvl="0">
        <w:start w:val="1"/>
        <w:numFmt w:val="decimal"/>
        <w:lvlText w:val="Q.%1."/>
        <w:lvlJc w:val="left"/>
        <w:pPr>
          <w:ind w:left="0" w:firstLine="0"/>
        </w:pPr>
        <w:rPr>
          <w:rFonts w:ascii="Arial" w:hAnsi="Arial" w:hint="default"/>
          <w:b/>
          <w:i w:val="0"/>
        </w:rPr>
      </w:lvl>
    </w:lvlOverride>
    <w:lvlOverride w:ilvl="1">
      <w:lvl w:ilvl="1">
        <w:start w:val="1"/>
        <w:numFmt w:val="decimal"/>
        <w:lvlRestart w:val="0"/>
        <w:lvlText w:val="A.%2."/>
        <w:lvlJc w:val="left"/>
        <w:pPr>
          <w:ind w:left="0" w:firstLine="0"/>
        </w:pPr>
        <w:rPr>
          <w:rFonts w:ascii="Arial Bold" w:hAnsi="Arial Bold" w:hint="default"/>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0"/>
    <w:lvlOverride w:ilvl="0">
      <w:lvl w:ilvl="0">
        <w:start w:val="1"/>
        <w:numFmt w:val="decimal"/>
        <w:lvlText w:val="Q.%1."/>
        <w:lvlJc w:val="left"/>
        <w:pPr>
          <w:ind w:left="0" w:firstLine="0"/>
        </w:pPr>
        <w:rPr>
          <w:rFonts w:ascii="Arial" w:hAnsi="Arial" w:hint="default"/>
          <w:b/>
          <w:i w:val="0"/>
        </w:rPr>
      </w:lvl>
    </w:lvlOverride>
    <w:lvlOverride w:ilvl="1">
      <w:lvl w:ilvl="1">
        <w:start w:val="1"/>
        <w:numFmt w:val="decimal"/>
        <w:lvlRestart w:val="0"/>
        <w:lvlText w:val="A.%2."/>
        <w:lvlJc w:val="left"/>
        <w:pPr>
          <w:ind w:left="0" w:firstLine="0"/>
        </w:pPr>
        <w:rPr>
          <w:rFonts w:ascii="Arial Bold" w:hAnsi="Arial Bold" w:hint="default"/>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9awd2r7vfsr1epvt5psz5hwsv9exsevdsd&quot;&gt;PTEN&lt;record-ids&gt;&lt;item&gt;14&lt;/item&gt;&lt;item&gt;18&lt;/item&gt;&lt;item&gt;60&lt;/item&gt;&lt;item&gt;85&lt;/item&gt;&lt;item&gt;137&lt;/item&gt;&lt;item&gt;235&lt;/item&gt;&lt;item&gt;237&lt;/item&gt;&lt;item&gt;423&lt;/item&gt;&lt;/record-ids&gt;&lt;/item&gt;&lt;/Libraries&gt;"/>
  </w:docVars>
  <w:rsids>
    <w:rsidRoot w:val="00E404BE"/>
    <w:rsid w:val="00016F7F"/>
    <w:rsid w:val="00053C2F"/>
    <w:rsid w:val="000724EB"/>
    <w:rsid w:val="00077DB4"/>
    <w:rsid w:val="000801A9"/>
    <w:rsid w:val="0009245B"/>
    <w:rsid w:val="00094B33"/>
    <w:rsid w:val="000A528C"/>
    <w:rsid w:val="000B1DEE"/>
    <w:rsid w:val="000D512C"/>
    <w:rsid w:val="000E1330"/>
    <w:rsid w:val="000F5042"/>
    <w:rsid w:val="000F58A6"/>
    <w:rsid w:val="00106C9F"/>
    <w:rsid w:val="00123651"/>
    <w:rsid w:val="00133357"/>
    <w:rsid w:val="00143E05"/>
    <w:rsid w:val="00147FAB"/>
    <w:rsid w:val="001640CC"/>
    <w:rsid w:val="0016595A"/>
    <w:rsid w:val="001659A2"/>
    <w:rsid w:val="001751B7"/>
    <w:rsid w:val="001A1F93"/>
    <w:rsid w:val="001D41A0"/>
    <w:rsid w:val="001E1E23"/>
    <w:rsid w:val="002068FF"/>
    <w:rsid w:val="0021035B"/>
    <w:rsid w:val="002115A1"/>
    <w:rsid w:val="00244A7E"/>
    <w:rsid w:val="002979A2"/>
    <w:rsid w:val="002A3071"/>
    <w:rsid w:val="002A64EB"/>
    <w:rsid w:val="002B2DBC"/>
    <w:rsid w:val="002B614E"/>
    <w:rsid w:val="002D2FA0"/>
    <w:rsid w:val="002D2FDC"/>
    <w:rsid w:val="002D4AD5"/>
    <w:rsid w:val="002E79F3"/>
    <w:rsid w:val="003264C9"/>
    <w:rsid w:val="00330AC7"/>
    <w:rsid w:val="00342BAA"/>
    <w:rsid w:val="00344571"/>
    <w:rsid w:val="0037095A"/>
    <w:rsid w:val="00377D59"/>
    <w:rsid w:val="00391BD4"/>
    <w:rsid w:val="00397997"/>
    <w:rsid w:val="003A28D1"/>
    <w:rsid w:val="003D4715"/>
    <w:rsid w:val="003F1E6A"/>
    <w:rsid w:val="00404DFE"/>
    <w:rsid w:val="00406473"/>
    <w:rsid w:val="00417CB8"/>
    <w:rsid w:val="004216F0"/>
    <w:rsid w:val="00436AEE"/>
    <w:rsid w:val="00441EFB"/>
    <w:rsid w:val="00453A1B"/>
    <w:rsid w:val="00463980"/>
    <w:rsid w:val="00476B9E"/>
    <w:rsid w:val="0047704B"/>
    <w:rsid w:val="004D0EA7"/>
    <w:rsid w:val="004E0E82"/>
    <w:rsid w:val="004F632B"/>
    <w:rsid w:val="00501E93"/>
    <w:rsid w:val="00502CF1"/>
    <w:rsid w:val="00504230"/>
    <w:rsid w:val="00504698"/>
    <w:rsid w:val="00543876"/>
    <w:rsid w:val="00566BB7"/>
    <w:rsid w:val="00582853"/>
    <w:rsid w:val="00584093"/>
    <w:rsid w:val="005A0212"/>
    <w:rsid w:val="005F5417"/>
    <w:rsid w:val="006076FC"/>
    <w:rsid w:val="00613E36"/>
    <w:rsid w:val="0063305A"/>
    <w:rsid w:val="00643DD5"/>
    <w:rsid w:val="006C62BF"/>
    <w:rsid w:val="006F0BAA"/>
    <w:rsid w:val="00707E1D"/>
    <w:rsid w:val="00720C5E"/>
    <w:rsid w:val="00771465"/>
    <w:rsid w:val="00780275"/>
    <w:rsid w:val="00794440"/>
    <w:rsid w:val="007D5EB3"/>
    <w:rsid w:val="00843621"/>
    <w:rsid w:val="00861BDE"/>
    <w:rsid w:val="008870C3"/>
    <w:rsid w:val="008941FB"/>
    <w:rsid w:val="008B7EE3"/>
    <w:rsid w:val="008E4908"/>
    <w:rsid w:val="008F493B"/>
    <w:rsid w:val="00916807"/>
    <w:rsid w:val="009257AB"/>
    <w:rsid w:val="00934051"/>
    <w:rsid w:val="0093728B"/>
    <w:rsid w:val="00940FBA"/>
    <w:rsid w:val="0094378E"/>
    <w:rsid w:val="00953ABD"/>
    <w:rsid w:val="00980D76"/>
    <w:rsid w:val="009A09EE"/>
    <w:rsid w:val="009A0E27"/>
    <w:rsid w:val="009A1B49"/>
    <w:rsid w:val="009A2EF9"/>
    <w:rsid w:val="009A4C42"/>
    <w:rsid w:val="009C7215"/>
    <w:rsid w:val="009D2A50"/>
    <w:rsid w:val="009F4015"/>
    <w:rsid w:val="00A26164"/>
    <w:rsid w:val="00A35820"/>
    <w:rsid w:val="00A47BD6"/>
    <w:rsid w:val="00A87E4E"/>
    <w:rsid w:val="00A95DF0"/>
    <w:rsid w:val="00AB2652"/>
    <w:rsid w:val="00AD08DB"/>
    <w:rsid w:val="00B07EB3"/>
    <w:rsid w:val="00B108F1"/>
    <w:rsid w:val="00B120EF"/>
    <w:rsid w:val="00B87365"/>
    <w:rsid w:val="00BB0D15"/>
    <w:rsid w:val="00BB7042"/>
    <w:rsid w:val="00BE25C7"/>
    <w:rsid w:val="00BF6640"/>
    <w:rsid w:val="00C23C28"/>
    <w:rsid w:val="00C44DAF"/>
    <w:rsid w:val="00C5043D"/>
    <w:rsid w:val="00C64944"/>
    <w:rsid w:val="00C66372"/>
    <w:rsid w:val="00C744F2"/>
    <w:rsid w:val="00C82432"/>
    <w:rsid w:val="00CD2330"/>
    <w:rsid w:val="00CF0FA4"/>
    <w:rsid w:val="00D26433"/>
    <w:rsid w:val="00D402E1"/>
    <w:rsid w:val="00D4088E"/>
    <w:rsid w:val="00D6473A"/>
    <w:rsid w:val="00D75A37"/>
    <w:rsid w:val="00D81C38"/>
    <w:rsid w:val="00D90373"/>
    <w:rsid w:val="00DA6D17"/>
    <w:rsid w:val="00DC6C6C"/>
    <w:rsid w:val="00DC7AB2"/>
    <w:rsid w:val="00DE2F4E"/>
    <w:rsid w:val="00DE306C"/>
    <w:rsid w:val="00E053F5"/>
    <w:rsid w:val="00E16111"/>
    <w:rsid w:val="00E172EB"/>
    <w:rsid w:val="00E249F8"/>
    <w:rsid w:val="00E24BC5"/>
    <w:rsid w:val="00E306EF"/>
    <w:rsid w:val="00E404BE"/>
    <w:rsid w:val="00E96899"/>
    <w:rsid w:val="00EA178E"/>
    <w:rsid w:val="00ED45D6"/>
    <w:rsid w:val="00F012BE"/>
    <w:rsid w:val="00F1501F"/>
    <w:rsid w:val="00F653D0"/>
    <w:rsid w:val="00F901FF"/>
    <w:rsid w:val="00F945A4"/>
    <w:rsid w:val="00FA1DFB"/>
    <w:rsid w:val="00FA45DC"/>
    <w:rsid w:val="00FC4C0E"/>
    <w:rsid w:val="00FD2E84"/>
    <w:rsid w:val="00FD7B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3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404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331AD"/>
    <w:rPr>
      <w:vertAlign w:val="superscript"/>
    </w:rPr>
  </w:style>
  <w:style w:type="character" w:styleId="EndnoteReference">
    <w:name w:val="endnote reference"/>
    <w:basedOn w:val="FootnoteReference"/>
    <w:semiHidden/>
    <w:rsid w:val="001331AD"/>
    <w:rPr>
      <w:rFonts w:ascii="Arial" w:hAnsi="Arial"/>
      <w:sz w:val="24"/>
      <w:vertAlign w:val="superscript"/>
    </w:rPr>
  </w:style>
  <w:style w:type="numbering" w:customStyle="1" w:styleId="CurrentList1">
    <w:name w:val="Current List1"/>
    <w:rsid w:val="002D0119"/>
    <w:pPr>
      <w:numPr>
        <w:numId w:val="1"/>
      </w:numPr>
    </w:pPr>
  </w:style>
  <w:style w:type="paragraph" w:styleId="TOC1">
    <w:name w:val="toc 1"/>
    <w:aliases w:val="Q&amp;A"/>
    <w:basedOn w:val="Normal"/>
    <w:next w:val="Normal"/>
    <w:autoRedefine/>
    <w:uiPriority w:val="39"/>
    <w:unhideWhenUsed/>
    <w:rsid w:val="002D0119"/>
    <w:pPr>
      <w:jc w:val="both"/>
    </w:pPr>
    <w:rPr>
      <w:rFonts w:ascii="Arial" w:eastAsia="Cambria" w:hAnsi="Arial"/>
      <w:sz w:val="22"/>
      <w:szCs w:val="20"/>
    </w:rPr>
  </w:style>
  <w:style w:type="character" w:styleId="Hyperlink">
    <w:name w:val="Hyperlink"/>
    <w:basedOn w:val="DefaultParagraphFont"/>
    <w:uiPriority w:val="99"/>
    <w:unhideWhenUsed/>
    <w:rsid w:val="00E404BE"/>
    <w:rPr>
      <w:color w:val="0000FF"/>
      <w:u w:val="single"/>
    </w:rPr>
  </w:style>
  <w:style w:type="paragraph" w:styleId="Caption">
    <w:name w:val="caption"/>
    <w:basedOn w:val="Normal"/>
    <w:next w:val="Normal"/>
    <w:qFormat/>
    <w:rsid w:val="000227E8"/>
    <w:pPr>
      <w:spacing w:after="200"/>
    </w:pPr>
    <w:rPr>
      <w:b/>
      <w:bCs/>
      <w:color w:val="4F81BD"/>
      <w:sz w:val="18"/>
      <w:szCs w:val="18"/>
    </w:rPr>
  </w:style>
  <w:style w:type="paragraph" w:styleId="BalloonText">
    <w:name w:val="Balloon Text"/>
    <w:basedOn w:val="Normal"/>
    <w:link w:val="BalloonTextChar"/>
    <w:rsid w:val="002E313E"/>
    <w:rPr>
      <w:rFonts w:ascii="Lucida Grande" w:hAnsi="Lucida Grande"/>
      <w:sz w:val="18"/>
      <w:szCs w:val="18"/>
    </w:rPr>
  </w:style>
  <w:style w:type="character" w:customStyle="1" w:styleId="BalloonTextChar">
    <w:name w:val="Balloon Text Char"/>
    <w:basedOn w:val="DefaultParagraphFont"/>
    <w:link w:val="BalloonText"/>
    <w:rsid w:val="002E313E"/>
    <w:rPr>
      <w:rFonts w:ascii="Lucida Grande" w:eastAsia="Times New Roman" w:hAnsi="Lucida Grande" w:cs="Times New Roman"/>
      <w:sz w:val="18"/>
      <w:szCs w:val="18"/>
    </w:rPr>
  </w:style>
  <w:style w:type="character" w:styleId="CommentReference">
    <w:name w:val="annotation reference"/>
    <w:basedOn w:val="DefaultParagraphFont"/>
    <w:rsid w:val="00CB7AF1"/>
    <w:rPr>
      <w:sz w:val="16"/>
      <w:szCs w:val="16"/>
    </w:rPr>
  </w:style>
  <w:style w:type="paragraph" w:styleId="CommentText">
    <w:name w:val="annotation text"/>
    <w:basedOn w:val="Normal"/>
    <w:link w:val="CommentTextChar"/>
    <w:rsid w:val="00CB7AF1"/>
    <w:rPr>
      <w:rFonts w:ascii="Arial" w:eastAsia="Cambria" w:hAnsi="Arial"/>
      <w:sz w:val="20"/>
      <w:szCs w:val="20"/>
    </w:rPr>
  </w:style>
  <w:style w:type="character" w:customStyle="1" w:styleId="CommentTextChar">
    <w:name w:val="Comment Text Char"/>
    <w:basedOn w:val="DefaultParagraphFont"/>
    <w:link w:val="CommentText"/>
    <w:rsid w:val="00CB7AF1"/>
    <w:rPr>
      <w:rFonts w:ascii="Arial" w:hAnsi="Arial"/>
      <w:sz w:val="20"/>
      <w:szCs w:val="20"/>
    </w:rPr>
  </w:style>
  <w:style w:type="paragraph" w:styleId="CommentSubject">
    <w:name w:val="annotation subject"/>
    <w:basedOn w:val="CommentText"/>
    <w:next w:val="CommentText"/>
    <w:link w:val="CommentSubjectChar"/>
    <w:rsid w:val="00133832"/>
    <w:rPr>
      <w:rFonts w:ascii="Times New Roman" w:eastAsia="Times New Roman" w:hAnsi="Times New Roman"/>
      <w:b/>
      <w:bCs/>
    </w:rPr>
  </w:style>
  <w:style w:type="character" w:customStyle="1" w:styleId="CommentSubjectChar">
    <w:name w:val="Comment Subject Char"/>
    <w:basedOn w:val="CommentTextChar"/>
    <w:link w:val="CommentSubject"/>
    <w:rsid w:val="00133832"/>
    <w:rPr>
      <w:rFonts w:ascii="Times New Roman" w:eastAsia="Times New Roman" w:hAnsi="Times New Roman" w:cs="Times New Roman"/>
      <w:b/>
      <w:bCs/>
      <w:sz w:val="20"/>
      <w:szCs w:val="20"/>
    </w:rPr>
  </w:style>
  <w:style w:type="table" w:styleId="TableGrid">
    <w:name w:val="Table Grid"/>
    <w:basedOn w:val="TableNormal"/>
    <w:uiPriority w:val="59"/>
    <w:rsid w:val="00181B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181B2F"/>
    <w:rPr>
      <w:color w:val="800080"/>
      <w:u w:val="single"/>
    </w:rPr>
  </w:style>
  <w:style w:type="paragraph" w:customStyle="1" w:styleId="font5">
    <w:name w:val="font5"/>
    <w:basedOn w:val="Normal"/>
    <w:rsid w:val="00181B2F"/>
    <w:pPr>
      <w:spacing w:beforeLines="1" w:afterLines="1"/>
    </w:pPr>
    <w:rPr>
      <w:rFonts w:ascii="Geneva" w:eastAsia="Cambria" w:hAnsi="Geneva"/>
      <w:sz w:val="16"/>
      <w:szCs w:val="16"/>
    </w:rPr>
  </w:style>
  <w:style w:type="paragraph" w:customStyle="1" w:styleId="xl84">
    <w:name w:val="xl84"/>
    <w:basedOn w:val="Normal"/>
    <w:rsid w:val="00181B2F"/>
    <w:pPr>
      <w:spacing w:beforeLines="1" w:afterLines="1"/>
      <w:jc w:val="center"/>
    </w:pPr>
    <w:rPr>
      <w:rFonts w:ascii="Times" w:eastAsia="Cambria" w:hAnsi="Times"/>
      <w:sz w:val="20"/>
      <w:szCs w:val="20"/>
    </w:rPr>
  </w:style>
  <w:style w:type="paragraph" w:customStyle="1" w:styleId="xl85">
    <w:name w:val="xl85"/>
    <w:basedOn w:val="Normal"/>
    <w:rsid w:val="00181B2F"/>
    <w:pPr>
      <w:shd w:val="clear" w:color="auto" w:fill="CCFFFF"/>
      <w:spacing w:beforeLines="1" w:afterLines="1"/>
    </w:pPr>
    <w:rPr>
      <w:rFonts w:ascii="Times" w:eastAsia="Cambria" w:hAnsi="Times"/>
      <w:sz w:val="20"/>
      <w:szCs w:val="20"/>
    </w:rPr>
  </w:style>
  <w:style w:type="paragraph" w:customStyle="1" w:styleId="xl87">
    <w:name w:val="xl87"/>
    <w:basedOn w:val="Normal"/>
    <w:rsid w:val="00181B2F"/>
    <w:pPr>
      <w:shd w:val="clear" w:color="auto" w:fill="CCFFFF"/>
      <w:spacing w:beforeLines="1" w:afterLines="1"/>
    </w:pPr>
    <w:rPr>
      <w:rFonts w:ascii="Times" w:eastAsia="Cambria" w:hAnsi="Times"/>
      <w:b/>
      <w:bCs/>
      <w:sz w:val="20"/>
      <w:szCs w:val="20"/>
    </w:rPr>
  </w:style>
  <w:style w:type="paragraph" w:customStyle="1" w:styleId="xl88">
    <w:name w:val="xl88"/>
    <w:basedOn w:val="Normal"/>
    <w:rsid w:val="00181B2F"/>
    <w:pPr>
      <w:shd w:val="clear" w:color="auto" w:fill="FFFF99"/>
      <w:spacing w:beforeLines="1" w:afterLines="1"/>
    </w:pPr>
    <w:rPr>
      <w:rFonts w:ascii="Times" w:eastAsia="Cambria" w:hAnsi="Times"/>
      <w:sz w:val="20"/>
      <w:szCs w:val="20"/>
    </w:rPr>
  </w:style>
  <w:style w:type="paragraph" w:customStyle="1" w:styleId="xl91">
    <w:name w:val="xl91"/>
    <w:basedOn w:val="Normal"/>
    <w:rsid w:val="00181B2F"/>
    <w:pPr>
      <w:shd w:val="clear" w:color="auto" w:fill="FFFF99"/>
      <w:spacing w:beforeLines="1" w:afterLines="1"/>
    </w:pPr>
    <w:rPr>
      <w:rFonts w:ascii="Times" w:eastAsia="Cambria" w:hAnsi="Times"/>
      <w:sz w:val="20"/>
      <w:szCs w:val="20"/>
    </w:rPr>
  </w:style>
  <w:style w:type="paragraph" w:styleId="Revision">
    <w:name w:val="Revision"/>
    <w:hidden/>
    <w:rsid w:val="006F0BAA"/>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404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331AD"/>
    <w:rPr>
      <w:vertAlign w:val="superscript"/>
    </w:rPr>
  </w:style>
  <w:style w:type="character" w:styleId="EndnoteReference">
    <w:name w:val="endnote reference"/>
    <w:basedOn w:val="FootnoteReference"/>
    <w:semiHidden/>
    <w:rsid w:val="001331AD"/>
    <w:rPr>
      <w:rFonts w:ascii="Arial" w:hAnsi="Arial"/>
      <w:sz w:val="24"/>
      <w:vertAlign w:val="superscript"/>
    </w:rPr>
  </w:style>
  <w:style w:type="numbering" w:customStyle="1" w:styleId="CurrentList1">
    <w:name w:val="Current List1"/>
    <w:rsid w:val="002D0119"/>
    <w:pPr>
      <w:numPr>
        <w:numId w:val="1"/>
      </w:numPr>
    </w:pPr>
  </w:style>
  <w:style w:type="paragraph" w:styleId="TOC1">
    <w:name w:val="toc 1"/>
    <w:aliases w:val="Q&amp;A"/>
    <w:basedOn w:val="Normal"/>
    <w:next w:val="Normal"/>
    <w:autoRedefine/>
    <w:uiPriority w:val="39"/>
    <w:unhideWhenUsed/>
    <w:rsid w:val="002D0119"/>
    <w:pPr>
      <w:jc w:val="both"/>
    </w:pPr>
    <w:rPr>
      <w:rFonts w:ascii="Arial" w:eastAsia="Cambria" w:hAnsi="Arial"/>
      <w:sz w:val="22"/>
      <w:szCs w:val="20"/>
    </w:rPr>
  </w:style>
  <w:style w:type="character" w:styleId="Hyperlink">
    <w:name w:val="Hyperlink"/>
    <w:basedOn w:val="DefaultParagraphFont"/>
    <w:uiPriority w:val="99"/>
    <w:unhideWhenUsed/>
    <w:rsid w:val="00E404BE"/>
    <w:rPr>
      <w:color w:val="0000FF"/>
      <w:u w:val="single"/>
    </w:rPr>
  </w:style>
  <w:style w:type="paragraph" w:styleId="Caption">
    <w:name w:val="caption"/>
    <w:basedOn w:val="Normal"/>
    <w:next w:val="Normal"/>
    <w:qFormat/>
    <w:rsid w:val="000227E8"/>
    <w:pPr>
      <w:spacing w:after="200"/>
    </w:pPr>
    <w:rPr>
      <w:b/>
      <w:bCs/>
      <w:color w:val="4F81BD"/>
      <w:sz w:val="18"/>
      <w:szCs w:val="18"/>
    </w:rPr>
  </w:style>
  <w:style w:type="paragraph" w:styleId="BalloonText">
    <w:name w:val="Balloon Text"/>
    <w:basedOn w:val="Normal"/>
    <w:link w:val="BalloonTextChar"/>
    <w:rsid w:val="002E313E"/>
    <w:rPr>
      <w:rFonts w:ascii="Lucida Grande" w:hAnsi="Lucida Grande"/>
      <w:sz w:val="18"/>
      <w:szCs w:val="18"/>
    </w:rPr>
  </w:style>
  <w:style w:type="character" w:customStyle="1" w:styleId="BalloonTextChar">
    <w:name w:val="Balloon Text Char"/>
    <w:basedOn w:val="DefaultParagraphFont"/>
    <w:link w:val="BalloonText"/>
    <w:rsid w:val="002E313E"/>
    <w:rPr>
      <w:rFonts w:ascii="Lucida Grande" w:eastAsia="Times New Roman" w:hAnsi="Lucida Grande" w:cs="Times New Roman"/>
      <w:sz w:val="18"/>
      <w:szCs w:val="18"/>
    </w:rPr>
  </w:style>
  <w:style w:type="character" w:styleId="CommentReference">
    <w:name w:val="annotation reference"/>
    <w:basedOn w:val="DefaultParagraphFont"/>
    <w:rsid w:val="00CB7AF1"/>
    <w:rPr>
      <w:sz w:val="16"/>
      <w:szCs w:val="16"/>
    </w:rPr>
  </w:style>
  <w:style w:type="paragraph" w:styleId="CommentText">
    <w:name w:val="annotation text"/>
    <w:basedOn w:val="Normal"/>
    <w:link w:val="CommentTextChar"/>
    <w:rsid w:val="00CB7AF1"/>
    <w:rPr>
      <w:rFonts w:ascii="Arial" w:eastAsia="Cambria" w:hAnsi="Arial"/>
      <w:sz w:val="20"/>
      <w:szCs w:val="20"/>
    </w:rPr>
  </w:style>
  <w:style w:type="character" w:customStyle="1" w:styleId="CommentTextChar">
    <w:name w:val="Comment Text Char"/>
    <w:basedOn w:val="DefaultParagraphFont"/>
    <w:link w:val="CommentText"/>
    <w:rsid w:val="00CB7AF1"/>
    <w:rPr>
      <w:rFonts w:ascii="Arial" w:hAnsi="Arial"/>
      <w:sz w:val="20"/>
      <w:szCs w:val="20"/>
    </w:rPr>
  </w:style>
  <w:style w:type="paragraph" w:styleId="CommentSubject">
    <w:name w:val="annotation subject"/>
    <w:basedOn w:val="CommentText"/>
    <w:next w:val="CommentText"/>
    <w:link w:val="CommentSubjectChar"/>
    <w:rsid w:val="00133832"/>
    <w:rPr>
      <w:rFonts w:ascii="Times New Roman" w:eastAsia="Times New Roman" w:hAnsi="Times New Roman"/>
      <w:b/>
      <w:bCs/>
    </w:rPr>
  </w:style>
  <w:style w:type="character" w:customStyle="1" w:styleId="CommentSubjectChar">
    <w:name w:val="Comment Subject Char"/>
    <w:basedOn w:val="CommentTextChar"/>
    <w:link w:val="CommentSubject"/>
    <w:rsid w:val="00133832"/>
    <w:rPr>
      <w:rFonts w:ascii="Times New Roman" w:eastAsia="Times New Roman" w:hAnsi="Times New Roman" w:cs="Times New Roman"/>
      <w:b/>
      <w:bCs/>
      <w:sz w:val="20"/>
      <w:szCs w:val="20"/>
    </w:rPr>
  </w:style>
  <w:style w:type="table" w:styleId="TableGrid">
    <w:name w:val="Table Grid"/>
    <w:basedOn w:val="TableNormal"/>
    <w:uiPriority w:val="59"/>
    <w:rsid w:val="00181B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181B2F"/>
    <w:rPr>
      <w:color w:val="800080"/>
      <w:u w:val="single"/>
    </w:rPr>
  </w:style>
  <w:style w:type="paragraph" w:customStyle="1" w:styleId="font5">
    <w:name w:val="font5"/>
    <w:basedOn w:val="Normal"/>
    <w:rsid w:val="00181B2F"/>
    <w:pPr>
      <w:spacing w:beforeLines="1" w:afterLines="1"/>
    </w:pPr>
    <w:rPr>
      <w:rFonts w:ascii="Geneva" w:eastAsia="Cambria" w:hAnsi="Geneva"/>
      <w:sz w:val="16"/>
      <w:szCs w:val="16"/>
    </w:rPr>
  </w:style>
  <w:style w:type="paragraph" w:customStyle="1" w:styleId="xl84">
    <w:name w:val="xl84"/>
    <w:basedOn w:val="Normal"/>
    <w:rsid w:val="00181B2F"/>
    <w:pPr>
      <w:spacing w:beforeLines="1" w:afterLines="1"/>
      <w:jc w:val="center"/>
    </w:pPr>
    <w:rPr>
      <w:rFonts w:ascii="Times" w:eastAsia="Cambria" w:hAnsi="Times"/>
      <w:sz w:val="20"/>
      <w:szCs w:val="20"/>
    </w:rPr>
  </w:style>
  <w:style w:type="paragraph" w:customStyle="1" w:styleId="xl85">
    <w:name w:val="xl85"/>
    <w:basedOn w:val="Normal"/>
    <w:rsid w:val="00181B2F"/>
    <w:pPr>
      <w:shd w:val="clear" w:color="auto" w:fill="CCFFFF"/>
      <w:spacing w:beforeLines="1" w:afterLines="1"/>
    </w:pPr>
    <w:rPr>
      <w:rFonts w:ascii="Times" w:eastAsia="Cambria" w:hAnsi="Times"/>
      <w:sz w:val="20"/>
      <w:szCs w:val="20"/>
    </w:rPr>
  </w:style>
  <w:style w:type="paragraph" w:customStyle="1" w:styleId="xl87">
    <w:name w:val="xl87"/>
    <w:basedOn w:val="Normal"/>
    <w:rsid w:val="00181B2F"/>
    <w:pPr>
      <w:shd w:val="clear" w:color="auto" w:fill="CCFFFF"/>
      <w:spacing w:beforeLines="1" w:afterLines="1"/>
    </w:pPr>
    <w:rPr>
      <w:rFonts w:ascii="Times" w:eastAsia="Cambria" w:hAnsi="Times"/>
      <w:b/>
      <w:bCs/>
      <w:sz w:val="20"/>
      <w:szCs w:val="20"/>
    </w:rPr>
  </w:style>
  <w:style w:type="paragraph" w:customStyle="1" w:styleId="xl88">
    <w:name w:val="xl88"/>
    <w:basedOn w:val="Normal"/>
    <w:rsid w:val="00181B2F"/>
    <w:pPr>
      <w:shd w:val="clear" w:color="auto" w:fill="FFFF99"/>
      <w:spacing w:beforeLines="1" w:afterLines="1"/>
    </w:pPr>
    <w:rPr>
      <w:rFonts w:ascii="Times" w:eastAsia="Cambria" w:hAnsi="Times"/>
      <w:sz w:val="20"/>
      <w:szCs w:val="20"/>
    </w:rPr>
  </w:style>
  <w:style w:type="paragraph" w:customStyle="1" w:styleId="xl91">
    <w:name w:val="xl91"/>
    <w:basedOn w:val="Normal"/>
    <w:rsid w:val="00181B2F"/>
    <w:pPr>
      <w:shd w:val="clear" w:color="auto" w:fill="FFFF99"/>
      <w:spacing w:beforeLines="1" w:afterLines="1"/>
    </w:pPr>
    <w:rPr>
      <w:rFonts w:ascii="Times" w:eastAsia="Cambria" w:hAnsi="Times"/>
      <w:sz w:val="20"/>
      <w:szCs w:val="20"/>
    </w:rPr>
  </w:style>
  <w:style w:type="paragraph" w:styleId="Revision">
    <w:name w:val="Revision"/>
    <w:hidden/>
    <w:rsid w:val="006F0B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3475</Words>
  <Characters>19814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23243</CharactersWithSpaces>
  <SharedDoc>false</SharedDoc>
  <HLinks>
    <vt:vector size="54" baseType="variant">
      <vt:variant>
        <vt:i4>4456459</vt:i4>
      </vt:variant>
      <vt:variant>
        <vt:i4>47</vt:i4>
      </vt:variant>
      <vt:variant>
        <vt:i4>0</vt:i4>
      </vt:variant>
      <vt:variant>
        <vt:i4>5</vt:i4>
      </vt:variant>
      <vt:variant>
        <vt:lpwstr/>
      </vt:variant>
      <vt:variant>
        <vt:lpwstr>_ENREF_5</vt:lpwstr>
      </vt:variant>
      <vt:variant>
        <vt:i4>4784139</vt:i4>
      </vt:variant>
      <vt:variant>
        <vt:i4>41</vt:i4>
      </vt:variant>
      <vt:variant>
        <vt:i4>0</vt:i4>
      </vt:variant>
      <vt:variant>
        <vt:i4>5</vt:i4>
      </vt:variant>
      <vt:variant>
        <vt:lpwstr/>
      </vt:variant>
      <vt:variant>
        <vt:lpwstr>_ENREF_8</vt:lpwstr>
      </vt:variant>
      <vt:variant>
        <vt:i4>4587531</vt:i4>
      </vt:variant>
      <vt:variant>
        <vt:i4>33</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4653067</vt:i4>
      </vt:variant>
      <vt:variant>
        <vt:i4>22</vt:i4>
      </vt:variant>
      <vt:variant>
        <vt:i4>0</vt:i4>
      </vt:variant>
      <vt:variant>
        <vt:i4>5</vt:i4>
      </vt:variant>
      <vt:variant>
        <vt:lpwstr/>
      </vt:variant>
      <vt:variant>
        <vt:lpwstr>_ENREF_6</vt:lpwstr>
      </vt:variant>
      <vt:variant>
        <vt:i4>4390923</vt:i4>
      </vt:variant>
      <vt:variant>
        <vt:i4>19</vt:i4>
      </vt:variant>
      <vt:variant>
        <vt:i4>0</vt:i4>
      </vt:variant>
      <vt:variant>
        <vt:i4>5</vt:i4>
      </vt:variant>
      <vt:variant>
        <vt:lpwstr/>
      </vt:variant>
      <vt:variant>
        <vt:lpwstr>_ENREF_2</vt:lpwstr>
      </vt:variant>
      <vt:variant>
        <vt:i4>4194315</vt:i4>
      </vt:variant>
      <vt:variant>
        <vt:i4>16</vt:i4>
      </vt:variant>
      <vt:variant>
        <vt:i4>0</vt:i4>
      </vt:variant>
      <vt:variant>
        <vt:i4>5</vt:i4>
      </vt:variant>
      <vt:variant>
        <vt:lpwstr/>
      </vt:variant>
      <vt:variant>
        <vt:lpwstr>_ENREF_1</vt:lpwstr>
      </vt:variant>
      <vt:variant>
        <vt:i4>4521995</vt:i4>
      </vt:variant>
      <vt:variant>
        <vt:i4>8</vt:i4>
      </vt:variant>
      <vt:variant>
        <vt:i4>0</vt:i4>
      </vt:variant>
      <vt:variant>
        <vt:i4>5</vt:i4>
      </vt:variant>
      <vt:variant>
        <vt:lpwstr/>
      </vt:variant>
      <vt:variant>
        <vt:lpwstr>_ENREF_4</vt:lpwstr>
      </vt:variant>
      <vt:variant>
        <vt:i4>4325387</vt:i4>
      </vt:variant>
      <vt:variant>
        <vt:i4>2</vt:i4>
      </vt:variant>
      <vt:variant>
        <vt:i4>0</vt:i4>
      </vt:variant>
      <vt:variant>
        <vt:i4>5</vt:i4>
      </vt:variant>
      <vt:variant>
        <vt:lpwstr/>
      </vt:variant>
      <vt:variant>
        <vt:lpwstr>_ENREF_3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Giulivi</dc:creator>
  <cp:lastModifiedBy>Cecilia Giulivi</cp:lastModifiedBy>
  <cp:revision>5</cp:revision>
  <dcterms:created xsi:type="dcterms:W3CDTF">2012-04-06T19:28:00Z</dcterms:created>
  <dcterms:modified xsi:type="dcterms:W3CDTF">2012-07-13T16:45:00Z</dcterms:modified>
</cp:coreProperties>
</file>