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396D" w:rsidRPr="00140622" w:rsidRDefault="003E1331" w:rsidP="00FC1BDA">
      <w:pPr>
        <w:spacing w:line="480" w:lineRule="auto"/>
        <w:jc w:val="both"/>
        <w:rPr>
          <w:b/>
          <w:sz w:val="24"/>
          <w:szCs w:val="24"/>
        </w:rPr>
      </w:pPr>
      <w:r>
        <w:rPr>
          <w:b/>
          <w:sz w:val="24"/>
          <w:szCs w:val="24"/>
        </w:rPr>
        <w:t>TITLE</w:t>
      </w:r>
      <w:r w:rsidR="00A17B6A">
        <w:rPr>
          <w:b/>
          <w:sz w:val="24"/>
          <w:szCs w:val="24"/>
        </w:rPr>
        <w:t xml:space="preserve">:  </w:t>
      </w:r>
      <w:r w:rsidR="008D396D" w:rsidRPr="00140622">
        <w:rPr>
          <w:b/>
          <w:sz w:val="24"/>
          <w:szCs w:val="24"/>
        </w:rPr>
        <w:t>Randomized Comparison of β-D-</w:t>
      </w:r>
      <w:proofErr w:type="spellStart"/>
      <w:r w:rsidR="008D396D" w:rsidRPr="00140622">
        <w:rPr>
          <w:b/>
          <w:sz w:val="24"/>
          <w:szCs w:val="24"/>
        </w:rPr>
        <w:t>glucan</w:t>
      </w:r>
      <w:proofErr w:type="spellEnd"/>
      <w:r w:rsidR="008D396D" w:rsidRPr="00140622">
        <w:rPr>
          <w:b/>
          <w:sz w:val="24"/>
          <w:szCs w:val="24"/>
        </w:rPr>
        <w:t xml:space="preserve"> Surveillance with Preemptive </w:t>
      </w:r>
      <w:proofErr w:type="spellStart"/>
      <w:r w:rsidR="008D396D" w:rsidRPr="00140622">
        <w:rPr>
          <w:b/>
          <w:sz w:val="24"/>
          <w:szCs w:val="24"/>
        </w:rPr>
        <w:t>Anidulafungin</w:t>
      </w:r>
      <w:proofErr w:type="spellEnd"/>
      <w:r w:rsidR="008D396D" w:rsidRPr="00140622">
        <w:rPr>
          <w:b/>
          <w:sz w:val="24"/>
          <w:szCs w:val="24"/>
        </w:rPr>
        <w:t xml:space="preserve"> versus </w:t>
      </w:r>
      <w:r w:rsidR="00FC67D5" w:rsidRPr="00140622">
        <w:rPr>
          <w:b/>
          <w:sz w:val="24"/>
          <w:szCs w:val="24"/>
        </w:rPr>
        <w:t>Standard Care for the Management</w:t>
      </w:r>
      <w:r w:rsidR="008D396D" w:rsidRPr="00140622">
        <w:rPr>
          <w:b/>
          <w:sz w:val="24"/>
          <w:szCs w:val="24"/>
        </w:rPr>
        <w:t xml:space="preserve"> of Invasive Candidiasis in Surg</w:t>
      </w:r>
      <w:r w:rsidR="004F5FE8" w:rsidRPr="00140622">
        <w:rPr>
          <w:b/>
          <w:sz w:val="24"/>
          <w:szCs w:val="24"/>
        </w:rPr>
        <w:t xml:space="preserve">ical Intensive Care Unit </w:t>
      </w:r>
      <w:r w:rsidR="008D396D" w:rsidRPr="00140622">
        <w:rPr>
          <w:b/>
          <w:sz w:val="24"/>
          <w:szCs w:val="24"/>
        </w:rPr>
        <w:t>Patients</w:t>
      </w:r>
    </w:p>
    <w:p w:rsidR="00500347" w:rsidRPr="00140622" w:rsidRDefault="00500347" w:rsidP="00FC1BDA">
      <w:pPr>
        <w:spacing w:line="480" w:lineRule="auto"/>
        <w:jc w:val="both"/>
        <w:rPr>
          <w:b/>
          <w:sz w:val="24"/>
          <w:szCs w:val="24"/>
          <w:lang w:val="pt-BR"/>
        </w:rPr>
      </w:pPr>
    </w:p>
    <w:p w:rsidR="00002774" w:rsidRPr="00140622" w:rsidRDefault="00500347" w:rsidP="00FC1BDA">
      <w:pPr>
        <w:spacing w:line="480" w:lineRule="auto"/>
        <w:jc w:val="both"/>
        <w:rPr>
          <w:b/>
          <w:sz w:val="24"/>
          <w:szCs w:val="24"/>
        </w:rPr>
      </w:pPr>
      <w:r w:rsidRPr="00140622">
        <w:rPr>
          <w:b/>
          <w:sz w:val="24"/>
          <w:szCs w:val="24"/>
          <w:lang w:val="pt-BR"/>
        </w:rPr>
        <w:t>REFERENCE</w:t>
      </w:r>
      <w:r w:rsidR="00002774" w:rsidRPr="00140622">
        <w:rPr>
          <w:b/>
          <w:sz w:val="24"/>
          <w:szCs w:val="24"/>
          <w:lang w:val="pt-BR"/>
        </w:rPr>
        <w:t xml:space="preserve"> NUMBER:</w:t>
      </w:r>
      <w:r w:rsidR="00E0723F" w:rsidRPr="00140622">
        <w:rPr>
          <w:sz w:val="24"/>
          <w:szCs w:val="24"/>
          <w:lang w:val="pt-BR"/>
        </w:rPr>
        <w:t xml:space="preserve"> </w:t>
      </w:r>
      <w:r w:rsidR="00E0723F" w:rsidRPr="00140622">
        <w:rPr>
          <w:sz w:val="24"/>
          <w:szCs w:val="24"/>
          <w:lang w:val="pt-BR"/>
        </w:rPr>
        <w:tab/>
      </w:r>
      <w:r w:rsidRPr="00140622">
        <w:rPr>
          <w:sz w:val="24"/>
          <w:szCs w:val="24"/>
        </w:rPr>
        <w:t>GA88517X</w:t>
      </w:r>
    </w:p>
    <w:p w:rsidR="00002774" w:rsidRPr="00140622" w:rsidRDefault="00002774" w:rsidP="00FC1BDA">
      <w:pPr>
        <w:spacing w:line="480" w:lineRule="auto"/>
        <w:jc w:val="both"/>
        <w:rPr>
          <w:sz w:val="24"/>
          <w:szCs w:val="24"/>
          <w:lang w:val="pt-BR"/>
        </w:rPr>
      </w:pPr>
    </w:p>
    <w:p w:rsidR="00002774" w:rsidRPr="00140622" w:rsidRDefault="00002774" w:rsidP="00FC1BDA">
      <w:pPr>
        <w:spacing w:line="480" w:lineRule="auto"/>
        <w:jc w:val="both"/>
        <w:rPr>
          <w:sz w:val="24"/>
          <w:szCs w:val="24"/>
        </w:rPr>
      </w:pPr>
      <w:r w:rsidRPr="00140622">
        <w:rPr>
          <w:b/>
          <w:sz w:val="24"/>
          <w:szCs w:val="24"/>
        </w:rPr>
        <w:t>PROTOCOL DATE:</w:t>
      </w:r>
      <w:r w:rsidRPr="00140622">
        <w:rPr>
          <w:b/>
          <w:sz w:val="24"/>
          <w:szCs w:val="24"/>
        </w:rPr>
        <w:tab/>
      </w:r>
      <w:r w:rsidR="00A17B6A">
        <w:rPr>
          <w:sz w:val="24"/>
          <w:szCs w:val="24"/>
        </w:rPr>
        <w:t>September 28</w:t>
      </w:r>
      <w:r w:rsidR="00A17B6A" w:rsidRPr="00A17B6A">
        <w:rPr>
          <w:sz w:val="24"/>
          <w:szCs w:val="24"/>
          <w:vertAlign w:val="superscript"/>
        </w:rPr>
        <w:t>th</w:t>
      </w:r>
      <w:r w:rsidR="008D396D" w:rsidRPr="00140622">
        <w:rPr>
          <w:sz w:val="24"/>
          <w:szCs w:val="24"/>
        </w:rPr>
        <w:t xml:space="preserve">, </w:t>
      </w:r>
      <w:r w:rsidR="00E0723F" w:rsidRPr="00140622">
        <w:rPr>
          <w:sz w:val="24"/>
          <w:szCs w:val="24"/>
        </w:rPr>
        <w:t>2007</w:t>
      </w:r>
    </w:p>
    <w:p w:rsidR="00002774" w:rsidRPr="00140622" w:rsidRDefault="00002774" w:rsidP="00FC1BDA">
      <w:pPr>
        <w:spacing w:line="480" w:lineRule="auto"/>
        <w:jc w:val="both"/>
        <w:rPr>
          <w:sz w:val="24"/>
          <w:szCs w:val="24"/>
        </w:rPr>
      </w:pPr>
    </w:p>
    <w:p w:rsidR="00E0723F" w:rsidRPr="00140622" w:rsidRDefault="00E0723F" w:rsidP="00FC1BDA">
      <w:pPr>
        <w:spacing w:line="480" w:lineRule="auto"/>
        <w:jc w:val="both"/>
        <w:rPr>
          <w:sz w:val="24"/>
          <w:szCs w:val="24"/>
        </w:rPr>
      </w:pPr>
      <w:r w:rsidRPr="00140622">
        <w:rPr>
          <w:b/>
          <w:sz w:val="24"/>
          <w:szCs w:val="24"/>
        </w:rPr>
        <w:t>PREPARED FOR</w:t>
      </w:r>
      <w:r w:rsidR="00002774" w:rsidRPr="00140622">
        <w:rPr>
          <w:b/>
          <w:sz w:val="24"/>
          <w:szCs w:val="24"/>
        </w:rPr>
        <w:t>:</w:t>
      </w:r>
      <w:r w:rsidR="00002774" w:rsidRPr="00140622">
        <w:rPr>
          <w:sz w:val="24"/>
          <w:szCs w:val="24"/>
        </w:rPr>
        <w:tab/>
      </w:r>
      <w:r w:rsidR="00500347" w:rsidRPr="00140622">
        <w:rPr>
          <w:sz w:val="24"/>
          <w:szCs w:val="24"/>
        </w:rPr>
        <w:t>Pfizer Inc</w:t>
      </w:r>
    </w:p>
    <w:p w:rsidR="00500347" w:rsidRPr="00140622" w:rsidRDefault="00500347" w:rsidP="00FC1BDA">
      <w:pPr>
        <w:spacing w:line="480" w:lineRule="auto"/>
        <w:jc w:val="both"/>
        <w:rPr>
          <w:sz w:val="24"/>
          <w:szCs w:val="24"/>
        </w:rPr>
      </w:pPr>
      <w:r w:rsidRPr="00140622">
        <w:rPr>
          <w:sz w:val="24"/>
          <w:szCs w:val="24"/>
        </w:rPr>
        <w:tab/>
      </w:r>
      <w:r w:rsidRPr="00140622">
        <w:rPr>
          <w:sz w:val="24"/>
          <w:szCs w:val="24"/>
        </w:rPr>
        <w:tab/>
      </w:r>
      <w:r w:rsidRPr="00140622">
        <w:rPr>
          <w:sz w:val="24"/>
          <w:szCs w:val="24"/>
        </w:rPr>
        <w:tab/>
      </w:r>
      <w:smartTag w:uri="urn:schemas-microsoft-com:office:smarttags" w:element="Street">
        <w:smartTag w:uri="urn:schemas-microsoft-com:office:smarttags" w:element="address">
          <w:r w:rsidRPr="00140622">
            <w:rPr>
              <w:sz w:val="24"/>
              <w:szCs w:val="24"/>
            </w:rPr>
            <w:t>235 East 42</w:t>
          </w:r>
          <w:r w:rsidRPr="00140622">
            <w:rPr>
              <w:sz w:val="24"/>
              <w:szCs w:val="24"/>
              <w:vertAlign w:val="superscript"/>
            </w:rPr>
            <w:t>nd</w:t>
          </w:r>
          <w:r w:rsidRPr="00140622">
            <w:rPr>
              <w:sz w:val="24"/>
              <w:szCs w:val="24"/>
            </w:rPr>
            <w:t xml:space="preserve"> Street</w:t>
          </w:r>
        </w:smartTag>
      </w:smartTag>
    </w:p>
    <w:p w:rsidR="00002774" w:rsidRDefault="00500347" w:rsidP="005624FD">
      <w:pPr>
        <w:spacing w:line="480" w:lineRule="auto"/>
        <w:jc w:val="both"/>
        <w:rPr>
          <w:sz w:val="24"/>
          <w:szCs w:val="24"/>
        </w:rPr>
      </w:pPr>
      <w:r w:rsidRPr="00140622">
        <w:rPr>
          <w:sz w:val="24"/>
          <w:szCs w:val="24"/>
        </w:rPr>
        <w:tab/>
      </w:r>
      <w:r w:rsidRPr="00140622">
        <w:rPr>
          <w:sz w:val="24"/>
          <w:szCs w:val="24"/>
        </w:rPr>
        <w:tab/>
      </w:r>
      <w:r w:rsidRPr="00140622">
        <w:rPr>
          <w:sz w:val="24"/>
          <w:szCs w:val="24"/>
        </w:rPr>
        <w:tab/>
        <w:t>New York, NY 10017-5755</w:t>
      </w:r>
    </w:p>
    <w:p w:rsidR="005624FD" w:rsidRPr="00140622" w:rsidRDefault="005624FD" w:rsidP="005624FD">
      <w:pPr>
        <w:spacing w:line="480" w:lineRule="auto"/>
        <w:jc w:val="both"/>
        <w:rPr>
          <w:sz w:val="24"/>
          <w:szCs w:val="24"/>
        </w:rPr>
      </w:pPr>
    </w:p>
    <w:p w:rsidR="00002774" w:rsidRPr="00140622" w:rsidRDefault="00A17B6A" w:rsidP="00FC1BDA">
      <w:pPr>
        <w:spacing w:before="0" w:after="0" w:line="480" w:lineRule="auto"/>
        <w:jc w:val="both"/>
        <w:rPr>
          <w:sz w:val="24"/>
          <w:szCs w:val="24"/>
        </w:rPr>
      </w:pPr>
      <w:r>
        <w:rPr>
          <w:b/>
          <w:sz w:val="24"/>
          <w:szCs w:val="24"/>
        </w:rPr>
        <w:t>COMPOUND</w:t>
      </w:r>
      <w:r w:rsidR="00002774" w:rsidRPr="00140622">
        <w:rPr>
          <w:b/>
          <w:sz w:val="24"/>
          <w:szCs w:val="24"/>
        </w:rPr>
        <w:t>:</w:t>
      </w:r>
      <w:r w:rsidR="00002774" w:rsidRPr="00140622">
        <w:rPr>
          <w:sz w:val="24"/>
          <w:szCs w:val="24"/>
        </w:rPr>
        <w:tab/>
      </w:r>
      <w:r w:rsidR="00002774" w:rsidRPr="00140622">
        <w:rPr>
          <w:sz w:val="24"/>
          <w:szCs w:val="24"/>
        </w:rPr>
        <w:tab/>
      </w:r>
      <w:proofErr w:type="spellStart"/>
      <w:r w:rsidR="00002774" w:rsidRPr="00140622">
        <w:rPr>
          <w:sz w:val="24"/>
          <w:szCs w:val="24"/>
        </w:rPr>
        <w:t>A</w:t>
      </w:r>
      <w:r w:rsidR="00500347" w:rsidRPr="00140622">
        <w:rPr>
          <w:sz w:val="24"/>
          <w:szCs w:val="24"/>
        </w:rPr>
        <w:t>nidulafungin</w:t>
      </w:r>
      <w:proofErr w:type="spellEnd"/>
      <w:r w:rsidR="00002774" w:rsidRPr="00140622">
        <w:rPr>
          <w:sz w:val="24"/>
          <w:szCs w:val="24"/>
        </w:rPr>
        <w:t xml:space="preserve"> (</w:t>
      </w:r>
      <w:proofErr w:type="spellStart"/>
      <w:r w:rsidR="00500347" w:rsidRPr="00140622">
        <w:rPr>
          <w:sz w:val="24"/>
          <w:szCs w:val="24"/>
        </w:rPr>
        <w:t>Eraxis</w:t>
      </w:r>
      <w:proofErr w:type="spellEnd"/>
      <w:r w:rsidR="00500347" w:rsidRPr="00140622">
        <w:rPr>
          <w:sz w:val="24"/>
          <w:szCs w:val="24"/>
        </w:rPr>
        <w:t>™</w:t>
      </w:r>
      <w:r w:rsidR="00002774" w:rsidRPr="00140622">
        <w:rPr>
          <w:sz w:val="24"/>
          <w:szCs w:val="24"/>
        </w:rPr>
        <w:t>)</w:t>
      </w:r>
    </w:p>
    <w:p w:rsidR="00880F0F" w:rsidRPr="00140622" w:rsidRDefault="00880F0F" w:rsidP="00FC1BDA">
      <w:pPr>
        <w:spacing w:before="0" w:after="0" w:line="480" w:lineRule="auto"/>
        <w:jc w:val="both"/>
        <w:rPr>
          <w:b/>
          <w:sz w:val="24"/>
          <w:szCs w:val="24"/>
        </w:rPr>
      </w:pPr>
    </w:p>
    <w:p w:rsidR="00002774" w:rsidRPr="00140622" w:rsidRDefault="00A17B6A" w:rsidP="00FC1BDA">
      <w:pPr>
        <w:spacing w:before="0" w:after="0" w:line="480" w:lineRule="auto"/>
        <w:jc w:val="both"/>
        <w:rPr>
          <w:sz w:val="24"/>
          <w:szCs w:val="24"/>
        </w:rPr>
      </w:pPr>
      <w:r>
        <w:rPr>
          <w:b/>
          <w:sz w:val="24"/>
          <w:szCs w:val="24"/>
        </w:rPr>
        <w:t>REFERENCE NUMBER</w:t>
      </w:r>
      <w:r w:rsidR="00002774" w:rsidRPr="00140622">
        <w:rPr>
          <w:b/>
          <w:sz w:val="24"/>
          <w:szCs w:val="24"/>
        </w:rPr>
        <w:t>:</w:t>
      </w:r>
      <w:r w:rsidR="00002774" w:rsidRPr="00140622">
        <w:rPr>
          <w:sz w:val="24"/>
          <w:szCs w:val="24"/>
        </w:rPr>
        <w:tab/>
      </w:r>
      <w:r w:rsidR="00500347" w:rsidRPr="00140622">
        <w:rPr>
          <w:sz w:val="24"/>
          <w:szCs w:val="24"/>
        </w:rPr>
        <w:t>GA88517X</w:t>
      </w:r>
    </w:p>
    <w:p w:rsidR="00500347" w:rsidRPr="00140622" w:rsidRDefault="00500347" w:rsidP="00FC1BDA">
      <w:pPr>
        <w:spacing w:before="0" w:after="0" w:line="480" w:lineRule="auto"/>
        <w:jc w:val="both"/>
        <w:rPr>
          <w:sz w:val="24"/>
          <w:szCs w:val="24"/>
        </w:rPr>
      </w:pPr>
    </w:p>
    <w:p w:rsidR="00002774" w:rsidRPr="00140622" w:rsidRDefault="00A17B6A" w:rsidP="00FC1BDA">
      <w:pPr>
        <w:spacing w:before="0" w:after="0" w:line="480" w:lineRule="auto"/>
        <w:jc w:val="both"/>
        <w:rPr>
          <w:sz w:val="24"/>
          <w:szCs w:val="24"/>
        </w:rPr>
      </w:pPr>
      <w:r>
        <w:rPr>
          <w:b/>
          <w:sz w:val="24"/>
          <w:szCs w:val="24"/>
        </w:rPr>
        <w:t>PRINCIPAL INVESTIGATOR</w:t>
      </w:r>
      <w:r w:rsidR="00002774" w:rsidRPr="00140622">
        <w:rPr>
          <w:b/>
          <w:sz w:val="24"/>
          <w:szCs w:val="24"/>
        </w:rPr>
        <w:t>:</w:t>
      </w:r>
      <w:r w:rsidR="00002774" w:rsidRPr="00140622">
        <w:rPr>
          <w:sz w:val="24"/>
          <w:szCs w:val="24"/>
        </w:rPr>
        <w:t xml:space="preserve"> </w:t>
      </w:r>
      <w:r w:rsidR="007C448C" w:rsidRPr="00140622">
        <w:rPr>
          <w:sz w:val="24"/>
          <w:szCs w:val="24"/>
        </w:rPr>
        <w:tab/>
      </w:r>
      <w:r w:rsidR="00002774" w:rsidRPr="00140622">
        <w:rPr>
          <w:sz w:val="24"/>
          <w:szCs w:val="24"/>
        </w:rPr>
        <w:t>____</w:t>
      </w:r>
      <w:r w:rsidR="00500347" w:rsidRPr="00140622">
        <w:rPr>
          <w:sz w:val="24"/>
          <w:szCs w:val="24"/>
          <w:u w:val="single"/>
        </w:rPr>
        <w:t xml:space="preserve">Kimberly </w:t>
      </w:r>
      <w:smartTag w:uri="urn:schemas-microsoft-com:office:smarttags" w:element="place">
        <w:smartTag w:uri="urn:schemas-microsoft-com:office:smarttags" w:element="City">
          <w:r w:rsidR="00500347" w:rsidRPr="00140622">
            <w:rPr>
              <w:sz w:val="24"/>
              <w:szCs w:val="24"/>
              <w:u w:val="single"/>
            </w:rPr>
            <w:t>Hanson</w:t>
          </w:r>
        </w:smartTag>
        <w:r w:rsidR="00500347" w:rsidRPr="00140622">
          <w:rPr>
            <w:sz w:val="24"/>
            <w:szCs w:val="24"/>
            <w:u w:val="single"/>
          </w:rPr>
          <w:t xml:space="preserve">, </w:t>
        </w:r>
        <w:smartTag w:uri="urn:schemas-microsoft-com:office:smarttags" w:element="State">
          <w:r w:rsidR="00500347" w:rsidRPr="00140622">
            <w:rPr>
              <w:sz w:val="24"/>
              <w:szCs w:val="24"/>
              <w:u w:val="single"/>
            </w:rPr>
            <w:t>MD</w:t>
          </w:r>
        </w:smartTag>
      </w:smartTag>
      <w:r w:rsidR="00500347" w:rsidRPr="00140622">
        <w:rPr>
          <w:sz w:val="24"/>
          <w:szCs w:val="24"/>
          <w:u w:val="single"/>
        </w:rPr>
        <w:t>, MHS</w:t>
      </w:r>
      <w:r w:rsidR="00500347" w:rsidRPr="00140622">
        <w:rPr>
          <w:sz w:val="24"/>
          <w:szCs w:val="24"/>
        </w:rPr>
        <w:t>__</w:t>
      </w:r>
    </w:p>
    <w:p w:rsidR="00880F0F" w:rsidRPr="00140622" w:rsidRDefault="00880F0F" w:rsidP="00FC1BDA">
      <w:pPr>
        <w:spacing w:before="0" w:after="0" w:line="480" w:lineRule="auto"/>
        <w:jc w:val="both"/>
        <w:rPr>
          <w:b/>
          <w:sz w:val="24"/>
          <w:szCs w:val="24"/>
        </w:rPr>
      </w:pPr>
    </w:p>
    <w:p w:rsidR="00002774" w:rsidRPr="00140622" w:rsidRDefault="00A17B6A" w:rsidP="00FC1BDA">
      <w:pPr>
        <w:spacing w:before="0" w:after="0" w:line="480" w:lineRule="auto"/>
        <w:jc w:val="both"/>
        <w:rPr>
          <w:sz w:val="24"/>
          <w:szCs w:val="24"/>
          <w:u w:val="single"/>
        </w:rPr>
      </w:pPr>
      <w:r>
        <w:rPr>
          <w:b/>
          <w:sz w:val="24"/>
          <w:szCs w:val="24"/>
        </w:rPr>
        <w:t>TRIAL CENTER</w:t>
      </w:r>
      <w:r w:rsidR="00002774" w:rsidRPr="00140622">
        <w:rPr>
          <w:b/>
          <w:sz w:val="24"/>
          <w:szCs w:val="24"/>
        </w:rPr>
        <w:t>:</w:t>
      </w:r>
      <w:r w:rsidR="007C448C" w:rsidRPr="00140622">
        <w:rPr>
          <w:sz w:val="24"/>
          <w:szCs w:val="24"/>
        </w:rPr>
        <w:tab/>
      </w:r>
      <w:r w:rsidR="007C448C" w:rsidRPr="00140622">
        <w:rPr>
          <w:sz w:val="24"/>
          <w:szCs w:val="24"/>
        </w:rPr>
        <w:tab/>
      </w:r>
      <w:r w:rsidR="007C448C" w:rsidRPr="00140622">
        <w:rPr>
          <w:sz w:val="24"/>
          <w:szCs w:val="24"/>
        </w:rPr>
        <w:tab/>
      </w:r>
      <w:r w:rsidR="00002774" w:rsidRPr="00140622">
        <w:rPr>
          <w:sz w:val="24"/>
          <w:szCs w:val="24"/>
          <w:u w:val="single"/>
        </w:rPr>
        <w:t>___</w:t>
      </w:r>
      <w:r w:rsidR="00500347" w:rsidRPr="00140622">
        <w:rPr>
          <w:sz w:val="24"/>
          <w:szCs w:val="24"/>
          <w:u w:val="single"/>
        </w:rPr>
        <w:t>Duke University Medical Center_</w:t>
      </w:r>
    </w:p>
    <w:p w:rsidR="00002774" w:rsidRPr="00140622" w:rsidRDefault="00002774" w:rsidP="00FC1BDA">
      <w:pPr>
        <w:spacing w:before="0" w:after="0" w:line="480" w:lineRule="auto"/>
        <w:jc w:val="both"/>
        <w:rPr>
          <w:sz w:val="24"/>
          <w:szCs w:val="24"/>
        </w:rPr>
      </w:pPr>
    </w:p>
    <w:p w:rsidR="00CA23EC" w:rsidRPr="00140622" w:rsidRDefault="00CA23EC" w:rsidP="00FC1BDA">
      <w:pPr>
        <w:spacing w:before="0" w:after="0" w:line="480" w:lineRule="auto"/>
        <w:jc w:val="both"/>
        <w:rPr>
          <w:sz w:val="24"/>
          <w:szCs w:val="24"/>
        </w:rPr>
      </w:pPr>
      <w:r w:rsidRPr="00140622">
        <w:rPr>
          <w:sz w:val="24"/>
          <w:szCs w:val="24"/>
        </w:rPr>
        <w:br w:type="page"/>
      </w:r>
    </w:p>
    <w:p w:rsidR="00CA23EC" w:rsidRPr="00140622" w:rsidRDefault="00CA23EC" w:rsidP="00FC1BDA">
      <w:pPr>
        <w:spacing w:before="0" w:after="0" w:line="480" w:lineRule="auto"/>
        <w:jc w:val="both"/>
        <w:rPr>
          <w:b/>
          <w:sz w:val="24"/>
          <w:szCs w:val="24"/>
        </w:rPr>
      </w:pPr>
      <w:r w:rsidRPr="00140622">
        <w:rPr>
          <w:b/>
          <w:sz w:val="24"/>
          <w:szCs w:val="24"/>
        </w:rPr>
        <w:t>STUDY SYNOPSIS</w:t>
      </w:r>
    </w:p>
    <w:p w:rsidR="004B7399" w:rsidRDefault="00FC67D5" w:rsidP="00FC1BDA">
      <w:pPr>
        <w:spacing w:line="480" w:lineRule="auto"/>
        <w:jc w:val="both"/>
        <w:rPr>
          <w:b/>
          <w:sz w:val="24"/>
          <w:szCs w:val="24"/>
        </w:rPr>
      </w:pPr>
      <w:r w:rsidRPr="00140622">
        <w:rPr>
          <w:b/>
          <w:sz w:val="24"/>
          <w:szCs w:val="24"/>
        </w:rPr>
        <w:t>Aims:</w:t>
      </w:r>
    </w:p>
    <w:p w:rsidR="002E31A3" w:rsidRPr="00140622" w:rsidRDefault="002E31A3" w:rsidP="00FC1BDA">
      <w:pPr>
        <w:spacing w:line="480" w:lineRule="auto"/>
        <w:ind w:left="2880" w:hanging="720"/>
        <w:jc w:val="both"/>
        <w:rPr>
          <w:b/>
          <w:sz w:val="24"/>
          <w:szCs w:val="24"/>
        </w:rPr>
      </w:pPr>
      <w:r w:rsidRPr="00140622">
        <w:rPr>
          <w:b/>
          <w:sz w:val="24"/>
          <w:szCs w:val="24"/>
        </w:rPr>
        <w:t>1)</w:t>
      </w:r>
      <w:r w:rsidRPr="00140622">
        <w:rPr>
          <w:b/>
          <w:sz w:val="24"/>
          <w:szCs w:val="24"/>
        </w:rPr>
        <w:tab/>
      </w:r>
      <w:r w:rsidR="00FC67D5" w:rsidRPr="00140622">
        <w:rPr>
          <w:sz w:val="24"/>
          <w:szCs w:val="24"/>
        </w:rPr>
        <w:t xml:space="preserve">Assess the clinical </w:t>
      </w:r>
      <w:r w:rsidR="00411629" w:rsidRPr="00140622">
        <w:rPr>
          <w:sz w:val="24"/>
          <w:szCs w:val="24"/>
        </w:rPr>
        <w:t xml:space="preserve">feasibility and utility </w:t>
      </w:r>
      <w:r w:rsidR="00FC67D5" w:rsidRPr="00140622">
        <w:rPr>
          <w:sz w:val="24"/>
          <w:szCs w:val="24"/>
        </w:rPr>
        <w:t>of biweekly β-D-</w:t>
      </w:r>
      <w:proofErr w:type="spellStart"/>
      <w:r w:rsidR="00FC67D5" w:rsidRPr="00140622">
        <w:rPr>
          <w:sz w:val="24"/>
          <w:szCs w:val="24"/>
        </w:rPr>
        <w:t>glucan</w:t>
      </w:r>
      <w:proofErr w:type="spellEnd"/>
      <w:r w:rsidR="00FC67D5" w:rsidRPr="00140622">
        <w:rPr>
          <w:sz w:val="24"/>
          <w:szCs w:val="24"/>
        </w:rPr>
        <w:t xml:space="preserve"> testing as a guide for preemptive </w:t>
      </w:r>
      <w:r w:rsidR="00A0766A" w:rsidRPr="00140622">
        <w:rPr>
          <w:sz w:val="24"/>
          <w:szCs w:val="24"/>
        </w:rPr>
        <w:t xml:space="preserve">antifungal </w:t>
      </w:r>
      <w:r w:rsidR="008A6A4F" w:rsidRPr="00140622">
        <w:rPr>
          <w:sz w:val="24"/>
          <w:szCs w:val="24"/>
        </w:rPr>
        <w:t>therapy in</w:t>
      </w:r>
      <w:r w:rsidR="007C448C" w:rsidRPr="00140622">
        <w:rPr>
          <w:sz w:val="24"/>
          <w:szCs w:val="24"/>
        </w:rPr>
        <w:t xml:space="preserve"> at-risk</w:t>
      </w:r>
      <w:r w:rsidR="00FC67D5" w:rsidRPr="00140622">
        <w:rPr>
          <w:sz w:val="24"/>
          <w:szCs w:val="24"/>
        </w:rPr>
        <w:t xml:space="preserve"> </w:t>
      </w:r>
      <w:r w:rsidR="007C448C" w:rsidRPr="00140622">
        <w:rPr>
          <w:sz w:val="24"/>
          <w:szCs w:val="24"/>
        </w:rPr>
        <w:t>surgical intensive care unit</w:t>
      </w:r>
      <w:r w:rsidR="00A0766A" w:rsidRPr="00140622">
        <w:rPr>
          <w:sz w:val="24"/>
          <w:szCs w:val="24"/>
        </w:rPr>
        <w:t xml:space="preserve"> (</w:t>
      </w:r>
      <w:r w:rsidR="00FC67D5" w:rsidRPr="00140622">
        <w:rPr>
          <w:sz w:val="24"/>
          <w:szCs w:val="24"/>
        </w:rPr>
        <w:t>SICU</w:t>
      </w:r>
      <w:r w:rsidR="00A0766A" w:rsidRPr="00140622">
        <w:rPr>
          <w:sz w:val="24"/>
          <w:szCs w:val="24"/>
        </w:rPr>
        <w:t>)</w:t>
      </w:r>
      <w:r w:rsidR="007C448C" w:rsidRPr="00140622">
        <w:rPr>
          <w:sz w:val="24"/>
          <w:szCs w:val="24"/>
        </w:rPr>
        <w:t xml:space="preserve"> patients</w:t>
      </w:r>
      <w:r w:rsidR="00FC67D5" w:rsidRPr="00140622">
        <w:rPr>
          <w:sz w:val="24"/>
          <w:szCs w:val="24"/>
        </w:rPr>
        <w:t>.</w:t>
      </w:r>
    </w:p>
    <w:p w:rsidR="00FC67D5" w:rsidRPr="00140622" w:rsidRDefault="00FC67D5" w:rsidP="00FC1BDA">
      <w:pPr>
        <w:numPr>
          <w:ilvl w:val="0"/>
          <w:numId w:val="28"/>
        </w:numPr>
        <w:spacing w:line="480" w:lineRule="auto"/>
        <w:jc w:val="both"/>
        <w:rPr>
          <w:sz w:val="24"/>
          <w:szCs w:val="24"/>
        </w:rPr>
      </w:pPr>
      <w:r w:rsidRPr="00140622">
        <w:rPr>
          <w:sz w:val="24"/>
          <w:szCs w:val="24"/>
        </w:rPr>
        <w:t>Evaluate the safety an</w:t>
      </w:r>
      <w:r w:rsidR="00AC6DC3">
        <w:rPr>
          <w:sz w:val="24"/>
          <w:szCs w:val="24"/>
        </w:rPr>
        <w:t xml:space="preserve">d tolerability of preemptive </w:t>
      </w:r>
      <w:proofErr w:type="spellStart"/>
      <w:r w:rsidR="00AC6DC3">
        <w:rPr>
          <w:sz w:val="24"/>
          <w:szCs w:val="24"/>
        </w:rPr>
        <w:t>an</w:t>
      </w:r>
      <w:r w:rsidRPr="00140622">
        <w:rPr>
          <w:sz w:val="24"/>
          <w:szCs w:val="24"/>
        </w:rPr>
        <w:t>idulafungin</w:t>
      </w:r>
      <w:proofErr w:type="spellEnd"/>
      <w:r w:rsidRPr="00140622">
        <w:rPr>
          <w:sz w:val="24"/>
          <w:szCs w:val="24"/>
        </w:rPr>
        <w:t xml:space="preserve"> as compared to current practice (empiric antifungal therapy based on physician discretion) for the management of invasive candidiasis</w:t>
      </w:r>
      <w:r w:rsidR="00A0766A" w:rsidRPr="00140622">
        <w:rPr>
          <w:sz w:val="24"/>
          <w:szCs w:val="24"/>
        </w:rPr>
        <w:t xml:space="preserve"> (IC)</w:t>
      </w:r>
      <w:r w:rsidRPr="00140622">
        <w:rPr>
          <w:sz w:val="24"/>
          <w:szCs w:val="24"/>
        </w:rPr>
        <w:t xml:space="preserve">.  </w:t>
      </w:r>
    </w:p>
    <w:p w:rsidR="004B7399" w:rsidRDefault="004B7399" w:rsidP="005624FD">
      <w:pPr>
        <w:numPr>
          <w:ilvl w:val="0"/>
          <w:numId w:val="28"/>
        </w:numPr>
        <w:spacing w:line="480" w:lineRule="auto"/>
        <w:jc w:val="both"/>
        <w:rPr>
          <w:b/>
          <w:sz w:val="24"/>
          <w:szCs w:val="24"/>
        </w:rPr>
      </w:pPr>
      <w:r>
        <w:rPr>
          <w:sz w:val="24"/>
          <w:szCs w:val="24"/>
        </w:rPr>
        <w:t>V</w:t>
      </w:r>
      <w:r w:rsidR="00C60972" w:rsidRPr="00140622">
        <w:rPr>
          <w:sz w:val="24"/>
          <w:szCs w:val="24"/>
        </w:rPr>
        <w:t>alidate gene expression signatures predictive of</w:t>
      </w:r>
      <w:r>
        <w:rPr>
          <w:sz w:val="24"/>
          <w:szCs w:val="24"/>
        </w:rPr>
        <w:t xml:space="preserve"> IC</w:t>
      </w:r>
      <w:r w:rsidR="00C60972" w:rsidRPr="00140622">
        <w:rPr>
          <w:sz w:val="24"/>
          <w:szCs w:val="24"/>
        </w:rPr>
        <w:t>.</w:t>
      </w:r>
    </w:p>
    <w:p w:rsidR="005624FD" w:rsidRPr="005624FD" w:rsidRDefault="005624FD" w:rsidP="005624FD">
      <w:pPr>
        <w:spacing w:line="480" w:lineRule="auto"/>
        <w:ind w:left="2880"/>
        <w:jc w:val="both"/>
        <w:rPr>
          <w:b/>
          <w:sz w:val="24"/>
          <w:szCs w:val="24"/>
        </w:rPr>
      </w:pPr>
    </w:p>
    <w:p w:rsidR="004B7399" w:rsidRDefault="00FC67D5" w:rsidP="00FC1BDA">
      <w:pPr>
        <w:spacing w:line="480" w:lineRule="auto"/>
        <w:ind w:left="2070" w:hanging="2070"/>
        <w:jc w:val="both"/>
        <w:rPr>
          <w:b/>
          <w:sz w:val="24"/>
          <w:szCs w:val="24"/>
        </w:rPr>
      </w:pPr>
      <w:r w:rsidRPr="00140622">
        <w:rPr>
          <w:b/>
          <w:sz w:val="24"/>
          <w:szCs w:val="24"/>
        </w:rPr>
        <w:t>Hypotheses</w:t>
      </w:r>
      <w:r w:rsidR="002E31A3" w:rsidRPr="00140622">
        <w:rPr>
          <w:b/>
          <w:sz w:val="24"/>
          <w:szCs w:val="24"/>
        </w:rPr>
        <w:t xml:space="preserve">: </w:t>
      </w:r>
      <w:r w:rsidR="002E31A3" w:rsidRPr="00140622">
        <w:rPr>
          <w:b/>
          <w:sz w:val="24"/>
          <w:szCs w:val="24"/>
        </w:rPr>
        <w:tab/>
      </w:r>
    </w:p>
    <w:p w:rsidR="002E31A3" w:rsidRPr="00140622" w:rsidRDefault="002E31A3" w:rsidP="00FC1BDA">
      <w:pPr>
        <w:spacing w:line="480" w:lineRule="auto"/>
        <w:ind w:left="2880" w:hanging="810"/>
        <w:jc w:val="both"/>
        <w:rPr>
          <w:b/>
          <w:sz w:val="24"/>
          <w:szCs w:val="24"/>
        </w:rPr>
      </w:pPr>
      <w:r w:rsidRPr="00140622">
        <w:rPr>
          <w:b/>
          <w:sz w:val="24"/>
          <w:szCs w:val="24"/>
        </w:rPr>
        <w:t>1)</w:t>
      </w:r>
      <w:r w:rsidRPr="00140622">
        <w:rPr>
          <w:b/>
          <w:sz w:val="24"/>
          <w:szCs w:val="24"/>
        </w:rPr>
        <w:tab/>
      </w:r>
      <w:r w:rsidR="00FC67D5" w:rsidRPr="00140622">
        <w:rPr>
          <w:sz w:val="24"/>
          <w:szCs w:val="24"/>
        </w:rPr>
        <w:t>Biweekly β-D-</w:t>
      </w:r>
      <w:proofErr w:type="spellStart"/>
      <w:r w:rsidR="00FC67D5" w:rsidRPr="00140622">
        <w:rPr>
          <w:sz w:val="24"/>
          <w:szCs w:val="24"/>
        </w:rPr>
        <w:t>glucan</w:t>
      </w:r>
      <w:proofErr w:type="spellEnd"/>
      <w:r w:rsidR="00FC67D5" w:rsidRPr="00140622">
        <w:rPr>
          <w:sz w:val="24"/>
          <w:szCs w:val="24"/>
        </w:rPr>
        <w:t xml:space="preserve"> surveillance will identify </w:t>
      </w:r>
      <w:r w:rsidR="00A0766A" w:rsidRPr="00140622">
        <w:rPr>
          <w:sz w:val="24"/>
          <w:szCs w:val="24"/>
        </w:rPr>
        <w:t xml:space="preserve">SICU </w:t>
      </w:r>
      <w:r w:rsidR="00FC67D5" w:rsidRPr="00140622">
        <w:rPr>
          <w:sz w:val="24"/>
          <w:szCs w:val="24"/>
        </w:rPr>
        <w:t xml:space="preserve">patients with </w:t>
      </w:r>
      <w:r w:rsidR="00A0766A" w:rsidRPr="00140622">
        <w:rPr>
          <w:sz w:val="24"/>
          <w:szCs w:val="24"/>
        </w:rPr>
        <w:t xml:space="preserve">an </w:t>
      </w:r>
      <w:r w:rsidR="00FC67D5" w:rsidRPr="00140622">
        <w:rPr>
          <w:sz w:val="24"/>
          <w:szCs w:val="24"/>
        </w:rPr>
        <w:t xml:space="preserve">invasive fungal infection </w:t>
      </w:r>
      <w:r w:rsidR="00A0766A" w:rsidRPr="00140622">
        <w:rPr>
          <w:sz w:val="24"/>
          <w:szCs w:val="24"/>
        </w:rPr>
        <w:t xml:space="preserve">(IFI) </w:t>
      </w:r>
      <w:r w:rsidR="00FC67D5" w:rsidRPr="00140622">
        <w:rPr>
          <w:sz w:val="24"/>
          <w:szCs w:val="24"/>
        </w:rPr>
        <w:t>before clinical signs or</w:t>
      </w:r>
      <w:r w:rsidR="00A0766A" w:rsidRPr="00140622">
        <w:rPr>
          <w:sz w:val="24"/>
          <w:szCs w:val="24"/>
        </w:rPr>
        <w:t xml:space="preserve"> symptoms </w:t>
      </w:r>
      <w:r w:rsidR="00FC67D5" w:rsidRPr="00140622">
        <w:rPr>
          <w:sz w:val="24"/>
          <w:szCs w:val="24"/>
        </w:rPr>
        <w:t>develop.</w:t>
      </w:r>
    </w:p>
    <w:p w:rsidR="00FC67D5" w:rsidRPr="00140622" w:rsidRDefault="00FC67D5" w:rsidP="00FC1BDA">
      <w:pPr>
        <w:numPr>
          <w:ilvl w:val="0"/>
          <w:numId w:val="27"/>
        </w:numPr>
        <w:spacing w:line="480" w:lineRule="auto"/>
        <w:jc w:val="both"/>
        <w:rPr>
          <w:sz w:val="24"/>
          <w:szCs w:val="24"/>
        </w:rPr>
      </w:pPr>
      <w:proofErr w:type="spellStart"/>
      <w:r w:rsidRPr="00140622">
        <w:rPr>
          <w:sz w:val="24"/>
          <w:szCs w:val="24"/>
        </w:rPr>
        <w:t>Anidulafungin</w:t>
      </w:r>
      <w:proofErr w:type="spellEnd"/>
      <w:r w:rsidRPr="00140622">
        <w:rPr>
          <w:sz w:val="24"/>
          <w:szCs w:val="24"/>
        </w:rPr>
        <w:t xml:space="preserve"> initiated in response to a positive β-D-</w:t>
      </w:r>
      <w:proofErr w:type="spellStart"/>
      <w:r w:rsidRPr="00140622">
        <w:rPr>
          <w:sz w:val="24"/>
          <w:szCs w:val="24"/>
        </w:rPr>
        <w:t>glucan</w:t>
      </w:r>
      <w:proofErr w:type="spellEnd"/>
      <w:r w:rsidRPr="00140622">
        <w:rPr>
          <w:sz w:val="24"/>
          <w:szCs w:val="24"/>
        </w:rPr>
        <w:t xml:space="preserve"> test (i.e. preemptive therapy) will be well tolerated, safe, and effectively treat patients early, before advanced infection is established.</w:t>
      </w:r>
    </w:p>
    <w:p w:rsidR="00C60972" w:rsidRPr="00140622" w:rsidRDefault="00C60972" w:rsidP="00FC1BDA">
      <w:pPr>
        <w:numPr>
          <w:ilvl w:val="0"/>
          <w:numId w:val="27"/>
        </w:numPr>
        <w:spacing w:line="480" w:lineRule="auto"/>
        <w:jc w:val="both"/>
        <w:rPr>
          <w:b/>
          <w:sz w:val="24"/>
          <w:szCs w:val="24"/>
        </w:rPr>
      </w:pPr>
      <w:r w:rsidRPr="00140622">
        <w:rPr>
          <w:sz w:val="24"/>
          <w:szCs w:val="24"/>
        </w:rPr>
        <w:t>Peripheral blood gene expression signatures obtained serially from at-risk patients can pr</w:t>
      </w:r>
      <w:r w:rsidR="004B7399">
        <w:rPr>
          <w:sz w:val="24"/>
          <w:szCs w:val="24"/>
        </w:rPr>
        <w:t>edict early IC</w:t>
      </w:r>
      <w:r w:rsidRPr="00140622">
        <w:rPr>
          <w:sz w:val="24"/>
          <w:szCs w:val="24"/>
        </w:rPr>
        <w:t>.</w:t>
      </w:r>
    </w:p>
    <w:p w:rsidR="00C60972" w:rsidRPr="00140622" w:rsidRDefault="004B7399" w:rsidP="00FC1BDA">
      <w:pPr>
        <w:spacing w:line="480" w:lineRule="auto"/>
        <w:ind w:left="2070"/>
        <w:jc w:val="both"/>
        <w:rPr>
          <w:sz w:val="24"/>
          <w:szCs w:val="24"/>
        </w:rPr>
      </w:pPr>
      <w:r>
        <w:rPr>
          <w:sz w:val="24"/>
          <w:szCs w:val="24"/>
        </w:rPr>
        <w:br w:type="page"/>
      </w:r>
    </w:p>
    <w:p w:rsidR="008061BD" w:rsidRDefault="00FC67D5" w:rsidP="00FC1BDA">
      <w:pPr>
        <w:spacing w:before="0" w:after="0" w:line="480" w:lineRule="auto"/>
        <w:ind w:left="2070" w:hanging="2070"/>
        <w:jc w:val="both"/>
        <w:rPr>
          <w:sz w:val="24"/>
          <w:szCs w:val="24"/>
        </w:rPr>
      </w:pPr>
      <w:r w:rsidRPr="00140622">
        <w:rPr>
          <w:b/>
          <w:sz w:val="24"/>
          <w:szCs w:val="24"/>
        </w:rPr>
        <w:t>Study Design:</w:t>
      </w:r>
      <w:r w:rsidR="002E31A3" w:rsidRPr="00140622">
        <w:rPr>
          <w:b/>
          <w:sz w:val="24"/>
          <w:szCs w:val="24"/>
        </w:rPr>
        <w:tab/>
      </w:r>
      <w:r w:rsidR="002E31A3" w:rsidRPr="00140622">
        <w:rPr>
          <w:sz w:val="24"/>
          <w:szCs w:val="24"/>
        </w:rPr>
        <w:t>S</w:t>
      </w:r>
      <w:r w:rsidRPr="00140622">
        <w:rPr>
          <w:sz w:val="24"/>
          <w:szCs w:val="24"/>
        </w:rPr>
        <w:t>ingle center, randomized, non-blinded, parallel group, comparative study.</w:t>
      </w:r>
    </w:p>
    <w:p w:rsidR="004B7399" w:rsidRPr="00140622" w:rsidRDefault="004B7399" w:rsidP="00FC1BDA">
      <w:pPr>
        <w:spacing w:before="0" w:after="0" w:line="480" w:lineRule="auto"/>
        <w:ind w:left="2070" w:hanging="2070"/>
        <w:jc w:val="both"/>
        <w:rPr>
          <w:b/>
          <w:sz w:val="24"/>
          <w:szCs w:val="24"/>
        </w:rPr>
      </w:pPr>
    </w:p>
    <w:p w:rsidR="008061BD" w:rsidRDefault="00FC67D5" w:rsidP="00FC1BDA">
      <w:pPr>
        <w:spacing w:before="0" w:after="0" w:line="480" w:lineRule="auto"/>
        <w:ind w:left="2070" w:hanging="2070"/>
        <w:jc w:val="both"/>
        <w:rPr>
          <w:sz w:val="24"/>
          <w:szCs w:val="24"/>
        </w:rPr>
      </w:pPr>
      <w:proofErr w:type="gramStart"/>
      <w:r w:rsidRPr="00140622">
        <w:rPr>
          <w:b/>
          <w:sz w:val="24"/>
          <w:szCs w:val="24"/>
        </w:rPr>
        <w:t>Sample Size:</w:t>
      </w:r>
      <w:r w:rsidR="002E31A3" w:rsidRPr="00140622">
        <w:rPr>
          <w:b/>
          <w:sz w:val="24"/>
          <w:szCs w:val="24"/>
        </w:rPr>
        <w:tab/>
      </w:r>
      <w:r w:rsidR="002E31A3" w:rsidRPr="00140622">
        <w:rPr>
          <w:sz w:val="24"/>
          <w:szCs w:val="24"/>
        </w:rPr>
        <w:t>1</w:t>
      </w:r>
      <w:r w:rsidR="00AC6DC3">
        <w:rPr>
          <w:sz w:val="24"/>
          <w:szCs w:val="24"/>
        </w:rPr>
        <w:t xml:space="preserve">00 </w:t>
      </w:r>
      <w:r w:rsidR="00D57E14" w:rsidRPr="00140622">
        <w:rPr>
          <w:sz w:val="24"/>
          <w:szCs w:val="24"/>
        </w:rPr>
        <w:t>subjects; 75</w:t>
      </w:r>
      <w:r w:rsidRPr="00140622">
        <w:rPr>
          <w:sz w:val="24"/>
          <w:szCs w:val="24"/>
        </w:rPr>
        <w:t xml:space="preserve"> in the </w:t>
      </w:r>
      <w:r w:rsidR="00A0766A" w:rsidRPr="00140622">
        <w:rPr>
          <w:sz w:val="24"/>
          <w:szCs w:val="24"/>
        </w:rPr>
        <w:t xml:space="preserve">active </w:t>
      </w:r>
      <w:r w:rsidRPr="00140622">
        <w:rPr>
          <w:sz w:val="24"/>
          <w:szCs w:val="24"/>
        </w:rPr>
        <w:t>s</w:t>
      </w:r>
      <w:r w:rsidR="00D57E14" w:rsidRPr="00140622">
        <w:rPr>
          <w:sz w:val="24"/>
          <w:szCs w:val="24"/>
        </w:rPr>
        <w:t>urveillance</w:t>
      </w:r>
      <w:r w:rsidR="00A0766A" w:rsidRPr="00140622">
        <w:rPr>
          <w:sz w:val="24"/>
          <w:szCs w:val="24"/>
        </w:rPr>
        <w:t>/preemptive therapy</w:t>
      </w:r>
      <w:r w:rsidR="00D57E14" w:rsidRPr="00140622">
        <w:rPr>
          <w:sz w:val="24"/>
          <w:szCs w:val="24"/>
        </w:rPr>
        <w:t xml:space="preserve"> arm and 25 </w:t>
      </w:r>
      <w:r w:rsidRPr="00140622">
        <w:rPr>
          <w:sz w:val="24"/>
          <w:szCs w:val="24"/>
        </w:rPr>
        <w:t>in the usual care arm</w:t>
      </w:r>
      <w:r w:rsidR="00D57E14" w:rsidRPr="00140622">
        <w:rPr>
          <w:sz w:val="24"/>
          <w:szCs w:val="24"/>
        </w:rPr>
        <w:t>.</w:t>
      </w:r>
      <w:proofErr w:type="gramEnd"/>
    </w:p>
    <w:p w:rsidR="004B7399" w:rsidRPr="00140622" w:rsidRDefault="004B7399" w:rsidP="00FC1BDA">
      <w:pPr>
        <w:spacing w:before="0" w:after="0" w:line="480" w:lineRule="auto"/>
        <w:ind w:left="2070" w:hanging="2070"/>
        <w:jc w:val="both"/>
        <w:rPr>
          <w:b/>
          <w:sz w:val="24"/>
          <w:szCs w:val="24"/>
        </w:rPr>
      </w:pPr>
    </w:p>
    <w:p w:rsidR="008061BD" w:rsidRDefault="00FC67D5" w:rsidP="00FC1BDA">
      <w:pPr>
        <w:spacing w:line="480" w:lineRule="auto"/>
        <w:ind w:left="2070" w:hanging="2070"/>
        <w:jc w:val="both"/>
        <w:rPr>
          <w:sz w:val="24"/>
          <w:szCs w:val="24"/>
        </w:rPr>
      </w:pPr>
      <w:r w:rsidRPr="00140622">
        <w:rPr>
          <w:b/>
          <w:sz w:val="24"/>
          <w:szCs w:val="24"/>
        </w:rPr>
        <w:t>Study Population:</w:t>
      </w:r>
      <w:r w:rsidR="002E31A3" w:rsidRPr="00140622">
        <w:rPr>
          <w:b/>
          <w:sz w:val="24"/>
          <w:szCs w:val="24"/>
        </w:rPr>
        <w:tab/>
      </w:r>
      <w:r w:rsidR="002E31A3" w:rsidRPr="00140622">
        <w:rPr>
          <w:sz w:val="24"/>
          <w:szCs w:val="24"/>
        </w:rPr>
        <w:t>A</w:t>
      </w:r>
      <w:r w:rsidRPr="00140622">
        <w:rPr>
          <w:sz w:val="24"/>
          <w:szCs w:val="24"/>
        </w:rPr>
        <w:t xml:space="preserve">dult patients admitted to Duke University Medical Center </w:t>
      </w:r>
      <w:r w:rsidR="00A0766A" w:rsidRPr="00140622">
        <w:rPr>
          <w:sz w:val="24"/>
          <w:szCs w:val="24"/>
        </w:rPr>
        <w:t xml:space="preserve">SICU </w:t>
      </w:r>
      <w:r w:rsidRPr="00140622">
        <w:rPr>
          <w:sz w:val="24"/>
          <w:szCs w:val="24"/>
        </w:rPr>
        <w:t>at-risk for the development o</w:t>
      </w:r>
      <w:r w:rsidR="00A0766A" w:rsidRPr="00140622">
        <w:rPr>
          <w:sz w:val="24"/>
          <w:szCs w:val="24"/>
        </w:rPr>
        <w:t>f IC</w:t>
      </w:r>
      <w:r w:rsidRPr="00140622">
        <w:rPr>
          <w:sz w:val="24"/>
          <w:szCs w:val="24"/>
        </w:rPr>
        <w:t>.</w:t>
      </w:r>
    </w:p>
    <w:p w:rsidR="004B7399" w:rsidRPr="00140622" w:rsidRDefault="004B7399" w:rsidP="00FC1BDA">
      <w:pPr>
        <w:spacing w:line="480" w:lineRule="auto"/>
        <w:ind w:left="2070" w:hanging="2070"/>
        <w:jc w:val="both"/>
        <w:rPr>
          <w:b/>
          <w:sz w:val="24"/>
          <w:szCs w:val="24"/>
        </w:rPr>
      </w:pPr>
    </w:p>
    <w:p w:rsidR="00A0766A" w:rsidRDefault="00D57E14" w:rsidP="00FC1BDA">
      <w:pPr>
        <w:spacing w:line="480" w:lineRule="auto"/>
        <w:ind w:left="2070" w:hanging="2070"/>
        <w:jc w:val="both"/>
        <w:rPr>
          <w:sz w:val="24"/>
          <w:szCs w:val="24"/>
        </w:rPr>
      </w:pPr>
      <w:r w:rsidRPr="00140622">
        <w:rPr>
          <w:b/>
          <w:sz w:val="24"/>
          <w:szCs w:val="24"/>
        </w:rPr>
        <w:t>Study Drug:</w:t>
      </w:r>
      <w:r w:rsidRPr="00140622">
        <w:rPr>
          <w:b/>
          <w:sz w:val="24"/>
          <w:szCs w:val="24"/>
        </w:rPr>
        <w:tab/>
      </w:r>
      <w:r w:rsidRPr="00140622">
        <w:rPr>
          <w:sz w:val="24"/>
          <w:szCs w:val="24"/>
        </w:rPr>
        <w:t xml:space="preserve">Intravenous </w:t>
      </w:r>
      <w:proofErr w:type="spellStart"/>
      <w:r w:rsidRPr="00140622">
        <w:rPr>
          <w:sz w:val="24"/>
          <w:szCs w:val="24"/>
        </w:rPr>
        <w:t>anidulafungin</w:t>
      </w:r>
      <w:proofErr w:type="spellEnd"/>
      <w:r w:rsidRPr="00140622">
        <w:rPr>
          <w:sz w:val="24"/>
          <w:szCs w:val="24"/>
        </w:rPr>
        <w:t xml:space="preserve"> initiated in response to a positive β-D-</w:t>
      </w:r>
      <w:proofErr w:type="spellStart"/>
      <w:r w:rsidRPr="00140622">
        <w:rPr>
          <w:sz w:val="24"/>
          <w:szCs w:val="24"/>
        </w:rPr>
        <w:t>glucan</w:t>
      </w:r>
      <w:proofErr w:type="spellEnd"/>
      <w:r w:rsidRPr="00140622">
        <w:rPr>
          <w:sz w:val="24"/>
          <w:szCs w:val="24"/>
        </w:rPr>
        <w:t xml:space="preserve"> test for subjects in the active surveillance</w:t>
      </w:r>
      <w:r w:rsidR="00A0766A" w:rsidRPr="00140622">
        <w:rPr>
          <w:sz w:val="24"/>
          <w:szCs w:val="24"/>
        </w:rPr>
        <w:t>/</w:t>
      </w:r>
      <w:proofErr w:type="spellStart"/>
      <w:r w:rsidR="00A0766A" w:rsidRPr="00140622">
        <w:rPr>
          <w:sz w:val="24"/>
          <w:szCs w:val="24"/>
        </w:rPr>
        <w:t>preemtpive</w:t>
      </w:r>
      <w:proofErr w:type="spellEnd"/>
      <w:r w:rsidRPr="00140622">
        <w:rPr>
          <w:sz w:val="24"/>
          <w:szCs w:val="24"/>
        </w:rPr>
        <w:t xml:space="preserve"> arm.  Preemptive tre</w:t>
      </w:r>
      <w:r w:rsidR="00A0766A" w:rsidRPr="00140622">
        <w:rPr>
          <w:sz w:val="24"/>
          <w:szCs w:val="24"/>
        </w:rPr>
        <w:t xml:space="preserve">atment will continue for </w:t>
      </w:r>
      <w:r w:rsidR="00C6108D" w:rsidRPr="00140622">
        <w:rPr>
          <w:sz w:val="24"/>
          <w:szCs w:val="24"/>
        </w:rPr>
        <w:t xml:space="preserve">at least </w:t>
      </w:r>
      <w:r w:rsidRPr="00140622">
        <w:rPr>
          <w:sz w:val="24"/>
          <w:szCs w:val="24"/>
        </w:rPr>
        <w:t>14 days or until ICU discharge</w:t>
      </w:r>
      <w:r w:rsidR="00C6108D" w:rsidRPr="00140622">
        <w:rPr>
          <w:sz w:val="24"/>
          <w:szCs w:val="24"/>
        </w:rPr>
        <w:t xml:space="preserve"> (maximum 28</w:t>
      </w:r>
      <w:r w:rsidR="00A0766A" w:rsidRPr="00140622">
        <w:rPr>
          <w:sz w:val="24"/>
          <w:szCs w:val="24"/>
        </w:rPr>
        <w:t xml:space="preserve"> days)</w:t>
      </w:r>
      <w:r w:rsidRPr="00140622">
        <w:rPr>
          <w:sz w:val="24"/>
          <w:szCs w:val="24"/>
        </w:rPr>
        <w:t xml:space="preserve">, </w:t>
      </w:r>
      <w:proofErr w:type="spellStart"/>
      <w:r w:rsidRPr="00140622">
        <w:rPr>
          <w:sz w:val="24"/>
          <w:szCs w:val="24"/>
        </w:rPr>
        <w:t>which ever</w:t>
      </w:r>
      <w:proofErr w:type="spellEnd"/>
      <w:r w:rsidRPr="00140622">
        <w:rPr>
          <w:sz w:val="24"/>
          <w:szCs w:val="24"/>
        </w:rPr>
        <w:t xml:space="preserve"> is longer.</w:t>
      </w:r>
    </w:p>
    <w:p w:rsidR="004B7399" w:rsidRPr="00140622" w:rsidRDefault="004B7399" w:rsidP="00FC1BDA">
      <w:pPr>
        <w:spacing w:line="480" w:lineRule="auto"/>
        <w:ind w:left="2070" w:hanging="2070"/>
        <w:jc w:val="both"/>
        <w:rPr>
          <w:sz w:val="24"/>
          <w:szCs w:val="24"/>
        </w:rPr>
      </w:pPr>
    </w:p>
    <w:p w:rsidR="007C448C" w:rsidRDefault="002E31A3" w:rsidP="00FC1BDA">
      <w:pPr>
        <w:spacing w:line="480" w:lineRule="auto"/>
        <w:ind w:left="2070" w:hanging="2070"/>
        <w:jc w:val="both"/>
        <w:rPr>
          <w:sz w:val="24"/>
          <w:szCs w:val="24"/>
        </w:rPr>
      </w:pPr>
      <w:r w:rsidRPr="00140622">
        <w:rPr>
          <w:b/>
          <w:sz w:val="24"/>
          <w:szCs w:val="24"/>
        </w:rPr>
        <w:t>Efficacy</w:t>
      </w:r>
      <w:r w:rsidR="00A0766A" w:rsidRPr="00140622">
        <w:rPr>
          <w:b/>
          <w:sz w:val="24"/>
          <w:szCs w:val="24"/>
        </w:rPr>
        <w:t>:</w:t>
      </w:r>
      <w:r w:rsidR="00A0766A" w:rsidRPr="00140622">
        <w:rPr>
          <w:b/>
          <w:sz w:val="24"/>
          <w:szCs w:val="24"/>
        </w:rPr>
        <w:tab/>
      </w:r>
      <w:r w:rsidR="00A0766A" w:rsidRPr="00140622">
        <w:rPr>
          <w:sz w:val="24"/>
          <w:szCs w:val="24"/>
        </w:rPr>
        <w:t xml:space="preserve">IFI </w:t>
      </w:r>
      <w:r w:rsidR="007C448C" w:rsidRPr="00140622">
        <w:rPr>
          <w:sz w:val="24"/>
          <w:szCs w:val="24"/>
        </w:rPr>
        <w:t xml:space="preserve">assessments will be made </w:t>
      </w:r>
      <w:r w:rsidR="00A0766A" w:rsidRPr="00140622">
        <w:rPr>
          <w:sz w:val="24"/>
          <w:szCs w:val="24"/>
        </w:rPr>
        <w:t>weekly</w:t>
      </w:r>
      <w:r w:rsidR="008A6A4F" w:rsidRPr="00140622">
        <w:rPr>
          <w:sz w:val="24"/>
          <w:szCs w:val="24"/>
        </w:rPr>
        <w:t xml:space="preserve"> and at SICU discharge</w:t>
      </w:r>
      <w:r w:rsidR="00A0766A" w:rsidRPr="00140622">
        <w:rPr>
          <w:sz w:val="24"/>
          <w:szCs w:val="24"/>
        </w:rPr>
        <w:t xml:space="preserve">.  </w:t>
      </w:r>
    </w:p>
    <w:p w:rsidR="004B7399" w:rsidRPr="00140622" w:rsidRDefault="004B7399" w:rsidP="00FC1BDA">
      <w:pPr>
        <w:spacing w:line="480" w:lineRule="auto"/>
        <w:ind w:left="2070" w:hanging="2070"/>
        <w:jc w:val="both"/>
        <w:rPr>
          <w:sz w:val="24"/>
          <w:szCs w:val="24"/>
        </w:rPr>
      </w:pPr>
    </w:p>
    <w:p w:rsidR="00A0766A" w:rsidRDefault="002E31A3" w:rsidP="00FC1BDA">
      <w:pPr>
        <w:spacing w:line="480" w:lineRule="auto"/>
        <w:ind w:left="2070" w:hanging="2070"/>
        <w:jc w:val="both"/>
        <w:rPr>
          <w:bCs/>
          <w:sz w:val="24"/>
          <w:szCs w:val="24"/>
        </w:rPr>
      </w:pPr>
      <w:r w:rsidRPr="00140622">
        <w:rPr>
          <w:b/>
          <w:sz w:val="24"/>
          <w:szCs w:val="24"/>
        </w:rPr>
        <w:t>Safety</w:t>
      </w:r>
      <w:r w:rsidR="00A0766A" w:rsidRPr="00140622">
        <w:rPr>
          <w:b/>
          <w:sz w:val="24"/>
          <w:szCs w:val="24"/>
        </w:rPr>
        <w:t>:</w:t>
      </w:r>
      <w:r w:rsidR="00A0766A" w:rsidRPr="00140622">
        <w:rPr>
          <w:b/>
          <w:sz w:val="24"/>
          <w:szCs w:val="24"/>
        </w:rPr>
        <w:tab/>
      </w:r>
      <w:r w:rsidR="00A0766A" w:rsidRPr="00140622">
        <w:rPr>
          <w:bCs/>
          <w:sz w:val="24"/>
          <w:szCs w:val="24"/>
        </w:rPr>
        <w:t>A data safety monitoring boa</w:t>
      </w:r>
      <w:r w:rsidR="008A6A4F" w:rsidRPr="00140622">
        <w:rPr>
          <w:bCs/>
          <w:sz w:val="24"/>
          <w:szCs w:val="24"/>
        </w:rPr>
        <w:t xml:space="preserve">rd will review </w:t>
      </w:r>
      <w:r w:rsidR="00A0766A" w:rsidRPr="00140622">
        <w:rPr>
          <w:bCs/>
          <w:sz w:val="24"/>
          <w:szCs w:val="24"/>
        </w:rPr>
        <w:t>adverse events every 4 months.</w:t>
      </w:r>
    </w:p>
    <w:p w:rsidR="004B7399" w:rsidRPr="00140622" w:rsidRDefault="004B7399" w:rsidP="00FC1BDA">
      <w:pPr>
        <w:spacing w:line="480" w:lineRule="auto"/>
        <w:ind w:left="2070" w:hanging="2070"/>
        <w:jc w:val="both"/>
        <w:rPr>
          <w:bCs/>
          <w:sz w:val="24"/>
          <w:szCs w:val="24"/>
        </w:rPr>
      </w:pPr>
    </w:p>
    <w:p w:rsidR="00ED7C55" w:rsidRPr="00941DD9" w:rsidRDefault="002E31A3" w:rsidP="00FC1BDA">
      <w:pPr>
        <w:spacing w:line="480" w:lineRule="auto"/>
        <w:ind w:left="2070" w:hanging="2070"/>
        <w:jc w:val="both"/>
        <w:rPr>
          <w:b/>
          <w:sz w:val="24"/>
          <w:szCs w:val="24"/>
        </w:rPr>
      </w:pPr>
      <w:r w:rsidRPr="00140622">
        <w:rPr>
          <w:b/>
          <w:sz w:val="24"/>
          <w:szCs w:val="24"/>
        </w:rPr>
        <w:t>Statistics</w:t>
      </w:r>
      <w:r w:rsidR="00A0766A" w:rsidRPr="00140622">
        <w:rPr>
          <w:b/>
          <w:sz w:val="24"/>
          <w:szCs w:val="24"/>
        </w:rPr>
        <w:t>:</w:t>
      </w:r>
      <w:r w:rsidR="00A0766A" w:rsidRPr="00140622">
        <w:rPr>
          <w:b/>
          <w:sz w:val="24"/>
          <w:szCs w:val="24"/>
        </w:rPr>
        <w:tab/>
      </w:r>
      <w:r w:rsidR="00A0766A" w:rsidRPr="00140622">
        <w:rPr>
          <w:bCs/>
          <w:sz w:val="24"/>
          <w:szCs w:val="24"/>
        </w:rPr>
        <w:t>β-D-</w:t>
      </w:r>
      <w:proofErr w:type="spellStart"/>
      <w:r w:rsidR="00A0766A" w:rsidRPr="00140622">
        <w:rPr>
          <w:bCs/>
          <w:sz w:val="24"/>
          <w:szCs w:val="24"/>
        </w:rPr>
        <w:t>glucan</w:t>
      </w:r>
      <w:proofErr w:type="spellEnd"/>
      <w:r w:rsidR="00A0766A" w:rsidRPr="00140622">
        <w:rPr>
          <w:bCs/>
          <w:sz w:val="24"/>
          <w:szCs w:val="24"/>
        </w:rPr>
        <w:t xml:space="preserve"> test characteristics will be described using sensitivity, specificity, positive and negative predictive values.  </w:t>
      </w:r>
      <w:r w:rsidR="003A0B8B" w:rsidRPr="00140622">
        <w:rPr>
          <w:bCs/>
          <w:sz w:val="24"/>
          <w:szCs w:val="24"/>
        </w:rPr>
        <w:t xml:space="preserve">The proportions of patients developing proven or probable IC in each group will be compared using Fisher’s exact </w:t>
      </w:r>
      <w:r w:rsidR="003A0B8B" w:rsidRPr="00140622">
        <w:rPr>
          <w:bCs/>
          <w:sz w:val="24"/>
          <w:szCs w:val="24"/>
        </w:rPr>
        <w:lastRenderedPageBreak/>
        <w:t xml:space="preserve">test.  </w:t>
      </w:r>
      <w:r w:rsidR="00A0766A" w:rsidRPr="00140622">
        <w:rPr>
          <w:bCs/>
          <w:sz w:val="24"/>
          <w:szCs w:val="24"/>
        </w:rPr>
        <w:t>The prevalence of treatment emergent adverse events will be described using summary statistics.</w:t>
      </w:r>
      <w:r w:rsidR="00941DD9">
        <w:rPr>
          <w:b/>
          <w:sz w:val="24"/>
          <w:szCs w:val="24"/>
        </w:rPr>
        <w:t xml:space="preserve">  </w:t>
      </w:r>
      <w:r w:rsidR="004B7399">
        <w:rPr>
          <w:sz w:val="24"/>
          <w:szCs w:val="24"/>
        </w:rPr>
        <w:t>For gene expression analysis, we will designate</w:t>
      </w:r>
      <w:r w:rsidR="00ED7C55" w:rsidRPr="00140622">
        <w:rPr>
          <w:sz w:val="24"/>
          <w:szCs w:val="24"/>
        </w:rPr>
        <w:t xml:space="preserve"> subjects diagnosed with a </w:t>
      </w:r>
      <w:r w:rsidR="00ED7C55" w:rsidRPr="00140622">
        <w:rPr>
          <w:i/>
          <w:sz w:val="24"/>
          <w:szCs w:val="24"/>
        </w:rPr>
        <w:t xml:space="preserve">Candida </w:t>
      </w:r>
      <w:r w:rsidR="00ED7C55" w:rsidRPr="00140622">
        <w:rPr>
          <w:sz w:val="24"/>
          <w:szCs w:val="24"/>
        </w:rPr>
        <w:t>bloodstream infection as case patients and those who remained uninfected and had negative B-D-</w:t>
      </w:r>
      <w:proofErr w:type="spellStart"/>
      <w:r w:rsidR="00ED7C55" w:rsidRPr="00140622">
        <w:rPr>
          <w:sz w:val="24"/>
          <w:szCs w:val="24"/>
        </w:rPr>
        <w:t>glucan</w:t>
      </w:r>
      <w:proofErr w:type="spellEnd"/>
      <w:r w:rsidR="00ED7C55" w:rsidRPr="00140622">
        <w:rPr>
          <w:sz w:val="24"/>
          <w:szCs w:val="24"/>
        </w:rPr>
        <w:t xml:space="preserve"> testing as controls. </w:t>
      </w:r>
      <w:r w:rsidR="004B7399">
        <w:rPr>
          <w:sz w:val="24"/>
          <w:szCs w:val="24"/>
        </w:rPr>
        <w:t xml:space="preserve"> Decision tree analysis</w:t>
      </w:r>
      <w:r w:rsidR="001F0429" w:rsidRPr="00140622">
        <w:rPr>
          <w:sz w:val="24"/>
          <w:szCs w:val="24"/>
        </w:rPr>
        <w:t xml:space="preserve"> will be used to develop predictive signatures for </w:t>
      </w:r>
      <w:proofErr w:type="spellStart"/>
      <w:r w:rsidR="001F0429" w:rsidRPr="00140622">
        <w:rPr>
          <w:sz w:val="24"/>
          <w:szCs w:val="24"/>
        </w:rPr>
        <w:t>candidemia</w:t>
      </w:r>
      <w:proofErr w:type="spellEnd"/>
      <w:r w:rsidR="001F0429" w:rsidRPr="00140622">
        <w:rPr>
          <w:sz w:val="24"/>
          <w:szCs w:val="24"/>
        </w:rPr>
        <w:t xml:space="preserve"> versus no infection. </w:t>
      </w:r>
    </w:p>
    <w:p w:rsidR="000B365C" w:rsidRPr="00140622" w:rsidRDefault="000B365C" w:rsidP="00FC1BDA">
      <w:pPr>
        <w:spacing w:before="0" w:after="0" w:line="480" w:lineRule="auto"/>
        <w:jc w:val="both"/>
        <w:rPr>
          <w:b/>
          <w:sz w:val="24"/>
          <w:szCs w:val="24"/>
        </w:rPr>
      </w:pPr>
    </w:p>
    <w:p w:rsidR="00D156D6" w:rsidRPr="00140622" w:rsidRDefault="00002774" w:rsidP="00FC1BDA">
      <w:pPr>
        <w:spacing w:line="480" w:lineRule="auto"/>
        <w:rPr>
          <w:sz w:val="24"/>
          <w:szCs w:val="24"/>
        </w:rPr>
      </w:pPr>
      <w:bookmarkStart w:id="0" w:name="_Toc1270900"/>
      <w:r w:rsidRPr="00140622">
        <w:rPr>
          <w:sz w:val="24"/>
          <w:szCs w:val="24"/>
        </w:rPr>
        <w:br w:type="page"/>
      </w:r>
    </w:p>
    <w:p w:rsidR="00D156D6" w:rsidRPr="00140622" w:rsidRDefault="00D156D6" w:rsidP="00FC1BDA">
      <w:pPr>
        <w:spacing w:line="480" w:lineRule="auto"/>
        <w:rPr>
          <w:b/>
          <w:sz w:val="24"/>
          <w:szCs w:val="24"/>
        </w:rPr>
      </w:pPr>
      <w:r w:rsidRPr="00140622">
        <w:rPr>
          <w:b/>
          <w:sz w:val="24"/>
          <w:szCs w:val="24"/>
        </w:rPr>
        <w:t>Chart of Study Procedures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4"/>
        <w:gridCol w:w="2150"/>
        <w:gridCol w:w="1467"/>
        <w:gridCol w:w="1197"/>
        <w:gridCol w:w="1646"/>
        <w:gridCol w:w="1447"/>
      </w:tblGrid>
      <w:tr w:rsidR="00932811" w:rsidRPr="00140622" w:rsidTr="00932811">
        <w:tc>
          <w:tcPr>
            <w:tcW w:w="1669" w:type="dxa"/>
            <w:shd w:val="clear" w:color="auto" w:fill="auto"/>
          </w:tcPr>
          <w:p w:rsidR="00D156D6" w:rsidRPr="00932811" w:rsidRDefault="00D156D6" w:rsidP="00932811">
            <w:pPr>
              <w:spacing w:before="0" w:after="0" w:line="480" w:lineRule="auto"/>
              <w:jc w:val="both"/>
              <w:rPr>
                <w:b/>
                <w:sz w:val="24"/>
                <w:szCs w:val="24"/>
              </w:rPr>
            </w:pPr>
            <w:r w:rsidRPr="00932811">
              <w:rPr>
                <w:b/>
                <w:sz w:val="24"/>
                <w:szCs w:val="24"/>
              </w:rPr>
              <w:t>Procedure</w:t>
            </w:r>
          </w:p>
        </w:tc>
        <w:tc>
          <w:tcPr>
            <w:tcW w:w="2150" w:type="dxa"/>
            <w:shd w:val="clear" w:color="auto" w:fill="auto"/>
          </w:tcPr>
          <w:p w:rsidR="00D156D6" w:rsidRPr="00932811" w:rsidRDefault="00D156D6" w:rsidP="00932811">
            <w:pPr>
              <w:spacing w:before="0" w:after="0" w:line="480" w:lineRule="auto"/>
              <w:jc w:val="both"/>
              <w:rPr>
                <w:b/>
                <w:sz w:val="24"/>
                <w:szCs w:val="24"/>
              </w:rPr>
            </w:pPr>
            <w:r w:rsidRPr="00932811">
              <w:rPr>
                <w:b/>
                <w:sz w:val="24"/>
                <w:szCs w:val="24"/>
              </w:rPr>
              <w:t>Screening/Baseline</w:t>
            </w:r>
          </w:p>
        </w:tc>
        <w:tc>
          <w:tcPr>
            <w:tcW w:w="1467" w:type="dxa"/>
            <w:shd w:val="clear" w:color="auto" w:fill="auto"/>
          </w:tcPr>
          <w:p w:rsidR="00D156D6" w:rsidRPr="00932811" w:rsidRDefault="00D156D6" w:rsidP="00932811">
            <w:pPr>
              <w:spacing w:before="0" w:after="0" w:line="480" w:lineRule="auto"/>
              <w:jc w:val="both"/>
              <w:rPr>
                <w:b/>
                <w:sz w:val="24"/>
                <w:szCs w:val="24"/>
              </w:rPr>
            </w:pPr>
            <w:r w:rsidRPr="00932811">
              <w:rPr>
                <w:b/>
                <w:sz w:val="24"/>
                <w:szCs w:val="24"/>
              </w:rPr>
              <w:t>Weekly</w:t>
            </w:r>
          </w:p>
        </w:tc>
        <w:tc>
          <w:tcPr>
            <w:tcW w:w="1197" w:type="dxa"/>
            <w:shd w:val="clear" w:color="auto" w:fill="auto"/>
          </w:tcPr>
          <w:p w:rsidR="00D156D6" w:rsidRPr="00932811" w:rsidRDefault="00D156D6" w:rsidP="00932811">
            <w:pPr>
              <w:spacing w:before="0" w:after="0" w:line="480" w:lineRule="auto"/>
              <w:jc w:val="both"/>
              <w:rPr>
                <w:b/>
                <w:sz w:val="24"/>
                <w:szCs w:val="24"/>
              </w:rPr>
            </w:pPr>
            <w:r w:rsidRPr="00932811">
              <w:rPr>
                <w:b/>
                <w:sz w:val="24"/>
                <w:szCs w:val="24"/>
              </w:rPr>
              <w:t>Bi-weekly</w:t>
            </w:r>
          </w:p>
        </w:tc>
        <w:tc>
          <w:tcPr>
            <w:tcW w:w="1646" w:type="dxa"/>
            <w:shd w:val="clear" w:color="auto" w:fill="auto"/>
          </w:tcPr>
          <w:p w:rsidR="00D156D6" w:rsidRPr="00932811" w:rsidRDefault="00D156D6" w:rsidP="00932811">
            <w:pPr>
              <w:spacing w:before="0" w:after="0" w:line="480" w:lineRule="auto"/>
              <w:jc w:val="both"/>
              <w:rPr>
                <w:b/>
                <w:sz w:val="24"/>
                <w:szCs w:val="24"/>
              </w:rPr>
            </w:pPr>
            <w:r w:rsidRPr="00932811">
              <w:rPr>
                <w:b/>
                <w:sz w:val="24"/>
                <w:szCs w:val="24"/>
              </w:rPr>
              <w:t xml:space="preserve"> Treatment</w:t>
            </w:r>
          </w:p>
        </w:tc>
        <w:tc>
          <w:tcPr>
            <w:tcW w:w="1447" w:type="dxa"/>
            <w:shd w:val="clear" w:color="auto" w:fill="auto"/>
          </w:tcPr>
          <w:p w:rsidR="00D156D6" w:rsidRPr="00932811" w:rsidRDefault="00D156D6" w:rsidP="00932811">
            <w:pPr>
              <w:spacing w:before="0" w:after="0" w:line="480" w:lineRule="auto"/>
              <w:jc w:val="both"/>
              <w:rPr>
                <w:b/>
                <w:sz w:val="24"/>
                <w:szCs w:val="24"/>
              </w:rPr>
            </w:pPr>
            <w:r w:rsidRPr="00932811">
              <w:rPr>
                <w:b/>
                <w:sz w:val="24"/>
                <w:szCs w:val="24"/>
              </w:rPr>
              <w:t>SICU Discharge</w:t>
            </w:r>
          </w:p>
        </w:tc>
      </w:tr>
      <w:tr w:rsidR="00932811" w:rsidRPr="00140622" w:rsidTr="00932811">
        <w:tc>
          <w:tcPr>
            <w:tcW w:w="1669" w:type="dxa"/>
            <w:shd w:val="clear" w:color="auto" w:fill="auto"/>
          </w:tcPr>
          <w:p w:rsidR="00D156D6" w:rsidRPr="00932811" w:rsidRDefault="00D156D6" w:rsidP="00932811">
            <w:pPr>
              <w:spacing w:before="0" w:after="0" w:line="480" w:lineRule="auto"/>
              <w:jc w:val="both"/>
              <w:rPr>
                <w:b/>
                <w:sz w:val="24"/>
                <w:szCs w:val="24"/>
              </w:rPr>
            </w:pPr>
            <w:r w:rsidRPr="00932811">
              <w:rPr>
                <w:b/>
                <w:sz w:val="24"/>
                <w:szCs w:val="24"/>
              </w:rPr>
              <w:t>Informed Consent</w:t>
            </w:r>
          </w:p>
        </w:tc>
        <w:tc>
          <w:tcPr>
            <w:tcW w:w="2150" w:type="dxa"/>
            <w:shd w:val="clear" w:color="auto" w:fill="auto"/>
          </w:tcPr>
          <w:p w:rsidR="00D156D6" w:rsidRPr="00932811" w:rsidRDefault="00D156D6" w:rsidP="00932811">
            <w:pPr>
              <w:spacing w:before="0" w:after="0" w:line="480" w:lineRule="auto"/>
              <w:jc w:val="both"/>
              <w:rPr>
                <w:b/>
                <w:sz w:val="24"/>
                <w:szCs w:val="24"/>
              </w:rPr>
            </w:pPr>
            <w:r w:rsidRPr="00932811">
              <w:rPr>
                <w:b/>
                <w:sz w:val="24"/>
                <w:szCs w:val="24"/>
              </w:rPr>
              <w:t>X</w:t>
            </w:r>
          </w:p>
        </w:tc>
        <w:tc>
          <w:tcPr>
            <w:tcW w:w="1467" w:type="dxa"/>
            <w:shd w:val="clear" w:color="auto" w:fill="auto"/>
          </w:tcPr>
          <w:p w:rsidR="00D156D6" w:rsidRPr="00932811" w:rsidRDefault="00D156D6" w:rsidP="00932811">
            <w:pPr>
              <w:spacing w:before="0" w:after="0" w:line="480" w:lineRule="auto"/>
              <w:jc w:val="both"/>
              <w:rPr>
                <w:b/>
                <w:sz w:val="24"/>
                <w:szCs w:val="24"/>
              </w:rPr>
            </w:pPr>
          </w:p>
        </w:tc>
        <w:tc>
          <w:tcPr>
            <w:tcW w:w="1197" w:type="dxa"/>
            <w:shd w:val="clear" w:color="auto" w:fill="auto"/>
          </w:tcPr>
          <w:p w:rsidR="00D156D6" w:rsidRPr="00932811" w:rsidRDefault="00D156D6" w:rsidP="00932811">
            <w:pPr>
              <w:spacing w:before="0" w:after="0" w:line="480" w:lineRule="auto"/>
              <w:jc w:val="both"/>
              <w:rPr>
                <w:b/>
                <w:sz w:val="24"/>
                <w:szCs w:val="24"/>
              </w:rPr>
            </w:pPr>
          </w:p>
        </w:tc>
        <w:tc>
          <w:tcPr>
            <w:tcW w:w="1646" w:type="dxa"/>
            <w:shd w:val="clear" w:color="auto" w:fill="auto"/>
          </w:tcPr>
          <w:p w:rsidR="00D156D6" w:rsidRPr="00932811" w:rsidRDefault="00D156D6" w:rsidP="00932811">
            <w:pPr>
              <w:spacing w:before="0" w:after="0" w:line="480" w:lineRule="auto"/>
              <w:jc w:val="both"/>
              <w:rPr>
                <w:b/>
                <w:sz w:val="24"/>
                <w:szCs w:val="24"/>
              </w:rPr>
            </w:pPr>
          </w:p>
        </w:tc>
        <w:tc>
          <w:tcPr>
            <w:tcW w:w="1447" w:type="dxa"/>
            <w:shd w:val="clear" w:color="auto" w:fill="auto"/>
          </w:tcPr>
          <w:p w:rsidR="00D156D6" w:rsidRPr="00932811" w:rsidRDefault="00D156D6" w:rsidP="00932811">
            <w:pPr>
              <w:spacing w:before="0" w:after="0" w:line="480" w:lineRule="auto"/>
              <w:jc w:val="both"/>
              <w:rPr>
                <w:b/>
                <w:sz w:val="24"/>
                <w:szCs w:val="24"/>
              </w:rPr>
            </w:pPr>
          </w:p>
        </w:tc>
      </w:tr>
      <w:tr w:rsidR="00932811" w:rsidRPr="00140622" w:rsidTr="00932811">
        <w:tc>
          <w:tcPr>
            <w:tcW w:w="1669" w:type="dxa"/>
            <w:shd w:val="clear" w:color="auto" w:fill="auto"/>
          </w:tcPr>
          <w:p w:rsidR="00D156D6" w:rsidRPr="00932811" w:rsidRDefault="00D156D6" w:rsidP="00932811">
            <w:pPr>
              <w:spacing w:before="0" w:after="0" w:line="480" w:lineRule="auto"/>
              <w:jc w:val="both"/>
              <w:rPr>
                <w:b/>
                <w:sz w:val="24"/>
                <w:szCs w:val="24"/>
              </w:rPr>
            </w:pPr>
            <w:r w:rsidRPr="00932811">
              <w:rPr>
                <w:b/>
                <w:sz w:val="24"/>
                <w:szCs w:val="24"/>
              </w:rPr>
              <w:t>Clinical Information</w:t>
            </w:r>
          </w:p>
        </w:tc>
        <w:tc>
          <w:tcPr>
            <w:tcW w:w="2150" w:type="dxa"/>
            <w:shd w:val="clear" w:color="auto" w:fill="auto"/>
          </w:tcPr>
          <w:p w:rsidR="00D156D6" w:rsidRPr="00932811" w:rsidRDefault="00D156D6" w:rsidP="00932811">
            <w:pPr>
              <w:spacing w:before="0" w:after="0" w:line="480" w:lineRule="auto"/>
              <w:jc w:val="both"/>
              <w:rPr>
                <w:b/>
                <w:sz w:val="24"/>
                <w:szCs w:val="24"/>
                <w:vertAlign w:val="superscript"/>
              </w:rPr>
            </w:pPr>
            <w:proofErr w:type="spellStart"/>
            <w:r w:rsidRPr="00932811">
              <w:rPr>
                <w:b/>
                <w:sz w:val="24"/>
                <w:szCs w:val="24"/>
              </w:rPr>
              <w:t>X</w:t>
            </w:r>
            <w:r w:rsidRPr="00932811">
              <w:rPr>
                <w:b/>
                <w:sz w:val="24"/>
                <w:szCs w:val="24"/>
                <w:vertAlign w:val="superscript"/>
              </w:rPr>
              <w:t>a</w:t>
            </w:r>
            <w:proofErr w:type="spellEnd"/>
          </w:p>
        </w:tc>
        <w:tc>
          <w:tcPr>
            <w:tcW w:w="1467" w:type="dxa"/>
            <w:shd w:val="clear" w:color="auto" w:fill="auto"/>
          </w:tcPr>
          <w:p w:rsidR="00D156D6" w:rsidRPr="00932811" w:rsidRDefault="00D156D6" w:rsidP="00932811">
            <w:pPr>
              <w:spacing w:before="0" w:after="0" w:line="480" w:lineRule="auto"/>
              <w:jc w:val="both"/>
              <w:rPr>
                <w:b/>
                <w:sz w:val="24"/>
                <w:szCs w:val="24"/>
                <w:vertAlign w:val="superscript"/>
              </w:rPr>
            </w:pPr>
            <w:proofErr w:type="spellStart"/>
            <w:r w:rsidRPr="00932811">
              <w:rPr>
                <w:b/>
                <w:sz w:val="24"/>
                <w:szCs w:val="24"/>
              </w:rPr>
              <w:t>X</w:t>
            </w:r>
            <w:r w:rsidRPr="00932811">
              <w:rPr>
                <w:b/>
                <w:sz w:val="24"/>
                <w:szCs w:val="24"/>
                <w:vertAlign w:val="superscript"/>
              </w:rPr>
              <w:t>a</w:t>
            </w:r>
            <w:proofErr w:type="spellEnd"/>
          </w:p>
        </w:tc>
        <w:tc>
          <w:tcPr>
            <w:tcW w:w="1197" w:type="dxa"/>
            <w:shd w:val="clear" w:color="auto" w:fill="auto"/>
          </w:tcPr>
          <w:p w:rsidR="00D156D6" w:rsidRPr="00932811" w:rsidRDefault="00D156D6" w:rsidP="00932811">
            <w:pPr>
              <w:spacing w:before="0" w:after="0" w:line="480" w:lineRule="auto"/>
              <w:jc w:val="both"/>
              <w:rPr>
                <w:b/>
                <w:sz w:val="24"/>
                <w:szCs w:val="24"/>
              </w:rPr>
            </w:pPr>
          </w:p>
        </w:tc>
        <w:tc>
          <w:tcPr>
            <w:tcW w:w="1646" w:type="dxa"/>
            <w:shd w:val="clear" w:color="auto" w:fill="auto"/>
          </w:tcPr>
          <w:p w:rsidR="00D156D6" w:rsidRPr="00932811" w:rsidRDefault="00D156D6" w:rsidP="00932811">
            <w:pPr>
              <w:spacing w:before="0" w:after="0" w:line="480" w:lineRule="auto"/>
              <w:jc w:val="both"/>
              <w:rPr>
                <w:b/>
                <w:sz w:val="24"/>
                <w:szCs w:val="24"/>
              </w:rPr>
            </w:pPr>
          </w:p>
        </w:tc>
        <w:tc>
          <w:tcPr>
            <w:tcW w:w="1447" w:type="dxa"/>
            <w:shd w:val="clear" w:color="auto" w:fill="auto"/>
          </w:tcPr>
          <w:p w:rsidR="00D156D6" w:rsidRPr="00932811" w:rsidRDefault="00D156D6" w:rsidP="00932811">
            <w:pPr>
              <w:spacing w:before="0" w:after="0" w:line="480" w:lineRule="auto"/>
              <w:jc w:val="both"/>
              <w:rPr>
                <w:b/>
                <w:sz w:val="24"/>
                <w:szCs w:val="24"/>
              </w:rPr>
            </w:pPr>
          </w:p>
        </w:tc>
      </w:tr>
      <w:tr w:rsidR="00932811" w:rsidRPr="00140622" w:rsidTr="00932811">
        <w:tc>
          <w:tcPr>
            <w:tcW w:w="1669" w:type="dxa"/>
            <w:shd w:val="clear" w:color="auto" w:fill="auto"/>
          </w:tcPr>
          <w:p w:rsidR="00D156D6" w:rsidRPr="00932811" w:rsidRDefault="00D156D6" w:rsidP="00932811">
            <w:pPr>
              <w:spacing w:before="0" w:after="0" w:line="480" w:lineRule="auto"/>
              <w:jc w:val="both"/>
              <w:rPr>
                <w:b/>
                <w:sz w:val="24"/>
                <w:szCs w:val="24"/>
              </w:rPr>
            </w:pPr>
            <w:r w:rsidRPr="00932811">
              <w:rPr>
                <w:b/>
                <w:sz w:val="24"/>
                <w:szCs w:val="24"/>
              </w:rPr>
              <w:t>Physical Examination</w:t>
            </w:r>
          </w:p>
        </w:tc>
        <w:tc>
          <w:tcPr>
            <w:tcW w:w="2150" w:type="dxa"/>
            <w:shd w:val="clear" w:color="auto" w:fill="auto"/>
          </w:tcPr>
          <w:p w:rsidR="00D156D6" w:rsidRPr="00932811" w:rsidRDefault="00D156D6" w:rsidP="00932811">
            <w:pPr>
              <w:spacing w:before="0" w:after="0" w:line="480" w:lineRule="auto"/>
              <w:jc w:val="both"/>
              <w:rPr>
                <w:b/>
                <w:sz w:val="24"/>
                <w:szCs w:val="24"/>
              </w:rPr>
            </w:pPr>
            <w:r w:rsidRPr="00932811">
              <w:rPr>
                <w:b/>
                <w:sz w:val="24"/>
                <w:szCs w:val="24"/>
              </w:rPr>
              <w:t>X</w:t>
            </w:r>
          </w:p>
        </w:tc>
        <w:tc>
          <w:tcPr>
            <w:tcW w:w="1467" w:type="dxa"/>
            <w:shd w:val="clear" w:color="auto" w:fill="auto"/>
          </w:tcPr>
          <w:p w:rsidR="00D156D6" w:rsidRPr="00932811" w:rsidRDefault="00D156D6" w:rsidP="00932811">
            <w:pPr>
              <w:spacing w:before="0" w:after="0" w:line="480" w:lineRule="auto"/>
              <w:jc w:val="both"/>
              <w:rPr>
                <w:b/>
                <w:sz w:val="24"/>
                <w:szCs w:val="24"/>
              </w:rPr>
            </w:pPr>
          </w:p>
        </w:tc>
        <w:tc>
          <w:tcPr>
            <w:tcW w:w="1197" w:type="dxa"/>
            <w:shd w:val="clear" w:color="auto" w:fill="auto"/>
          </w:tcPr>
          <w:p w:rsidR="00D156D6" w:rsidRPr="00932811" w:rsidRDefault="00D156D6" w:rsidP="00932811">
            <w:pPr>
              <w:spacing w:before="0" w:after="0" w:line="480" w:lineRule="auto"/>
              <w:jc w:val="both"/>
              <w:rPr>
                <w:b/>
                <w:sz w:val="24"/>
                <w:szCs w:val="24"/>
              </w:rPr>
            </w:pPr>
          </w:p>
        </w:tc>
        <w:tc>
          <w:tcPr>
            <w:tcW w:w="1646" w:type="dxa"/>
            <w:shd w:val="clear" w:color="auto" w:fill="auto"/>
          </w:tcPr>
          <w:p w:rsidR="00D156D6" w:rsidRPr="00932811" w:rsidRDefault="00D156D6" w:rsidP="00932811">
            <w:pPr>
              <w:spacing w:before="0" w:after="0" w:line="480" w:lineRule="auto"/>
              <w:jc w:val="both"/>
              <w:rPr>
                <w:b/>
                <w:sz w:val="24"/>
                <w:szCs w:val="24"/>
                <w:vertAlign w:val="superscript"/>
              </w:rPr>
            </w:pPr>
            <w:proofErr w:type="spellStart"/>
            <w:r w:rsidRPr="00932811">
              <w:rPr>
                <w:b/>
                <w:sz w:val="24"/>
                <w:szCs w:val="24"/>
              </w:rPr>
              <w:t>X</w:t>
            </w:r>
            <w:r w:rsidRPr="00932811">
              <w:rPr>
                <w:b/>
                <w:sz w:val="24"/>
                <w:szCs w:val="24"/>
                <w:vertAlign w:val="superscript"/>
              </w:rPr>
              <w:t>b</w:t>
            </w:r>
            <w:proofErr w:type="spellEnd"/>
          </w:p>
        </w:tc>
        <w:tc>
          <w:tcPr>
            <w:tcW w:w="1447" w:type="dxa"/>
            <w:shd w:val="clear" w:color="auto" w:fill="auto"/>
          </w:tcPr>
          <w:p w:rsidR="00D156D6" w:rsidRPr="00932811" w:rsidRDefault="00D156D6" w:rsidP="00932811">
            <w:pPr>
              <w:spacing w:before="0" w:after="0" w:line="480" w:lineRule="auto"/>
              <w:jc w:val="both"/>
              <w:rPr>
                <w:b/>
                <w:sz w:val="24"/>
                <w:szCs w:val="24"/>
              </w:rPr>
            </w:pPr>
          </w:p>
        </w:tc>
      </w:tr>
      <w:tr w:rsidR="00932811" w:rsidRPr="00140622" w:rsidTr="00932811">
        <w:tc>
          <w:tcPr>
            <w:tcW w:w="1669" w:type="dxa"/>
            <w:shd w:val="clear" w:color="auto" w:fill="auto"/>
          </w:tcPr>
          <w:p w:rsidR="00D156D6" w:rsidRPr="00932811" w:rsidRDefault="00D156D6" w:rsidP="00932811">
            <w:pPr>
              <w:spacing w:before="0" w:after="0" w:line="480" w:lineRule="auto"/>
              <w:jc w:val="both"/>
              <w:rPr>
                <w:b/>
                <w:sz w:val="24"/>
                <w:szCs w:val="24"/>
              </w:rPr>
            </w:pPr>
            <w:r w:rsidRPr="00932811">
              <w:rPr>
                <w:b/>
                <w:sz w:val="24"/>
                <w:szCs w:val="24"/>
              </w:rPr>
              <w:t>APACHE II</w:t>
            </w:r>
            <w:r w:rsidR="004E7A54" w:rsidRPr="00932811">
              <w:rPr>
                <w:b/>
                <w:sz w:val="24"/>
                <w:szCs w:val="24"/>
              </w:rPr>
              <w:t xml:space="preserve"> Score Assessment</w:t>
            </w:r>
          </w:p>
        </w:tc>
        <w:tc>
          <w:tcPr>
            <w:tcW w:w="2150" w:type="dxa"/>
            <w:shd w:val="clear" w:color="auto" w:fill="auto"/>
          </w:tcPr>
          <w:p w:rsidR="00D156D6" w:rsidRPr="00932811" w:rsidRDefault="00D156D6" w:rsidP="00932811">
            <w:pPr>
              <w:spacing w:before="0" w:after="0" w:line="480" w:lineRule="auto"/>
              <w:jc w:val="both"/>
              <w:rPr>
                <w:b/>
                <w:sz w:val="24"/>
                <w:szCs w:val="24"/>
              </w:rPr>
            </w:pPr>
            <w:r w:rsidRPr="00932811">
              <w:rPr>
                <w:b/>
                <w:sz w:val="24"/>
                <w:szCs w:val="24"/>
              </w:rPr>
              <w:t>X</w:t>
            </w:r>
          </w:p>
        </w:tc>
        <w:tc>
          <w:tcPr>
            <w:tcW w:w="1467" w:type="dxa"/>
            <w:shd w:val="clear" w:color="auto" w:fill="auto"/>
          </w:tcPr>
          <w:p w:rsidR="00D156D6" w:rsidRPr="00932811" w:rsidRDefault="00D156D6" w:rsidP="00932811">
            <w:pPr>
              <w:spacing w:before="0" w:after="0" w:line="480" w:lineRule="auto"/>
              <w:jc w:val="both"/>
              <w:rPr>
                <w:b/>
                <w:sz w:val="24"/>
                <w:szCs w:val="24"/>
              </w:rPr>
            </w:pPr>
          </w:p>
        </w:tc>
        <w:tc>
          <w:tcPr>
            <w:tcW w:w="1197" w:type="dxa"/>
            <w:shd w:val="clear" w:color="auto" w:fill="auto"/>
          </w:tcPr>
          <w:p w:rsidR="00D156D6" w:rsidRPr="00932811" w:rsidRDefault="00D156D6" w:rsidP="00932811">
            <w:pPr>
              <w:spacing w:before="0" w:after="0" w:line="480" w:lineRule="auto"/>
              <w:jc w:val="both"/>
              <w:rPr>
                <w:b/>
                <w:sz w:val="24"/>
                <w:szCs w:val="24"/>
              </w:rPr>
            </w:pPr>
          </w:p>
        </w:tc>
        <w:tc>
          <w:tcPr>
            <w:tcW w:w="1646" w:type="dxa"/>
            <w:shd w:val="clear" w:color="auto" w:fill="auto"/>
          </w:tcPr>
          <w:p w:rsidR="00D156D6" w:rsidRPr="00932811" w:rsidRDefault="00D156D6" w:rsidP="00932811">
            <w:pPr>
              <w:spacing w:before="0" w:after="0" w:line="480" w:lineRule="auto"/>
              <w:jc w:val="both"/>
              <w:rPr>
                <w:b/>
                <w:sz w:val="24"/>
                <w:szCs w:val="24"/>
              </w:rPr>
            </w:pPr>
            <w:r w:rsidRPr="00932811">
              <w:rPr>
                <w:b/>
                <w:sz w:val="24"/>
                <w:szCs w:val="24"/>
              </w:rPr>
              <w:t>X</w:t>
            </w:r>
          </w:p>
        </w:tc>
        <w:tc>
          <w:tcPr>
            <w:tcW w:w="1447" w:type="dxa"/>
            <w:shd w:val="clear" w:color="auto" w:fill="auto"/>
          </w:tcPr>
          <w:p w:rsidR="00D156D6" w:rsidRPr="00932811" w:rsidRDefault="00D156D6" w:rsidP="00932811">
            <w:pPr>
              <w:spacing w:before="0" w:after="0" w:line="480" w:lineRule="auto"/>
              <w:jc w:val="both"/>
              <w:rPr>
                <w:b/>
                <w:sz w:val="24"/>
                <w:szCs w:val="24"/>
              </w:rPr>
            </w:pPr>
          </w:p>
        </w:tc>
      </w:tr>
      <w:tr w:rsidR="00932811" w:rsidRPr="00140622" w:rsidTr="00932811">
        <w:tc>
          <w:tcPr>
            <w:tcW w:w="1669" w:type="dxa"/>
            <w:shd w:val="clear" w:color="auto" w:fill="auto"/>
          </w:tcPr>
          <w:p w:rsidR="00D156D6" w:rsidRPr="00932811" w:rsidRDefault="00D156D6" w:rsidP="00932811">
            <w:pPr>
              <w:spacing w:before="0" w:after="0" w:line="480" w:lineRule="auto"/>
              <w:jc w:val="both"/>
              <w:rPr>
                <w:b/>
                <w:sz w:val="24"/>
                <w:szCs w:val="24"/>
                <w:vertAlign w:val="superscript"/>
              </w:rPr>
            </w:pPr>
            <w:r w:rsidRPr="00932811">
              <w:rPr>
                <w:b/>
                <w:sz w:val="24"/>
                <w:szCs w:val="24"/>
              </w:rPr>
              <w:t xml:space="preserve">IFI </w:t>
            </w:r>
            <w:proofErr w:type="spellStart"/>
            <w:r w:rsidRPr="00932811">
              <w:rPr>
                <w:b/>
                <w:sz w:val="24"/>
                <w:szCs w:val="24"/>
              </w:rPr>
              <w:t>Assessment</w:t>
            </w:r>
            <w:r w:rsidRPr="00932811">
              <w:rPr>
                <w:b/>
                <w:sz w:val="24"/>
                <w:szCs w:val="24"/>
                <w:vertAlign w:val="superscript"/>
              </w:rPr>
              <w:t>c</w:t>
            </w:r>
            <w:proofErr w:type="spellEnd"/>
          </w:p>
        </w:tc>
        <w:tc>
          <w:tcPr>
            <w:tcW w:w="2150" w:type="dxa"/>
            <w:shd w:val="clear" w:color="auto" w:fill="auto"/>
          </w:tcPr>
          <w:p w:rsidR="00D156D6" w:rsidRPr="00932811" w:rsidRDefault="00D156D6" w:rsidP="00932811">
            <w:pPr>
              <w:spacing w:before="0" w:after="0" w:line="480" w:lineRule="auto"/>
              <w:jc w:val="both"/>
              <w:rPr>
                <w:b/>
                <w:sz w:val="24"/>
                <w:szCs w:val="24"/>
              </w:rPr>
            </w:pPr>
            <w:r w:rsidRPr="00932811">
              <w:rPr>
                <w:b/>
                <w:sz w:val="24"/>
                <w:szCs w:val="24"/>
              </w:rPr>
              <w:t>X</w:t>
            </w:r>
          </w:p>
        </w:tc>
        <w:tc>
          <w:tcPr>
            <w:tcW w:w="1467" w:type="dxa"/>
            <w:shd w:val="clear" w:color="auto" w:fill="auto"/>
          </w:tcPr>
          <w:p w:rsidR="00D156D6" w:rsidRPr="00932811" w:rsidRDefault="00D156D6" w:rsidP="00932811">
            <w:pPr>
              <w:spacing w:before="0" w:after="0" w:line="480" w:lineRule="auto"/>
              <w:jc w:val="both"/>
              <w:rPr>
                <w:b/>
                <w:sz w:val="24"/>
                <w:szCs w:val="24"/>
              </w:rPr>
            </w:pPr>
            <w:r w:rsidRPr="00932811">
              <w:rPr>
                <w:b/>
                <w:sz w:val="24"/>
                <w:szCs w:val="24"/>
              </w:rPr>
              <w:t>X</w:t>
            </w:r>
          </w:p>
        </w:tc>
        <w:tc>
          <w:tcPr>
            <w:tcW w:w="1197" w:type="dxa"/>
            <w:shd w:val="clear" w:color="auto" w:fill="auto"/>
          </w:tcPr>
          <w:p w:rsidR="00D156D6" w:rsidRPr="00932811" w:rsidRDefault="00D156D6" w:rsidP="00932811">
            <w:pPr>
              <w:spacing w:before="0" w:after="0" w:line="480" w:lineRule="auto"/>
              <w:jc w:val="both"/>
              <w:rPr>
                <w:b/>
                <w:sz w:val="24"/>
                <w:szCs w:val="24"/>
              </w:rPr>
            </w:pPr>
          </w:p>
        </w:tc>
        <w:tc>
          <w:tcPr>
            <w:tcW w:w="1646" w:type="dxa"/>
            <w:shd w:val="clear" w:color="auto" w:fill="auto"/>
          </w:tcPr>
          <w:p w:rsidR="00D156D6" w:rsidRPr="00932811" w:rsidRDefault="00D156D6" w:rsidP="00932811">
            <w:pPr>
              <w:spacing w:before="0" w:after="0" w:line="480" w:lineRule="auto"/>
              <w:jc w:val="both"/>
              <w:rPr>
                <w:b/>
                <w:sz w:val="24"/>
                <w:szCs w:val="24"/>
              </w:rPr>
            </w:pPr>
          </w:p>
        </w:tc>
        <w:tc>
          <w:tcPr>
            <w:tcW w:w="1447" w:type="dxa"/>
            <w:shd w:val="clear" w:color="auto" w:fill="auto"/>
          </w:tcPr>
          <w:p w:rsidR="00D156D6" w:rsidRPr="00932811" w:rsidRDefault="00D156D6" w:rsidP="00932811">
            <w:pPr>
              <w:spacing w:before="0" w:after="0" w:line="480" w:lineRule="auto"/>
              <w:jc w:val="both"/>
              <w:rPr>
                <w:b/>
                <w:sz w:val="24"/>
                <w:szCs w:val="24"/>
              </w:rPr>
            </w:pPr>
            <w:r w:rsidRPr="00932811">
              <w:rPr>
                <w:b/>
                <w:sz w:val="24"/>
                <w:szCs w:val="24"/>
              </w:rPr>
              <w:t>X</w:t>
            </w:r>
          </w:p>
        </w:tc>
      </w:tr>
      <w:tr w:rsidR="00932811" w:rsidRPr="00140622" w:rsidTr="00932811">
        <w:tc>
          <w:tcPr>
            <w:tcW w:w="1669" w:type="dxa"/>
            <w:shd w:val="clear" w:color="auto" w:fill="auto"/>
          </w:tcPr>
          <w:p w:rsidR="00D156D6" w:rsidRPr="00932811" w:rsidRDefault="00D156D6" w:rsidP="00932811">
            <w:pPr>
              <w:spacing w:before="0" w:after="0" w:line="480" w:lineRule="auto"/>
              <w:jc w:val="both"/>
              <w:rPr>
                <w:b/>
                <w:sz w:val="24"/>
                <w:szCs w:val="24"/>
              </w:rPr>
            </w:pPr>
            <w:r w:rsidRPr="00932811">
              <w:rPr>
                <w:b/>
                <w:sz w:val="24"/>
                <w:szCs w:val="24"/>
              </w:rPr>
              <w:t>Medication Review</w:t>
            </w:r>
          </w:p>
        </w:tc>
        <w:tc>
          <w:tcPr>
            <w:tcW w:w="2150" w:type="dxa"/>
            <w:shd w:val="clear" w:color="auto" w:fill="auto"/>
          </w:tcPr>
          <w:p w:rsidR="00D156D6" w:rsidRPr="00932811" w:rsidRDefault="00D156D6" w:rsidP="00932811">
            <w:pPr>
              <w:spacing w:before="0" w:after="0" w:line="480" w:lineRule="auto"/>
              <w:jc w:val="both"/>
              <w:rPr>
                <w:b/>
                <w:sz w:val="24"/>
                <w:szCs w:val="24"/>
              </w:rPr>
            </w:pPr>
            <w:r w:rsidRPr="00932811">
              <w:rPr>
                <w:b/>
                <w:sz w:val="24"/>
                <w:szCs w:val="24"/>
              </w:rPr>
              <w:t>X</w:t>
            </w:r>
          </w:p>
        </w:tc>
        <w:tc>
          <w:tcPr>
            <w:tcW w:w="1467" w:type="dxa"/>
            <w:shd w:val="clear" w:color="auto" w:fill="auto"/>
          </w:tcPr>
          <w:p w:rsidR="00D156D6" w:rsidRPr="00932811" w:rsidRDefault="00D156D6" w:rsidP="00932811">
            <w:pPr>
              <w:spacing w:before="0" w:after="0" w:line="480" w:lineRule="auto"/>
              <w:jc w:val="both"/>
              <w:rPr>
                <w:b/>
                <w:sz w:val="24"/>
                <w:szCs w:val="24"/>
              </w:rPr>
            </w:pPr>
            <w:r w:rsidRPr="00932811">
              <w:rPr>
                <w:b/>
                <w:sz w:val="24"/>
                <w:szCs w:val="24"/>
              </w:rPr>
              <w:t>X</w:t>
            </w:r>
          </w:p>
        </w:tc>
        <w:tc>
          <w:tcPr>
            <w:tcW w:w="1197" w:type="dxa"/>
            <w:shd w:val="clear" w:color="auto" w:fill="auto"/>
          </w:tcPr>
          <w:p w:rsidR="00D156D6" w:rsidRPr="00932811" w:rsidRDefault="00D156D6" w:rsidP="00932811">
            <w:pPr>
              <w:spacing w:before="0" w:after="0" w:line="480" w:lineRule="auto"/>
              <w:jc w:val="both"/>
              <w:rPr>
                <w:b/>
                <w:sz w:val="24"/>
                <w:szCs w:val="24"/>
              </w:rPr>
            </w:pPr>
          </w:p>
        </w:tc>
        <w:tc>
          <w:tcPr>
            <w:tcW w:w="1646" w:type="dxa"/>
            <w:shd w:val="clear" w:color="auto" w:fill="auto"/>
          </w:tcPr>
          <w:p w:rsidR="00D156D6" w:rsidRPr="00932811" w:rsidRDefault="00D156D6" w:rsidP="00932811">
            <w:pPr>
              <w:spacing w:before="0" w:after="0" w:line="480" w:lineRule="auto"/>
              <w:jc w:val="both"/>
              <w:rPr>
                <w:b/>
                <w:sz w:val="24"/>
                <w:szCs w:val="24"/>
              </w:rPr>
            </w:pPr>
          </w:p>
        </w:tc>
        <w:tc>
          <w:tcPr>
            <w:tcW w:w="1447" w:type="dxa"/>
            <w:shd w:val="clear" w:color="auto" w:fill="auto"/>
          </w:tcPr>
          <w:p w:rsidR="00D156D6" w:rsidRPr="00932811" w:rsidRDefault="00D156D6" w:rsidP="00932811">
            <w:pPr>
              <w:spacing w:before="0" w:after="0" w:line="480" w:lineRule="auto"/>
              <w:jc w:val="both"/>
              <w:rPr>
                <w:b/>
                <w:sz w:val="24"/>
                <w:szCs w:val="24"/>
              </w:rPr>
            </w:pPr>
          </w:p>
        </w:tc>
      </w:tr>
      <w:tr w:rsidR="00932811" w:rsidRPr="00140622" w:rsidTr="00932811">
        <w:tc>
          <w:tcPr>
            <w:tcW w:w="1669" w:type="dxa"/>
            <w:shd w:val="clear" w:color="auto" w:fill="auto"/>
          </w:tcPr>
          <w:p w:rsidR="00D156D6" w:rsidRPr="00932811" w:rsidRDefault="00D156D6" w:rsidP="00932811">
            <w:pPr>
              <w:spacing w:before="0" w:after="0" w:line="480" w:lineRule="auto"/>
              <w:jc w:val="both"/>
              <w:rPr>
                <w:b/>
                <w:sz w:val="24"/>
                <w:szCs w:val="24"/>
              </w:rPr>
            </w:pPr>
            <w:r w:rsidRPr="00932811">
              <w:rPr>
                <w:b/>
                <w:sz w:val="24"/>
                <w:szCs w:val="24"/>
              </w:rPr>
              <w:t>Β-D-</w:t>
            </w:r>
            <w:proofErr w:type="spellStart"/>
            <w:r w:rsidRPr="00932811">
              <w:rPr>
                <w:b/>
                <w:sz w:val="24"/>
                <w:szCs w:val="24"/>
              </w:rPr>
              <w:t>Glucan</w:t>
            </w:r>
            <w:r w:rsidRPr="00932811">
              <w:rPr>
                <w:b/>
                <w:sz w:val="24"/>
                <w:szCs w:val="24"/>
                <w:vertAlign w:val="superscript"/>
              </w:rPr>
              <w:t>d</w:t>
            </w:r>
            <w:proofErr w:type="spellEnd"/>
          </w:p>
        </w:tc>
        <w:tc>
          <w:tcPr>
            <w:tcW w:w="2150" w:type="dxa"/>
            <w:shd w:val="clear" w:color="auto" w:fill="auto"/>
          </w:tcPr>
          <w:p w:rsidR="00D156D6" w:rsidRPr="00932811" w:rsidRDefault="00D156D6" w:rsidP="00932811">
            <w:pPr>
              <w:spacing w:before="0" w:after="0" w:line="480" w:lineRule="auto"/>
              <w:jc w:val="both"/>
              <w:rPr>
                <w:b/>
                <w:sz w:val="24"/>
                <w:szCs w:val="24"/>
              </w:rPr>
            </w:pPr>
            <w:r w:rsidRPr="00932811">
              <w:rPr>
                <w:b/>
                <w:sz w:val="24"/>
                <w:szCs w:val="24"/>
              </w:rPr>
              <w:t>X</w:t>
            </w:r>
          </w:p>
        </w:tc>
        <w:tc>
          <w:tcPr>
            <w:tcW w:w="1467" w:type="dxa"/>
            <w:shd w:val="clear" w:color="auto" w:fill="auto"/>
          </w:tcPr>
          <w:p w:rsidR="00D156D6" w:rsidRPr="00932811" w:rsidRDefault="00D156D6" w:rsidP="00932811">
            <w:pPr>
              <w:spacing w:before="0" w:after="0" w:line="480" w:lineRule="auto"/>
              <w:jc w:val="both"/>
              <w:rPr>
                <w:b/>
                <w:sz w:val="24"/>
                <w:szCs w:val="24"/>
              </w:rPr>
            </w:pPr>
          </w:p>
        </w:tc>
        <w:tc>
          <w:tcPr>
            <w:tcW w:w="1197" w:type="dxa"/>
            <w:shd w:val="clear" w:color="auto" w:fill="auto"/>
          </w:tcPr>
          <w:p w:rsidR="00D156D6" w:rsidRPr="00932811" w:rsidRDefault="00D156D6" w:rsidP="00932811">
            <w:pPr>
              <w:spacing w:before="0" w:after="0" w:line="480" w:lineRule="auto"/>
              <w:jc w:val="both"/>
              <w:rPr>
                <w:b/>
                <w:sz w:val="24"/>
                <w:szCs w:val="24"/>
              </w:rPr>
            </w:pPr>
            <w:r w:rsidRPr="00932811">
              <w:rPr>
                <w:b/>
                <w:sz w:val="24"/>
                <w:szCs w:val="24"/>
              </w:rPr>
              <w:t>X</w:t>
            </w:r>
          </w:p>
        </w:tc>
        <w:tc>
          <w:tcPr>
            <w:tcW w:w="1646" w:type="dxa"/>
            <w:shd w:val="clear" w:color="auto" w:fill="auto"/>
          </w:tcPr>
          <w:p w:rsidR="00D156D6" w:rsidRPr="00932811" w:rsidRDefault="004E7A54" w:rsidP="00932811">
            <w:pPr>
              <w:spacing w:before="0" w:after="0" w:line="480" w:lineRule="auto"/>
              <w:jc w:val="both"/>
              <w:rPr>
                <w:b/>
                <w:sz w:val="24"/>
                <w:szCs w:val="24"/>
              </w:rPr>
            </w:pPr>
            <w:r w:rsidRPr="00932811">
              <w:rPr>
                <w:b/>
                <w:sz w:val="24"/>
                <w:szCs w:val="24"/>
              </w:rPr>
              <w:t>X</w:t>
            </w:r>
          </w:p>
        </w:tc>
        <w:tc>
          <w:tcPr>
            <w:tcW w:w="1447" w:type="dxa"/>
            <w:shd w:val="clear" w:color="auto" w:fill="auto"/>
          </w:tcPr>
          <w:p w:rsidR="00D156D6" w:rsidRPr="00932811" w:rsidRDefault="00D156D6" w:rsidP="00932811">
            <w:pPr>
              <w:spacing w:before="0" w:after="0" w:line="480" w:lineRule="auto"/>
              <w:jc w:val="both"/>
              <w:rPr>
                <w:b/>
                <w:sz w:val="24"/>
                <w:szCs w:val="24"/>
              </w:rPr>
            </w:pPr>
          </w:p>
        </w:tc>
      </w:tr>
      <w:tr w:rsidR="00932811" w:rsidRPr="00140622" w:rsidTr="00932811">
        <w:tc>
          <w:tcPr>
            <w:tcW w:w="1669" w:type="dxa"/>
            <w:shd w:val="clear" w:color="auto" w:fill="auto"/>
          </w:tcPr>
          <w:p w:rsidR="00D156D6" w:rsidRPr="00932811" w:rsidRDefault="00D156D6" w:rsidP="00932811">
            <w:pPr>
              <w:spacing w:before="0" w:after="0" w:line="480" w:lineRule="auto"/>
              <w:jc w:val="both"/>
              <w:rPr>
                <w:b/>
                <w:sz w:val="24"/>
                <w:szCs w:val="24"/>
                <w:vertAlign w:val="superscript"/>
              </w:rPr>
            </w:pPr>
            <w:r w:rsidRPr="00932811">
              <w:rPr>
                <w:b/>
                <w:sz w:val="24"/>
                <w:szCs w:val="24"/>
              </w:rPr>
              <w:t xml:space="preserve">Fungal </w:t>
            </w:r>
            <w:proofErr w:type="spellStart"/>
            <w:r w:rsidRPr="00932811">
              <w:rPr>
                <w:b/>
                <w:sz w:val="24"/>
                <w:szCs w:val="24"/>
              </w:rPr>
              <w:t>Culture</w:t>
            </w:r>
            <w:r w:rsidRPr="00932811">
              <w:rPr>
                <w:b/>
                <w:sz w:val="24"/>
                <w:szCs w:val="24"/>
                <w:vertAlign w:val="superscript"/>
              </w:rPr>
              <w:t>e</w:t>
            </w:r>
            <w:proofErr w:type="spellEnd"/>
          </w:p>
        </w:tc>
        <w:tc>
          <w:tcPr>
            <w:tcW w:w="2150" w:type="dxa"/>
            <w:shd w:val="clear" w:color="auto" w:fill="auto"/>
          </w:tcPr>
          <w:p w:rsidR="00D156D6" w:rsidRPr="00932811" w:rsidRDefault="00D156D6" w:rsidP="00932811">
            <w:pPr>
              <w:spacing w:before="0" w:after="0" w:line="480" w:lineRule="auto"/>
              <w:jc w:val="both"/>
              <w:rPr>
                <w:b/>
                <w:sz w:val="24"/>
                <w:szCs w:val="24"/>
              </w:rPr>
            </w:pPr>
            <w:r w:rsidRPr="00932811">
              <w:rPr>
                <w:b/>
                <w:sz w:val="24"/>
                <w:szCs w:val="24"/>
              </w:rPr>
              <w:t>X</w:t>
            </w:r>
          </w:p>
        </w:tc>
        <w:tc>
          <w:tcPr>
            <w:tcW w:w="1467" w:type="dxa"/>
            <w:shd w:val="clear" w:color="auto" w:fill="auto"/>
          </w:tcPr>
          <w:p w:rsidR="00D156D6" w:rsidRPr="00932811" w:rsidRDefault="00D156D6" w:rsidP="00932811">
            <w:pPr>
              <w:spacing w:before="0" w:after="0" w:line="480" w:lineRule="auto"/>
              <w:jc w:val="both"/>
              <w:rPr>
                <w:b/>
                <w:sz w:val="24"/>
                <w:szCs w:val="24"/>
              </w:rPr>
            </w:pPr>
          </w:p>
        </w:tc>
        <w:tc>
          <w:tcPr>
            <w:tcW w:w="1197" w:type="dxa"/>
            <w:shd w:val="clear" w:color="auto" w:fill="auto"/>
          </w:tcPr>
          <w:p w:rsidR="00D156D6" w:rsidRPr="00932811" w:rsidRDefault="00D156D6" w:rsidP="00932811">
            <w:pPr>
              <w:spacing w:before="0" w:after="0" w:line="480" w:lineRule="auto"/>
              <w:jc w:val="both"/>
              <w:rPr>
                <w:b/>
                <w:sz w:val="24"/>
                <w:szCs w:val="24"/>
              </w:rPr>
            </w:pPr>
          </w:p>
        </w:tc>
        <w:tc>
          <w:tcPr>
            <w:tcW w:w="1646" w:type="dxa"/>
            <w:shd w:val="clear" w:color="auto" w:fill="auto"/>
          </w:tcPr>
          <w:p w:rsidR="00D156D6" w:rsidRPr="00932811" w:rsidRDefault="00D156D6" w:rsidP="00932811">
            <w:pPr>
              <w:spacing w:before="0" w:after="0" w:line="480" w:lineRule="auto"/>
              <w:jc w:val="both"/>
              <w:rPr>
                <w:b/>
                <w:sz w:val="24"/>
                <w:szCs w:val="24"/>
                <w:vertAlign w:val="superscript"/>
              </w:rPr>
            </w:pPr>
            <w:r w:rsidRPr="00932811">
              <w:rPr>
                <w:b/>
                <w:sz w:val="24"/>
                <w:szCs w:val="24"/>
              </w:rPr>
              <w:t>X</w:t>
            </w:r>
          </w:p>
        </w:tc>
        <w:tc>
          <w:tcPr>
            <w:tcW w:w="1447" w:type="dxa"/>
            <w:shd w:val="clear" w:color="auto" w:fill="auto"/>
          </w:tcPr>
          <w:p w:rsidR="00D156D6" w:rsidRPr="00932811" w:rsidRDefault="00D156D6" w:rsidP="00932811">
            <w:pPr>
              <w:spacing w:before="0" w:after="0" w:line="480" w:lineRule="auto"/>
              <w:jc w:val="both"/>
              <w:rPr>
                <w:b/>
                <w:sz w:val="24"/>
                <w:szCs w:val="24"/>
              </w:rPr>
            </w:pPr>
            <w:r w:rsidRPr="00932811">
              <w:rPr>
                <w:b/>
                <w:sz w:val="24"/>
                <w:szCs w:val="24"/>
              </w:rPr>
              <w:t>X</w:t>
            </w:r>
          </w:p>
        </w:tc>
      </w:tr>
      <w:tr w:rsidR="00932811" w:rsidRPr="00140622" w:rsidTr="00932811">
        <w:tc>
          <w:tcPr>
            <w:tcW w:w="1669" w:type="dxa"/>
            <w:shd w:val="clear" w:color="auto" w:fill="auto"/>
          </w:tcPr>
          <w:p w:rsidR="00D156D6" w:rsidRPr="00932811" w:rsidRDefault="00D156D6" w:rsidP="00932811">
            <w:pPr>
              <w:spacing w:before="0" w:after="0" w:line="480" w:lineRule="auto"/>
              <w:jc w:val="both"/>
              <w:rPr>
                <w:b/>
                <w:sz w:val="24"/>
                <w:szCs w:val="24"/>
                <w:vertAlign w:val="superscript"/>
              </w:rPr>
            </w:pPr>
            <w:r w:rsidRPr="00932811">
              <w:rPr>
                <w:b/>
                <w:sz w:val="24"/>
                <w:szCs w:val="24"/>
              </w:rPr>
              <w:t xml:space="preserve">Fungal </w:t>
            </w:r>
            <w:proofErr w:type="spellStart"/>
            <w:r w:rsidRPr="00932811">
              <w:rPr>
                <w:b/>
                <w:sz w:val="24"/>
                <w:szCs w:val="24"/>
              </w:rPr>
              <w:t>Susceptibility</w:t>
            </w:r>
            <w:r w:rsidRPr="00932811">
              <w:rPr>
                <w:b/>
                <w:sz w:val="24"/>
                <w:szCs w:val="24"/>
                <w:vertAlign w:val="superscript"/>
              </w:rPr>
              <w:t>e</w:t>
            </w:r>
            <w:proofErr w:type="spellEnd"/>
          </w:p>
        </w:tc>
        <w:tc>
          <w:tcPr>
            <w:tcW w:w="2150" w:type="dxa"/>
            <w:shd w:val="clear" w:color="auto" w:fill="auto"/>
          </w:tcPr>
          <w:p w:rsidR="00D156D6" w:rsidRPr="00932811" w:rsidRDefault="00D156D6" w:rsidP="00932811">
            <w:pPr>
              <w:spacing w:before="0" w:after="0" w:line="480" w:lineRule="auto"/>
              <w:jc w:val="both"/>
              <w:rPr>
                <w:b/>
                <w:sz w:val="24"/>
                <w:szCs w:val="24"/>
              </w:rPr>
            </w:pPr>
            <w:r w:rsidRPr="00932811">
              <w:rPr>
                <w:b/>
                <w:sz w:val="24"/>
                <w:szCs w:val="24"/>
              </w:rPr>
              <w:t>X</w:t>
            </w:r>
          </w:p>
        </w:tc>
        <w:tc>
          <w:tcPr>
            <w:tcW w:w="1467" w:type="dxa"/>
            <w:shd w:val="clear" w:color="auto" w:fill="auto"/>
          </w:tcPr>
          <w:p w:rsidR="00D156D6" w:rsidRPr="00932811" w:rsidRDefault="00D156D6" w:rsidP="00932811">
            <w:pPr>
              <w:spacing w:before="0" w:after="0" w:line="480" w:lineRule="auto"/>
              <w:jc w:val="both"/>
              <w:rPr>
                <w:b/>
                <w:sz w:val="24"/>
                <w:szCs w:val="24"/>
              </w:rPr>
            </w:pPr>
          </w:p>
        </w:tc>
        <w:tc>
          <w:tcPr>
            <w:tcW w:w="1197" w:type="dxa"/>
            <w:shd w:val="clear" w:color="auto" w:fill="auto"/>
          </w:tcPr>
          <w:p w:rsidR="00D156D6" w:rsidRPr="00932811" w:rsidRDefault="00D156D6" w:rsidP="00932811">
            <w:pPr>
              <w:spacing w:before="0" w:after="0" w:line="480" w:lineRule="auto"/>
              <w:jc w:val="both"/>
              <w:rPr>
                <w:b/>
                <w:sz w:val="24"/>
                <w:szCs w:val="24"/>
              </w:rPr>
            </w:pPr>
          </w:p>
        </w:tc>
        <w:tc>
          <w:tcPr>
            <w:tcW w:w="1646" w:type="dxa"/>
            <w:shd w:val="clear" w:color="auto" w:fill="auto"/>
          </w:tcPr>
          <w:p w:rsidR="00D156D6" w:rsidRPr="00932811" w:rsidRDefault="00D156D6" w:rsidP="00932811">
            <w:pPr>
              <w:spacing w:before="0" w:after="0" w:line="480" w:lineRule="auto"/>
              <w:jc w:val="both"/>
              <w:rPr>
                <w:b/>
                <w:sz w:val="24"/>
                <w:szCs w:val="24"/>
              </w:rPr>
            </w:pPr>
            <w:r w:rsidRPr="00932811">
              <w:rPr>
                <w:b/>
                <w:sz w:val="24"/>
                <w:szCs w:val="24"/>
              </w:rPr>
              <w:t>X</w:t>
            </w:r>
          </w:p>
        </w:tc>
        <w:tc>
          <w:tcPr>
            <w:tcW w:w="1447" w:type="dxa"/>
            <w:shd w:val="clear" w:color="auto" w:fill="auto"/>
          </w:tcPr>
          <w:p w:rsidR="00D156D6" w:rsidRPr="00932811" w:rsidRDefault="00D156D6" w:rsidP="00932811">
            <w:pPr>
              <w:spacing w:before="0" w:after="0" w:line="480" w:lineRule="auto"/>
              <w:jc w:val="both"/>
              <w:rPr>
                <w:b/>
                <w:sz w:val="24"/>
                <w:szCs w:val="24"/>
              </w:rPr>
            </w:pPr>
            <w:r w:rsidRPr="00932811">
              <w:rPr>
                <w:b/>
                <w:sz w:val="24"/>
                <w:szCs w:val="24"/>
              </w:rPr>
              <w:t>X</w:t>
            </w:r>
          </w:p>
        </w:tc>
      </w:tr>
      <w:tr w:rsidR="00932811" w:rsidRPr="00140622" w:rsidTr="00932811">
        <w:tc>
          <w:tcPr>
            <w:tcW w:w="1669" w:type="dxa"/>
            <w:shd w:val="clear" w:color="auto" w:fill="auto"/>
          </w:tcPr>
          <w:p w:rsidR="00D156D6" w:rsidRPr="00932811" w:rsidRDefault="00D156D6" w:rsidP="00932811">
            <w:pPr>
              <w:spacing w:before="0" w:after="0" w:line="480" w:lineRule="auto"/>
              <w:jc w:val="both"/>
              <w:rPr>
                <w:b/>
                <w:sz w:val="24"/>
                <w:szCs w:val="24"/>
              </w:rPr>
            </w:pPr>
            <w:r w:rsidRPr="00932811">
              <w:rPr>
                <w:b/>
                <w:sz w:val="24"/>
                <w:szCs w:val="24"/>
              </w:rPr>
              <w:t>Β-</w:t>
            </w:r>
            <w:proofErr w:type="spellStart"/>
            <w:r w:rsidRPr="00932811">
              <w:rPr>
                <w:b/>
                <w:sz w:val="24"/>
                <w:szCs w:val="24"/>
              </w:rPr>
              <w:t>hCG</w:t>
            </w:r>
            <w:proofErr w:type="spellEnd"/>
          </w:p>
        </w:tc>
        <w:tc>
          <w:tcPr>
            <w:tcW w:w="2150" w:type="dxa"/>
            <w:shd w:val="clear" w:color="auto" w:fill="auto"/>
          </w:tcPr>
          <w:p w:rsidR="00D156D6" w:rsidRPr="00932811" w:rsidRDefault="00D156D6" w:rsidP="00932811">
            <w:pPr>
              <w:spacing w:before="0" w:after="0" w:line="480" w:lineRule="auto"/>
              <w:jc w:val="both"/>
              <w:rPr>
                <w:b/>
                <w:sz w:val="24"/>
                <w:szCs w:val="24"/>
                <w:vertAlign w:val="superscript"/>
              </w:rPr>
            </w:pPr>
            <w:proofErr w:type="spellStart"/>
            <w:r w:rsidRPr="00932811">
              <w:rPr>
                <w:b/>
                <w:sz w:val="24"/>
                <w:szCs w:val="24"/>
              </w:rPr>
              <w:t>X</w:t>
            </w:r>
            <w:r w:rsidRPr="00932811">
              <w:rPr>
                <w:b/>
                <w:sz w:val="24"/>
                <w:szCs w:val="24"/>
                <w:vertAlign w:val="superscript"/>
              </w:rPr>
              <w:t>f</w:t>
            </w:r>
            <w:proofErr w:type="spellEnd"/>
          </w:p>
        </w:tc>
        <w:tc>
          <w:tcPr>
            <w:tcW w:w="1467" w:type="dxa"/>
            <w:shd w:val="clear" w:color="auto" w:fill="auto"/>
          </w:tcPr>
          <w:p w:rsidR="00D156D6" w:rsidRPr="00932811" w:rsidRDefault="00D156D6" w:rsidP="00932811">
            <w:pPr>
              <w:spacing w:before="0" w:after="0" w:line="480" w:lineRule="auto"/>
              <w:jc w:val="both"/>
              <w:rPr>
                <w:b/>
                <w:sz w:val="24"/>
                <w:szCs w:val="24"/>
              </w:rPr>
            </w:pPr>
          </w:p>
        </w:tc>
        <w:tc>
          <w:tcPr>
            <w:tcW w:w="1197" w:type="dxa"/>
            <w:shd w:val="clear" w:color="auto" w:fill="auto"/>
          </w:tcPr>
          <w:p w:rsidR="00D156D6" w:rsidRPr="00932811" w:rsidRDefault="00D156D6" w:rsidP="00932811">
            <w:pPr>
              <w:spacing w:before="0" w:after="0" w:line="480" w:lineRule="auto"/>
              <w:jc w:val="both"/>
              <w:rPr>
                <w:b/>
                <w:sz w:val="24"/>
                <w:szCs w:val="24"/>
              </w:rPr>
            </w:pPr>
          </w:p>
        </w:tc>
        <w:tc>
          <w:tcPr>
            <w:tcW w:w="1646" w:type="dxa"/>
            <w:shd w:val="clear" w:color="auto" w:fill="auto"/>
          </w:tcPr>
          <w:p w:rsidR="00D156D6" w:rsidRPr="00932811" w:rsidRDefault="00D156D6" w:rsidP="00932811">
            <w:pPr>
              <w:spacing w:before="0" w:after="0" w:line="480" w:lineRule="auto"/>
              <w:jc w:val="both"/>
              <w:rPr>
                <w:b/>
                <w:sz w:val="24"/>
                <w:szCs w:val="24"/>
              </w:rPr>
            </w:pPr>
          </w:p>
        </w:tc>
        <w:tc>
          <w:tcPr>
            <w:tcW w:w="1447" w:type="dxa"/>
            <w:shd w:val="clear" w:color="auto" w:fill="auto"/>
          </w:tcPr>
          <w:p w:rsidR="00D156D6" w:rsidRPr="00932811" w:rsidRDefault="00D156D6" w:rsidP="00932811">
            <w:pPr>
              <w:spacing w:before="0" w:after="0" w:line="480" w:lineRule="auto"/>
              <w:jc w:val="both"/>
              <w:rPr>
                <w:b/>
                <w:sz w:val="24"/>
                <w:szCs w:val="24"/>
              </w:rPr>
            </w:pPr>
          </w:p>
        </w:tc>
      </w:tr>
      <w:tr w:rsidR="00932811" w:rsidRPr="00140622" w:rsidTr="00932811">
        <w:tc>
          <w:tcPr>
            <w:tcW w:w="1669" w:type="dxa"/>
            <w:shd w:val="clear" w:color="auto" w:fill="auto"/>
          </w:tcPr>
          <w:p w:rsidR="00D156D6" w:rsidRPr="00932811" w:rsidRDefault="004E7A54" w:rsidP="00932811">
            <w:pPr>
              <w:spacing w:before="0" w:after="0" w:line="480" w:lineRule="auto"/>
              <w:jc w:val="both"/>
              <w:rPr>
                <w:b/>
                <w:sz w:val="24"/>
                <w:szCs w:val="24"/>
                <w:vertAlign w:val="superscript"/>
              </w:rPr>
            </w:pPr>
            <w:proofErr w:type="spellStart"/>
            <w:r w:rsidRPr="00932811">
              <w:rPr>
                <w:b/>
                <w:sz w:val="24"/>
                <w:szCs w:val="24"/>
              </w:rPr>
              <w:t>LFTs</w:t>
            </w:r>
            <w:r w:rsidR="00D156D6" w:rsidRPr="00932811">
              <w:rPr>
                <w:b/>
                <w:sz w:val="24"/>
                <w:szCs w:val="24"/>
                <w:vertAlign w:val="superscript"/>
              </w:rPr>
              <w:t>g</w:t>
            </w:r>
            <w:proofErr w:type="spellEnd"/>
          </w:p>
        </w:tc>
        <w:tc>
          <w:tcPr>
            <w:tcW w:w="2150" w:type="dxa"/>
            <w:shd w:val="clear" w:color="auto" w:fill="auto"/>
          </w:tcPr>
          <w:p w:rsidR="00D156D6" w:rsidRPr="00932811" w:rsidRDefault="00D156D6" w:rsidP="00932811">
            <w:pPr>
              <w:spacing w:before="0" w:after="0" w:line="480" w:lineRule="auto"/>
              <w:jc w:val="both"/>
              <w:rPr>
                <w:b/>
                <w:sz w:val="24"/>
                <w:szCs w:val="24"/>
              </w:rPr>
            </w:pPr>
            <w:r w:rsidRPr="00932811">
              <w:rPr>
                <w:b/>
                <w:sz w:val="24"/>
                <w:szCs w:val="24"/>
              </w:rPr>
              <w:t>X</w:t>
            </w:r>
          </w:p>
        </w:tc>
        <w:tc>
          <w:tcPr>
            <w:tcW w:w="1467" w:type="dxa"/>
            <w:shd w:val="clear" w:color="auto" w:fill="auto"/>
          </w:tcPr>
          <w:p w:rsidR="00D156D6" w:rsidRPr="00932811" w:rsidRDefault="00D156D6" w:rsidP="00932811">
            <w:pPr>
              <w:spacing w:before="0" w:after="0" w:line="480" w:lineRule="auto"/>
              <w:jc w:val="both"/>
              <w:rPr>
                <w:b/>
                <w:sz w:val="24"/>
                <w:szCs w:val="24"/>
              </w:rPr>
            </w:pPr>
          </w:p>
        </w:tc>
        <w:tc>
          <w:tcPr>
            <w:tcW w:w="1197" w:type="dxa"/>
            <w:shd w:val="clear" w:color="auto" w:fill="auto"/>
          </w:tcPr>
          <w:p w:rsidR="00D156D6" w:rsidRPr="00932811" w:rsidRDefault="00D156D6" w:rsidP="00932811">
            <w:pPr>
              <w:spacing w:before="0" w:after="0" w:line="480" w:lineRule="auto"/>
              <w:jc w:val="both"/>
              <w:rPr>
                <w:b/>
                <w:sz w:val="24"/>
                <w:szCs w:val="24"/>
              </w:rPr>
            </w:pPr>
          </w:p>
        </w:tc>
        <w:tc>
          <w:tcPr>
            <w:tcW w:w="1646" w:type="dxa"/>
            <w:shd w:val="clear" w:color="auto" w:fill="auto"/>
          </w:tcPr>
          <w:p w:rsidR="00D156D6" w:rsidRPr="00932811" w:rsidRDefault="00D156D6" w:rsidP="00932811">
            <w:pPr>
              <w:spacing w:before="0" w:after="0" w:line="480" w:lineRule="auto"/>
              <w:jc w:val="both"/>
              <w:rPr>
                <w:b/>
                <w:sz w:val="24"/>
                <w:szCs w:val="24"/>
              </w:rPr>
            </w:pPr>
            <w:r w:rsidRPr="00932811">
              <w:rPr>
                <w:b/>
                <w:sz w:val="24"/>
                <w:szCs w:val="24"/>
              </w:rPr>
              <w:t>X</w:t>
            </w:r>
          </w:p>
        </w:tc>
        <w:tc>
          <w:tcPr>
            <w:tcW w:w="1447" w:type="dxa"/>
            <w:shd w:val="clear" w:color="auto" w:fill="auto"/>
          </w:tcPr>
          <w:p w:rsidR="00D156D6" w:rsidRPr="00932811" w:rsidRDefault="00D156D6" w:rsidP="00932811">
            <w:pPr>
              <w:spacing w:before="0" w:after="0" w:line="480" w:lineRule="auto"/>
              <w:jc w:val="both"/>
              <w:rPr>
                <w:b/>
                <w:sz w:val="24"/>
                <w:szCs w:val="24"/>
              </w:rPr>
            </w:pPr>
          </w:p>
        </w:tc>
      </w:tr>
      <w:tr w:rsidR="00932811" w:rsidRPr="00140622" w:rsidTr="00932811">
        <w:tc>
          <w:tcPr>
            <w:tcW w:w="1669" w:type="dxa"/>
            <w:shd w:val="clear" w:color="auto" w:fill="auto"/>
          </w:tcPr>
          <w:p w:rsidR="00D156D6" w:rsidRPr="00932811" w:rsidRDefault="00D156D6" w:rsidP="00932811">
            <w:pPr>
              <w:spacing w:before="0" w:after="0" w:line="480" w:lineRule="auto"/>
              <w:jc w:val="both"/>
              <w:rPr>
                <w:b/>
                <w:sz w:val="24"/>
                <w:szCs w:val="24"/>
                <w:vertAlign w:val="superscript"/>
              </w:rPr>
            </w:pPr>
            <w:r w:rsidRPr="00932811">
              <w:rPr>
                <w:b/>
                <w:sz w:val="24"/>
                <w:szCs w:val="24"/>
              </w:rPr>
              <w:t xml:space="preserve">RNA </w:t>
            </w:r>
            <w:proofErr w:type="spellStart"/>
            <w:r w:rsidRPr="00932811">
              <w:rPr>
                <w:b/>
                <w:sz w:val="24"/>
                <w:szCs w:val="24"/>
              </w:rPr>
              <w:t>collection</w:t>
            </w:r>
            <w:r w:rsidR="00ED7C55" w:rsidRPr="00932811">
              <w:rPr>
                <w:b/>
                <w:sz w:val="24"/>
                <w:szCs w:val="24"/>
                <w:vertAlign w:val="superscript"/>
              </w:rPr>
              <w:t>h</w:t>
            </w:r>
            <w:proofErr w:type="spellEnd"/>
          </w:p>
        </w:tc>
        <w:tc>
          <w:tcPr>
            <w:tcW w:w="2150" w:type="dxa"/>
            <w:shd w:val="clear" w:color="auto" w:fill="auto"/>
          </w:tcPr>
          <w:p w:rsidR="00D156D6" w:rsidRPr="00932811" w:rsidRDefault="00D156D6" w:rsidP="00932811">
            <w:pPr>
              <w:spacing w:before="0" w:after="0" w:line="480" w:lineRule="auto"/>
              <w:jc w:val="both"/>
              <w:rPr>
                <w:b/>
                <w:sz w:val="24"/>
                <w:szCs w:val="24"/>
              </w:rPr>
            </w:pPr>
            <w:r w:rsidRPr="00932811">
              <w:rPr>
                <w:b/>
                <w:sz w:val="24"/>
                <w:szCs w:val="24"/>
              </w:rPr>
              <w:t>X</w:t>
            </w:r>
          </w:p>
        </w:tc>
        <w:tc>
          <w:tcPr>
            <w:tcW w:w="1467" w:type="dxa"/>
            <w:shd w:val="clear" w:color="auto" w:fill="auto"/>
          </w:tcPr>
          <w:p w:rsidR="00D156D6" w:rsidRPr="00932811" w:rsidRDefault="00D156D6" w:rsidP="00932811">
            <w:pPr>
              <w:spacing w:before="0" w:after="0" w:line="480" w:lineRule="auto"/>
              <w:jc w:val="both"/>
              <w:rPr>
                <w:b/>
                <w:sz w:val="24"/>
                <w:szCs w:val="24"/>
              </w:rPr>
            </w:pPr>
          </w:p>
        </w:tc>
        <w:tc>
          <w:tcPr>
            <w:tcW w:w="1197" w:type="dxa"/>
            <w:shd w:val="clear" w:color="auto" w:fill="auto"/>
          </w:tcPr>
          <w:p w:rsidR="00D156D6" w:rsidRPr="00932811" w:rsidRDefault="00D156D6" w:rsidP="00932811">
            <w:pPr>
              <w:spacing w:before="0" w:after="0" w:line="480" w:lineRule="auto"/>
              <w:jc w:val="both"/>
              <w:rPr>
                <w:b/>
                <w:sz w:val="24"/>
                <w:szCs w:val="24"/>
              </w:rPr>
            </w:pPr>
            <w:r w:rsidRPr="00932811">
              <w:rPr>
                <w:b/>
                <w:sz w:val="24"/>
                <w:szCs w:val="24"/>
              </w:rPr>
              <w:t>X</w:t>
            </w:r>
          </w:p>
        </w:tc>
        <w:tc>
          <w:tcPr>
            <w:tcW w:w="1646" w:type="dxa"/>
            <w:shd w:val="clear" w:color="auto" w:fill="auto"/>
          </w:tcPr>
          <w:p w:rsidR="00D156D6" w:rsidRPr="00932811" w:rsidRDefault="00D156D6" w:rsidP="00932811">
            <w:pPr>
              <w:spacing w:before="0" w:after="0" w:line="480" w:lineRule="auto"/>
              <w:jc w:val="both"/>
              <w:rPr>
                <w:b/>
                <w:sz w:val="24"/>
                <w:szCs w:val="24"/>
              </w:rPr>
            </w:pPr>
            <w:r w:rsidRPr="00932811">
              <w:rPr>
                <w:b/>
                <w:sz w:val="24"/>
                <w:szCs w:val="24"/>
              </w:rPr>
              <w:t>X</w:t>
            </w:r>
          </w:p>
        </w:tc>
        <w:tc>
          <w:tcPr>
            <w:tcW w:w="1447" w:type="dxa"/>
            <w:shd w:val="clear" w:color="auto" w:fill="auto"/>
          </w:tcPr>
          <w:p w:rsidR="00D156D6" w:rsidRPr="00932811" w:rsidRDefault="00D156D6" w:rsidP="00932811">
            <w:pPr>
              <w:spacing w:before="0" w:after="0" w:line="480" w:lineRule="auto"/>
              <w:jc w:val="both"/>
              <w:rPr>
                <w:b/>
                <w:sz w:val="24"/>
                <w:szCs w:val="24"/>
              </w:rPr>
            </w:pPr>
          </w:p>
        </w:tc>
      </w:tr>
      <w:tr w:rsidR="00932811" w:rsidRPr="00140622" w:rsidTr="00932811">
        <w:tc>
          <w:tcPr>
            <w:tcW w:w="1669" w:type="dxa"/>
            <w:shd w:val="clear" w:color="auto" w:fill="auto"/>
          </w:tcPr>
          <w:p w:rsidR="00D156D6" w:rsidRPr="00932811" w:rsidRDefault="00D156D6" w:rsidP="00932811">
            <w:pPr>
              <w:spacing w:before="0" w:after="0" w:line="480" w:lineRule="auto"/>
              <w:jc w:val="both"/>
              <w:rPr>
                <w:b/>
                <w:sz w:val="24"/>
                <w:szCs w:val="24"/>
              </w:rPr>
            </w:pPr>
            <w:r w:rsidRPr="00932811">
              <w:rPr>
                <w:b/>
                <w:sz w:val="24"/>
                <w:szCs w:val="24"/>
              </w:rPr>
              <w:t xml:space="preserve">Blood </w:t>
            </w:r>
            <w:proofErr w:type="spellStart"/>
            <w:r w:rsidR="00ED7C55" w:rsidRPr="00932811">
              <w:rPr>
                <w:b/>
                <w:sz w:val="24"/>
                <w:szCs w:val="24"/>
              </w:rPr>
              <w:t>Culture</w:t>
            </w:r>
            <w:r w:rsidR="00ED7C55" w:rsidRPr="00932811">
              <w:rPr>
                <w:b/>
                <w:sz w:val="24"/>
                <w:szCs w:val="24"/>
                <w:vertAlign w:val="superscript"/>
              </w:rPr>
              <w:t>i</w:t>
            </w:r>
            <w:proofErr w:type="spellEnd"/>
          </w:p>
        </w:tc>
        <w:tc>
          <w:tcPr>
            <w:tcW w:w="2150" w:type="dxa"/>
            <w:shd w:val="clear" w:color="auto" w:fill="auto"/>
          </w:tcPr>
          <w:p w:rsidR="00D156D6" w:rsidRPr="00932811" w:rsidRDefault="00D156D6" w:rsidP="00932811">
            <w:pPr>
              <w:spacing w:before="0" w:after="0" w:line="480" w:lineRule="auto"/>
              <w:jc w:val="both"/>
              <w:rPr>
                <w:b/>
                <w:sz w:val="24"/>
                <w:szCs w:val="24"/>
              </w:rPr>
            </w:pPr>
          </w:p>
        </w:tc>
        <w:tc>
          <w:tcPr>
            <w:tcW w:w="1467" w:type="dxa"/>
            <w:shd w:val="clear" w:color="auto" w:fill="auto"/>
          </w:tcPr>
          <w:p w:rsidR="00D156D6" w:rsidRPr="00932811" w:rsidRDefault="00D156D6" w:rsidP="00932811">
            <w:pPr>
              <w:spacing w:before="0" w:after="0" w:line="480" w:lineRule="auto"/>
              <w:jc w:val="both"/>
              <w:rPr>
                <w:b/>
                <w:sz w:val="24"/>
                <w:szCs w:val="24"/>
              </w:rPr>
            </w:pPr>
          </w:p>
        </w:tc>
        <w:tc>
          <w:tcPr>
            <w:tcW w:w="1197" w:type="dxa"/>
            <w:shd w:val="clear" w:color="auto" w:fill="auto"/>
          </w:tcPr>
          <w:p w:rsidR="00D156D6" w:rsidRPr="00932811" w:rsidRDefault="00D156D6" w:rsidP="00932811">
            <w:pPr>
              <w:spacing w:before="0" w:after="0" w:line="480" w:lineRule="auto"/>
              <w:jc w:val="both"/>
              <w:rPr>
                <w:b/>
                <w:sz w:val="24"/>
                <w:szCs w:val="24"/>
              </w:rPr>
            </w:pPr>
          </w:p>
        </w:tc>
        <w:tc>
          <w:tcPr>
            <w:tcW w:w="1646" w:type="dxa"/>
            <w:shd w:val="clear" w:color="auto" w:fill="auto"/>
          </w:tcPr>
          <w:p w:rsidR="00D156D6" w:rsidRPr="00932811" w:rsidRDefault="00D156D6" w:rsidP="00932811">
            <w:pPr>
              <w:spacing w:before="0" w:after="0" w:line="480" w:lineRule="auto"/>
              <w:jc w:val="both"/>
              <w:rPr>
                <w:b/>
                <w:sz w:val="24"/>
                <w:szCs w:val="24"/>
              </w:rPr>
            </w:pPr>
            <w:r w:rsidRPr="00932811">
              <w:rPr>
                <w:b/>
                <w:sz w:val="24"/>
                <w:szCs w:val="24"/>
              </w:rPr>
              <w:t>X</w:t>
            </w:r>
          </w:p>
        </w:tc>
        <w:tc>
          <w:tcPr>
            <w:tcW w:w="1447" w:type="dxa"/>
            <w:shd w:val="clear" w:color="auto" w:fill="auto"/>
          </w:tcPr>
          <w:p w:rsidR="00D156D6" w:rsidRPr="00932811" w:rsidRDefault="00D156D6" w:rsidP="00932811">
            <w:pPr>
              <w:spacing w:before="0" w:after="0" w:line="480" w:lineRule="auto"/>
              <w:jc w:val="both"/>
              <w:rPr>
                <w:b/>
                <w:sz w:val="24"/>
                <w:szCs w:val="24"/>
              </w:rPr>
            </w:pPr>
          </w:p>
        </w:tc>
      </w:tr>
    </w:tbl>
    <w:p w:rsidR="00D156D6" w:rsidRPr="00140622" w:rsidRDefault="00D156D6" w:rsidP="00FC1BDA">
      <w:pPr>
        <w:spacing w:before="0" w:after="0" w:line="480" w:lineRule="auto"/>
        <w:jc w:val="both"/>
        <w:rPr>
          <w:b/>
          <w:sz w:val="24"/>
          <w:szCs w:val="24"/>
        </w:rPr>
      </w:pPr>
    </w:p>
    <w:p w:rsidR="00D156D6" w:rsidRPr="00140622" w:rsidRDefault="00B640E3" w:rsidP="00FC1BDA">
      <w:pPr>
        <w:spacing w:before="0" w:after="0" w:line="480" w:lineRule="auto"/>
        <w:jc w:val="both"/>
        <w:rPr>
          <w:sz w:val="24"/>
          <w:szCs w:val="24"/>
        </w:rPr>
      </w:pPr>
      <w:proofErr w:type="spellStart"/>
      <w:proofErr w:type="gramStart"/>
      <w:r>
        <w:rPr>
          <w:sz w:val="24"/>
          <w:szCs w:val="24"/>
          <w:vertAlign w:val="superscript"/>
        </w:rPr>
        <w:t>a</w:t>
      </w:r>
      <w:r w:rsidR="00D156D6" w:rsidRPr="00140622">
        <w:rPr>
          <w:sz w:val="24"/>
          <w:szCs w:val="24"/>
        </w:rPr>
        <w:t>Demographics</w:t>
      </w:r>
      <w:proofErr w:type="spellEnd"/>
      <w:proofErr w:type="gramEnd"/>
      <w:r w:rsidR="00D156D6" w:rsidRPr="00140622">
        <w:rPr>
          <w:sz w:val="24"/>
          <w:szCs w:val="24"/>
        </w:rPr>
        <w:t>, baseline conditions, pertinent past medical history at baseline followed by weekly assessment for evidence of IFI and for IC risk factors.</w:t>
      </w:r>
    </w:p>
    <w:p w:rsidR="00D156D6" w:rsidRPr="00140622" w:rsidRDefault="00D156D6" w:rsidP="00FC1BDA">
      <w:pPr>
        <w:spacing w:before="0" w:after="0" w:line="480" w:lineRule="auto"/>
        <w:jc w:val="both"/>
        <w:rPr>
          <w:sz w:val="24"/>
          <w:szCs w:val="24"/>
        </w:rPr>
      </w:pPr>
    </w:p>
    <w:p w:rsidR="00D156D6" w:rsidRPr="00140622" w:rsidRDefault="00D156D6" w:rsidP="00FC1BDA">
      <w:pPr>
        <w:spacing w:before="0" w:after="0" w:line="480" w:lineRule="auto"/>
        <w:jc w:val="both"/>
        <w:rPr>
          <w:sz w:val="24"/>
          <w:szCs w:val="24"/>
        </w:rPr>
      </w:pPr>
      <w:proofErr w:type="spellStart"/>
      <w:proofErr w:type="gramStart"/>
      <w:r w:rsidRPr="00140622">
        <w:rPr>
          <w:sz w:val="24"/>
          <w:szCs w:val="24"/>
          <w:vertAlign w:val="superscript"/>
        </w:rPr>
        <w:t>b</w:t>
      </w:r>
      <w:r w:rsidRPr="00140622">
        <w:rPr>
          <w:sz w:val="24"/>
          <w:szCs w:val="24"/>
        </w:rPr>
        <w:t>Obtain</w:t>
      </w:r>
      <w:proofErr w:type="spellEnd"/>
      <w:proofErr w:type="gramEnd"/>
      <w:r w:rsidRPr="00140622">
        <w:rPr>
          <w:sz w:val="24"/>
          <w:szCs w:val="24"/>
        </w:rPr>
        <w:t xml:space="preserve"> within 72 hours of 1</w:t>
      </w:r>
      <w:r w:rsidRPr="00140622">
        <w:rPr>
          <w:sz w:val="24"/>
          <w:szCs w:val="24"/>
          <w:vertAlign w:val="superscript"/>
        </w:rPr>
        <w:t>st</w:t>
      </w:r>
      <w:r w:rsidRPr="00140622">
        <w:rPr>
          <w:sz w:val="24"/>
          <w:szCs w:val="24"/>
        </w:rPr>
        <w:t xml:space="preserve"> dose of study drug and weekly </w:t>
      </w:r>
      <w:proofErr w:type="spellStart"/>
      <w:r w:rsidRPr="00140622">
        <w:rPr>
          <w:sz w:val="24"/>
          <w:szCs w:val="24"/>
        </w:rPr>
        <w:t>there after</w:t>
      </w:r>
      <w:proofErr w:type="spellEnd"/>
      <w:r w:rsidRPr="00140622">
        <w:rPr>
          <w:sz w:val="24"/>
          <w:szCs w:val="24"/>
        </w:rPr>
        <w:t xml:space="preserve"> while receiving </w:t>
      </w:r>
      <w:proofErr w:type="spellStart"/>
      <w:r w:rsidRPr="00140622">
        <w:rPr>
          <w:sz w:val="24"/>
          <w:szCs w:val="24"/>
        </w:rPr>
        <w:t>anidulafungin</w:t>
      </w:r>
      <w:proofErr w:type="spellEnd"/>
      <w:r w:rsidRPr="00140622">
        <w:rPr>
          <w:sz w:val="24"/>
          <w:szCs w:val="24"/>
        </w:rPr>
        <w:t>.</w:t>
      </w:r>
    </w:p>
    <w:p w:rsidR="00D156D6" w:rsidRPr="00140622" w:rsidRDefault="00D156D6" w:rsidP="00FC1BDA">
      <w:pPr>
        <w:spacing w:before="0" w:after="0" w:line="480" w:lineRule="auto"/>
        <w:jc w:val="both"/>
        <w:rPr>
          <w:sz w:val="24"/>
          <w:szCs w:val="24"/>
        </w:rPr>
      </w:pPr>
    </w:p>
    <w:p w:rsidR="00D156D6" w:rsidRPr="00140622" w:rsidRDefault="00D156D6" w:rsidP="00FC1BDA">
      <w:pPr>
        <w:spacing w:before="0" w:after="0" w:line="480" w:lineRule="auto"/>
        <w:jc w:val="both"/>
        <w:rPr>
          <w:sz w:val="24"/>
          <w:szCs w:val="24"/>
        </w:rPr>
      </w:pPr>
      <w:proofErr w:type="gramStart"/>
      <w:r w:rsidRPr="00140622">
        <w:rPr>
          <w:sz w:val="24"/>
          <w:szCs w:val="24"/>
          <w:vertAlign w:val="superscript"/>
        </w:rPr>
        <w:t>c</w:t>
      </w:r>
      <w:proofErr w:type="gramEnd"/>
      <w:r w:rsidRPr="00140622">
        <w:rPr>
          <w:sz w:val="24"/>
          <w:szCs w:val="24"/>
          <w:vertAlign w:val="superscript"/>
        </w:rPr>
        <w:t xml:space="preserve"> </w:t>
      </w:r>
      <w:r w:rsidRPr="00140622">
        <w:rPr>
          <w:sz w:val="24"/>
          <w:szCs w:val="24"/>
        </w:rPr>
        <w:t>Vital signs, clinical signs an</w:t>
      </w:r>
      <w:r w:rsidR="004E7A54">
        <w:rPr>
          <w:sz w:val="24"/>
          <w:szCs w:val="24"/>
        </w:rPr>
        <w:t>d symptoms, routine laboratory tests</w:t>
      </w:r>
      <w:r w:rsidRPr="00140622">
        <w:rPr>
          <w:sz w:val="24"/>
          <w:szCs w:val="24"/>
        </w:rPr>
        <w:t xml:space="preserve">, culture results, radiographic findings, </w:t>
      </w:r>
      <w:r w:rsidR="004E7A54">
        <w:rPr>
          <w:sz w:val="24"/>
          <w:szCs w:val="24"/>
        </w:rPr>
        <w:t xml:space="preserve">and/or biopsy reports </w:t>
      </w:r>
      <w:r w:rsidRPr="00140622">
        <w:rPr>
          <w:sz w:val="24"/>
          <w:szCs w:val="24"/>
        </w:rPr>
        <w:t>indicative of IFI.</w:t>
      </w:r>
    </w:p>
    <w:p w:rsidR="00D156D6" w:rsidRPr="00140622" w:rsidRDefault="00D156D6" w:rsidP="00FC1BDA">
      <w:pPr>
        <w:spacing w:before="0" w:after="0" w:line="480" w:lineRule="auto"/>
        <w:jc w:val="both"/>
        <w:rPr>
          <w:sz w:val="24"/>
          <w:szCs w:val="24"/>
          <w:vertAlign w:val="superscript"/>
        </w:rPr>
      </w:pPr>
    </w:p>
    <w:p w:rsidR="00D156D6" w:rsidRPr="00140622" w:rsidRDefault="00D156D6" w:rsidP="00FC1BDA">
      <w:pPr>
        <w:spacing w:before="0" w:after="0" w:line="480" w:lineRule="auto"/>
        <w:jc w:val="both"/>
        <w:rPr>
          <w:sz w:val="24"/>
          <w:szCs w:val="24"/>
        </w:rPr>
      </w:pPr>
      <w:proofErr w:type="gramStart"/>
      <w:r w:rsidRPr="00140622">
        <w:rPr>
          <w:sz w:val="24"/>
          <w:szCs w:val="24"/>
          <w:vertAlign w:val="superscript"/>
        </w:rPr>
        <w:t>d</w:t>
      </w:r>
      <w:proofErr w:type="gramEnd"/>
      <w:r w:rsidRPr="00140622">
        <w:rPr>
          <w:sz w:val="24"/>
          <w:szCs w:val="24"/>
          <w:vertAlign w:val="superscript"/>
        </w:rPr>
        <w:t xml:space="preserve"> </w:t>
      </w:r>
      <w:r w:rsidRPr="00140622">
        <w:rPr>
          <w:sz w:val="24"/>
          <w:szCs w:val="24"/>
        </w:rPr>
        <w:t xml:space="preserve">Only BDG results for subjects in the active surveillance/preemptive therapy arm will be reported to clinicians in real-time.  BDG testing for subjects receiving usual care will be performed in batches, retrospectively.  Subjects on </w:t>
      </w:r>
      <w:proofErr w:type="spellStart"/>
      <w:r w:rsidR="00B640E3" w:rsidRPr="00140622">
        <w:rPr>
          <w:sz w:val="24"/>
          <w:szCs w:val="24"/>
        </w:rPr>
        <w:t>anidulafu</w:t>
      </w:r>
      <w:r w:rsidR="00B640E3">
        <w:rPr>
          <w:sz w:val="24"/>
          <w:szCs w:val="24"/>
        </w:rPr>
        <w:t>n</w:t>
      </w:r>
      <w:r w:rsidR="00B640E3" w:rsidRPr="00140622">
        <w:rPr>
          <w:sz w:val="24"/>
          <w:szCs w:val="24"/>
        </w:rPr>
        <w:t>gin</w:t>
      </w:r>
      <w:proofErr w:type="spellEnd"/>
      <w:r w:rsidRPr="00140622">
        <w:rPr>
          <w:sz w:val="24"/>
          <w:szCs w:val="24"/>
        </w:rPr>
        <w:t xml:space="preserve"> will have the BDG test performed every other day until negative</w:t>
      </w:r>
      <w:r w:rsidR="004E7A54">
        <w:rPr>
          <w:sz w:val="24"/>
          <w:szCs w:val="24"/>
        </w:rPr>
        <w:t xml:space="preserve"> to determine kinetics on therapy</w:t>
      </w:r>
      <w:r w:rsidRPr="00140622">
        <w:rPr>
          <w:sz w:val="24"/>
          <w:szCs w:val="24"/>
        </w:rPr>
        <w:t>.</w:t>
      </w:r>
      <w:r w:rsidR="004E7A54">
        <w:rPr>
          <w:sz w:val="24"/>
          <w:szCs w:val="24"/>
        </w:rPr>
        <w:t xml:space="preserve">  Samples collected for BDG kinetics will be batch tested retrospectively, therefore the results will not be reported to clinicians.</w:t>
      </w:r>
    </w:p>
    <w:p w:rsidR="00D156D6" w:rsidRPr="00140622" w:rsidRDefault="00D156D6" w:rsidP="00FC1BDA">
      <w:pPr>
        <w:spacing w:before="0" w:after="0" w:line="480" w:lineRule="auto"/>
        <w:jc w:val="both"/>
        <w:rPr>
          <w:sz w:val="24"/>
          <w:szCs w:val="24"/>
        </w:rPr>
      </w:pPr>
    </w:p>
    <w:p w:rsidR="00D156D6" w:rsidRPr="00140622" w:rsidRDefault="00D156D6" w:rsidP="00FC1BDA">
      <w:pPr>
        <w:spacing w:before="0" w:after="0" w:line="480" w:lineRule="auto"/>
        <w:jc w:val="both"/>
        <w:rPr>
          <w:sz w:val="24"/>
          <w:szCs w:val="24"/>
        </w:rPr>
      </w:pPr>
      <w:proofErr w:type="gramStart"/>
      <w:r w:rsidRPr="00140622">
        <w:rPr>
          <w:sz w:val="24"/>
          <w:szCs w:val="24"/>
          <w:vertAlign w:val="superscript"/>
        </w:rPr>
        <w:lastRenderedPageBreak/>
        <w:t>e</w:t>
      </w:r>
      <w:proofErr w:type="gramEnd"/>
      <w:r w:rsidRPr="00140622">
        <w:rPr>
          <w:sz w:val="24"/>
          <w:szCs w:val="24"/>
        </w:rPr>
        <w:t xml:space="preserve"> Oral swish and spit or ETS aspirate (from those subjects requiring mechanical ventilation) to assess for fungal colonization</w:t>
      </w:r>
      <w:r w:rsidR="00875959">
        <w:rPr>
          <w:sz w:val="24"/>
          <w:szCs w:val="24"/>
        </w:rPr>
        <w:t xml:space="preserve"> will be performed at baseline, after the completion of any systemic antifungal therapy, and at SICU discharge</w:t>
      </w:r>
      <w:r w:rsidRPr="00140622">
        <w:rPr>
          <w:sz w:val="24"/>
          <w:szCs w:val="24"/>
        </w:rPr>
        <w:t xml:space="preserve">.  </w:t>
      </w:r>
      <w:r w:rsidR="00875959">
        <w:rPr>
          <w:sz w:val="24"/>
          <w:szCs w:val="24"/>
        </w:rPr>
        <w:t xml:space="preserve">Susceptibility testing to </w:t>
      </w:r>
      <w:proofErr w:type="spellStart"/>
      <w:r w:rsidR="00875959">
        <w:rPr>
          <w:sz w:val="24"/>
          <w:szCs w:val="24"/>
        </w:rPr>
        <w:t>echinocandins</w:t>
      </w:r>
      <w:proofErr w:type="spellEnd"/>
      <w:r w:rsidR="00875959">
        <w:rPr>
          <w:sz w:val="24"/>
          <w:szCs w:val="24"/>
        </w:rPr>
        <w:t xml:space="preserve"> and fluconazole will be performed on each isolate recovered.  </w:t>
      </w:r>
      <w:r w:rsidRPr="00140622">
        <w:rPr>
          <w:sz w:val="24"/>
          <w:szCs w:val="24"/>
        </w:rPr>
        <w:t>Results will not be reported to the care providers.</w:t>
      </w:r>
    </w:p>
    <w:p w:rsidR="00D156D6" w:rsidRPr="00140622" w:rsidRDefault="00D156D6" w:rsidP="00FC1BDA">
      <w:pPr>
        <w:spacing w:before="0" w:after="0" w:line="480" w:lineRule="auto"/>
        <w:jc w:val="both"/>
        <w:rPr>
          <w:sz w:val="24"/>
          <w:szCs w:val="24"/>
        </w:rPr>
      </w:pPr>
    </w:p>
    <w:p w:rsidR="00D156D6" w:rsidRPr="00140622" w:rsidRDefault="00D156D6" w:rsidP="00FC1BDA">
      <w:pPr>
        <w:spacing w:line="480" w:lineRule="auto"/>
        <w:rPr>
          <w:sz w:val="24"/>
          <w:szCs w:val="24"/>
        </w:rPr>
      </w:pPr>
      <w:r w:rsidRPr="00140622">
        <w:rPr>
          <w:sz w:val="24"/>
          <w:szCs w:val="24"/>
          <w:vertAlign w:val="superscript"/>
        </w:rPr>
        <w:t xml:space="preserve">f. </w:t>
      </w:r>
      <w:r w:rsidRPr="00140622">
        <w:rPr>
          <w:sz w:val="24"/>
          <w:szCs w:val="24"/>
        </w:rPr>
        <w:t>Pregnant women will be excluded from the study.</w:t>
      </w:r>
    </w:p>
    <w:p w:rsidR="00D156D6" w:rsidRPr="00140622" w:rsidRDefault="00D156D6" w:rsidP="00FC1BDA">
      <w:pPr>
        <w:spacing w:line="480" w:lineRule="auto"/>
        <w:rPr>
          <w:sz w:val="24"/>
          <w:szCs w:val="24"/>
        </w:rPr>
      </w:pPr>
    </w:p>
    <w:p w:rsidR="00D156D6" w:rsidRPr="00140622" w:rsidRDefault="00D156D6" w:rsidP="00FC1BDA">
      <w:pPr>
        <w:spacing w:line="480" w:lineRule="auto"/>
        <w:rPr>
          <w:sz w:val="24"/>
          <w:szCs w:val="24"/>
        </w:rPr>
      </w:pPr>
      <w:proofErr w:type="gramStart"/>
      <w:r w:rsidRPr="00140622">
        <w:rPr>
          <w:sz w:val="24"/>
          <w:szCs w:val="24"/>
          <w:vertAlign w:val="superscript"/>
        </w:rPr>
        <w:t>g</w:t>
      </w:r>
      <w:proofErr w:type="gramEnd"/>
      <w:r w:rsidRPr="00140622">
        <w:rPr>
          <w:sz w:val="24"/>
          <w:szCs w:val="24"/>
        </w:rPr>
        <w:t xml:space="preserve"> LFTs </w:t>
      </w:r>
      <w:r w:rsidR="00CB7F71">
        <w:rPr>
          <w:sz w:val="24"/>
          <w:szCs w:val="24"/>
        </w:rPr>
        <w:t xml:space="preserve">will be collected at baseline and weekly on </w:t>
      </w:r>
      <w:proofErr w:type="spellStart"/>
      <w:r w:rsidR="00CB7F71">
        <w:rPr>
          <w:sz w:val="24"/>
          <w:szCs w:val="24"/>
        </w:rPr>
        <w:t>anidulafungin</w:t>
      </w:r>
      <w:proofErr w:type="spellEnd"/>
      <w:r w:rsidR="00CB7F71">
        <w:rPr>
          <w:sz w:val="24"/>
          <w:szCs w:val="24"/>
        </w:rPr>
        <w:t xml:space="preserve">.  LFTs </w:t>
      </w:r>
      <w:r w:rsidRPr="00140622">
        <w:rPr>
          <w:sz w:val="24"/>
          <w:szCs w:val="24"/>
        </w:rPr>
        <w:t>include: total bilirubin, alkaline phosphatase, AST, and ALT</w:t>
      </w:r>
    </w:p>
    <w:p w:rsidR="00D156D6" w:rsidRPr="00140622" w:rsidRDefault="00D156D6" w:rsidP="00FC1BDA">
      <w:pPr>
        <w:spacing w:line="480" w:lineRule="auto"/>
        <w:rPr>
          <w:sz w:val="24"/>
          <w:szCs w:val="24"/>
        </w:rPr>
      </w:pPr>
    </w:p>
    <w:p w:rsidR="00ED7C55" w:rsidRPr="00140622" w:rsidRDefault="00D156D6" w:rsidP="00FC1BDA">
      <w:pPr>
        <w:spacing w:before="0" w:after="0" w:line="480" w:lineRule="auto"/>
        <w:jc w:val="both"/>
        <w:rPr>
          <w:sz w:val="24"/>
          <w:szCs w:val="24"/>
        </w:rPr>
      </w:pPr>
      <w:proofErr w:type="gramStart"/>
      <w:r w:rsidRPr="00140622">
        <w:rPr>
          <w:sz w:val="24"/>
          <w:szCs w:val="24"/>
          <w:vertAlign w:val="superscript"/>
        </w:rPr>
        <w:t>h</w:t>
      </w:r>
      <w:proofErr w:type="gramEnd"/>
      <w:r w:rsidRPr="00140622">
        <w:rPr>
          <w:sz w:val="24"/>
          <w:szCs w:val="24"/>
        </w:rPr>
        <w:t xml:space="preserve"> </w:t>
      </w:r>
      <w:r w:rsidR="00ED7C55" w:rsidRPr="00140622">
        <w:rPr>
          <w:sz w:val="24"/>
          <w:szCs w:val="24"/>
        </w:rPr>
        <w:t>Hybridization to microarrays will occur in selected patients with positive blood culture results (cases) and in controls (no positive blood cultures, no empiric antifungal therapy).</w:t>
      </w:r>
    </w:p>
    <w:p w:rsidR="00ED7C55" w:rsidRPr="00140622" w:rsidRDefault="00ED7C55" w:rsidP="00FC1BDA">
      <w:pPr>
        <w:spacing w:before="0" w:after="0" w:line="480" w:lineRule="auto"/>
        <w:jc w:val="both"/>
        <w:rPr>
          <w:sz w:val="24"/>
          <w:szCs w:val="24"/>
        </w:rPr>
      </w:pPr>
    </w:p>
    <w:p w:rsidR="00D156D6" w:rsidRPr="00140622" w:rsidRDefault="00ED7C55" w:rsidP="00FC1BDA">
      <w:pPr>
        <w:spacing w:before="0" w:after="0" w:line="480" w:lineRule="auto"/>
        <w:jc w:val="both"/>
        <w:rPr>
          <w:sz w:val="24"/>
          <w:szCs w:val="24"/>
        </w:rPr>
      </w:pPr>
      <w:proofErr w:type="spellStart"/>
      <w:proofErr w:type="gramStart"/>
      <w:r w:rsidRPr="00140622">
        <w:rPr>
          <w:sz w:val="24"/>
          <w:szCs w:val="24"/>
          <w:vertAlign w:val="superscript"/>
        </w:rPr>
        <w:t>i</w:t>
      </w:r>
      <w:r w:rsidR="00D156D6" w:rsidRPr="00140622">
        <w:rPr>
          <w:sz w:val="24"/>
          <w:szCs w:val="24"/>
        </w:rPr>
        <w:t>Two</w:t>
      </w:r>
      <w:proofErr w:type="spellEnd"/>
      <w:proofErr w:type="gramEnd"/>
      <w:r w:rsidR="00D156D6" w:rsidRPr="00140622">
        <w:rPr>
          <w:sz w:val="24"/>
          <w:szCs w:val="24"/>
        </w:rPr>
        <w:t xml:space="preserve"> sets of blood cultures will be obtained within 24 hours of a positive BDG test result if not already collected as a part of  clinical care.</w:t>
      </w:r>
    </w:p>
    <w:p w:rsidR="00D156D6" w:rsidRPr="00140622" w:rsidRDefault="00D156D6" w:rsidP="00FC1BDA">
      <w:pPr>
        <w:spacing w:before="0" w:after="0" w:line="480" w:lineRule="auto"/>
        <w:jc w:val="both"/>
        <w:rPr>
          <w:sz w:val="24"/>
          <w:szCs w:val="24"/>
        </w:rPr>
      </w:pPr>
    </w:p>
    <w:p w:rsidR="00D156D6" w:rsidRPr="00140622" w:rsidRDefault="00D156D6" w:rsidP="00FC1BDA">
      <w:pPr>
        <w:spacing w:before="0" w:after="0" w:line="480" w:lineRule="auto"/>
        <w:jc w:val="both"/>
        <w:rPr>
          <w:b/>
          <w:sz w:val="24"/>
          <w:szCs w:val="24"/>
        </w:rPr>
      </w:pPr>
      <w:r w:rsidRPr="00140622">
        <w:rPr>
          <w:sz w:val="24"/>
          <w:szCs w:val="24"/>
        </w:rPr>
        <w:br w:type="page"/>
      </w:r>
      <w:r w:rsidRPr="00140622">
        <w:rPr>
          <w:b/>
          <w:sz w:val="24"/>
          <w:szCs w:val="24"/>
        </w:rPr>
        <w:lastRenderedPageBreak/>
        <w:t>List of Abbreviations and Specialist Terms</w:t>
      </w:r>
    </w:p>
    <w:p w:rsidR="001863E0" w:rsidRPr="00140622" w:rsidRDefault="001863E0" w:rsidP="00FC1BDA">
      <w:pPr>
        <w:spacing w:before="0" w:after="0" w:line="480" w:lineRule="auto"/>
        <w:jc w:val="both"/>
        <w:rPr>
          <w:b/>
          <w:sz w:val="24"/>
          <w:szCs w:val="24"/>
        </w:rPr>
      </w:pPr>
    </w:p>
    <w:tbl>
      <w:tblPr>
        <w:tblW w:w="10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8500"/>
      </w:tblGrid>
      <w:tr w:rsidR="00D156D6" w:rsidRPr="00140622" w:rsidTr="00932811">
        <w:tc>
          <w:tcPr>
            <w:tcW w:w="1908" w:type="dxa"/>
            <w:shd w:val="clear" w:color="auto" w:fill="auto"/>
          </w:tcPr>
          <w:p w:rsidR="00D156D6" w:rsidRPr="00932811" w:rsidRDefault="00D156D6" w:rsidP="00932811">
            <w:pPr>
              <w:spacing w:before="0" w:after="0" w:line="480" w:lineRule="auto"/>
              <w:jc w:val="both"/>
              <w:rPr>
                <w:b/>
                <w:sz w:val="24"/>
                <w:szCs w:val="24"/>
              </w:rPr>
            </w:pPr>
            <w:r w:rsidRPr="00932811">
              <w:rPr>
                <w:b/>
                <w:sz w:val="24"/>
                <w:szCs w:val="24"/>
              </w:rPr>
              <w:t xml:space="preserve">Abbreviation or </w:t>
            </w:r>
          </w:p>
          <w:p w:rsidR="00D156D6" w:rsidRPr="00932811" w:rsidRDefault="00D156D6" w:rsidP="00932811">
            <w:pPr>
              <w:spacing w:before="0" w:after="0" w:line="480" w:lineRule="auto"/>
              <w:jc w:val="both"/>
              <w:rPr>
                <w:b/>
                <w:sz w:val="24"/>
                <w:szCs w:val="24"/>
              </w:rPr>
            </w:pPr>
            <w:r w:rsidRPr="00932811">
              <w:rPr>
                <w:b/>
                <w:sz w:val="24"/>
                <w:szCs w:val="24"/>
              </w:rPr>
              <w:t>specialist term</w:t>
            </w:r>
          </w:p>
        </w:tc>
        <w:tc>
          <w:tcPr>
            <w:tcW w:w="8500" w:type="dxa"/>
            <w:shd w:val="clear" w:color="auto" w:fill="auto"/>
          </w:tcPr>
          <w:p w:rsidR="00D156D6" w:rsidRPr="00932811" w:rsidRDefault="00D156D6" w:rsidP="00932811">
            <w:pPr>
              <w:spacing w:before="0" w:after="0" w:line="480" w:lineRule="auto"/>
              <w:jc w:val="both"/>
              <w:rPr>
                <w:b/>
                <w:sz w:val="24"/>
                <w:szCs w:val="24"/>
              </w:rPr>
            </w:pPr>
            <w:r w:rsidRPr="00932811">
              <w:rPr>
                <w:b/>
                <w:sz w:val="24"/>
                <w:szCs w:val="24"/>
              </w:rPr>
              <w:t>Explanation</w:t>
            </w:r>
          </w:p>
        </w:tc>
      </w:tr>
      <w:tr w:rsidR="00D156D6" w:rsidRPr="00140622" w:rsidTr="00932811">
        <w:tc>
          <w:tcPr>
            <w:tcW w:w="1908" w:type="dxa"/>
            <w:shd w:val="clear" w:color="auto" w:fill="auto"/>
          </w:tcPr>
          <w:p w:rsidR="00D156D6" w:rsidRPr="00932811" w:rsidRDefault="00D156D6" w:rsidP="00932811">
            <w:pPr>
              <w:spacing w:before="0" w:after="0" w:line="480" w:lineRule="auto"/>
              <w:jc w:val="both"/>
              <w:rPr>
                <w:sz w:val="24"/>
                <w:szCs w:val="24"/>
              </w:rPr>
            </w:pPr>
            <w:r w:rsidRPr="00932811">
              <w:rPr>
                <w:sz w:val="24"/>
                <w:szCs w:val="24"/>
              </w:rPr>
              <w:t>AE</w:t>
            </w:r>
          </w:p>
        </w:tc>
        <w:tc>
          <w:tcPr>
            <w:tcW w:w="8500" w:type="dxa"/>
            <w:shd w:val="clear" w:color="auto" w:fill="auto"/>
          </w:tcPr>
          <w:p w:rsidR="00D156D6" w:rsidRPr="00932811" w:rsidRDefault="00D156D6" w:rsidP="00932811">
            <w:pPr>
              <w:spacing w:before="0" w:after="0" w:line="480" w:lineRule="auto"/>
              <w:jc w:val="both"/>
              <w:rPr>
                <w:sz w:val="24"/>
                <w:szCs w:val="24"/>
              </w:rPr>
            </w:pPr>
            <w:r w:rsidRPr="00932811">
              <w:rPr>
                <w:sz w:val="24"/>
                <w:szCs w:val="24"/>
              </w:rPr>
              <w:t>Adverse event</w:t>
            </w:r>
          </w:p>
        </w:tc>
      </w:tr>
      <w:tr w:rsidR="00D156D6" w:rsidRPr="00140622" w:rsidTr="00932811">
        <w:tc>
          <w:tcPr>
            <w:tcW w:w="1908" w:type="dxa"/>
            <w:shd w:val="clear" w:color="auto" w:fill="auto"/>
          </w:tcPr>
          <w:p w:rsidR="00D156D6" w:rsidRPr="00932811" w:rsidRDefault="00D156D6" w:rsidP="00932811">
            <w:pPr>
              <w:spacing w:before="0" w:after="0" w:line="480" w:lineRule="auto"/>
              <w:jc w:val="both"/>
              <w:rPr>
                <w:sz w:val="24"/>
                <w:szCs w:val="24"/>
              </w:rPr>
            </w:pPr>
            <w:r w:rsidRPr="00932811">
              <w:rPr>
                <w:sz w:val="24"/>
                <w:szCs w:val="24"/>
              </w:rPr>
              <w:t>BDG</w:t>
            </w:r>
          </w:p>
        </w:tc>
        <w:tc>
          <w:tcPr>
            <w:tcW w:w="8500" w:type="dxa"/>
            <w:shd w:val="clear" w:color="auto" w:fill="auto"/>
          </w:tcPr>
          <w:p w:rsidR="00D156D6" w:rsidRPr="00932811" w:rsidRDefault="00D156D6" w:rsidP="00932811">
            <w:pPr>
              <w:spacing w:before="0" w:after="0" w:line="480" w:lineRule="auto"/>
              <w:jc w:val="both"/>
              <w:rPr>
                <w:sz w:val="24"/>
                <w:szCs w:val="24"/>
              </w:rPr>
            </w:pPr>
            <w:r w:rsidRPr="00932811">
              <w:rPr>
                <w:sz w:val="24"/>
                <w:szCs w:val="24"/>
              </w:rPr>
              <w:t>(1→3) β-D-</w:t>
            </w:r>
            <w:proofErr w:type="spellStart"/>
            <w:r w:rsidRPr="00932811">
              <w:rPr>
                <w:sz w:val="24"/>
                <w:szCs w:val="24"/>
              </w:rPr>
              <w:t>glucan</w:t>
            </w:r>
            <w:proofErr w:type="spellEnd"/>
          </w:p>
        </w:tc>
      </w:tr>
      <w:tr w:rsidR="00D156D6" w:rsidRPr="00140622" w:rsidTr="00932811">
        <w:tc>
          <w:tcPr>
            <w:tcW w:w="1908" w:type="dxa"/>
            <w:shd w:val="clear" w:color="auto" w:fill="auto"/>
          </w:tcPr>
          <w:p w:rsidR="00D156D6" w:rsidRPr="00932811" w:rsidRDefault="00D156D6" w:rsidP="00932811">
            <w:pPr>
              <w:spacing w:before="0" w:after="0" w:line="480" w:lineRule="auto"/>
              <w:jc w:val="both"/>
              <w:rPr>
                <w:sz w:val="24"/>
                <w:szCs w:val="24"/>
              </w:rPr>
            </w:pPr>
            <w:r w:rsidRPr="00932811">
              <w:rPr>
                <w:sz w:val="24"/>
                <w:szCs w:val="24"/>
              </w:rPr>
              <w:t>BSI</w:t>
            </w:r>
          </w:p>
        </w:tc>
        <w:tc>
          <w:tcPr>
            <w:tcW w:w="8500" w:type="dxa"/>
            <w:shd w:val="clear" w:color="auto" w:fill="auto"/>
          </w:tcPr>
          <w:p w:rsidR="00D156D6" w:rsidRPr="00932811" w:rsidRDefault="00D156D6" w:rsidP="00932811">
            <w:pPr>
              <w:spacing w:before="0" w:after="0" w:line="480" w:lineRule="auto"/>
              <w:jc w:val="both"/>
              <w:rPr>
                <w:sz w:val="24"/>
                <w:szCs w:val="24"/>
              </w:rPr>
            </w:pPr>
            <w:r w:rsidRPr="00932811">
              <w:rPr>
                <w:sz w:val="24"/>
                <w:szCs w:val="24"/>
              </w:rPr>
              <w:t>Blood stream infection</w:t>
            </w:r>
          </w:p>
        </w:tc>
      </w:tr>
      <w:tr w:rsidR="00D156D6" w:rsidRPr="00140622" w:rsidTr="00932811">
        <w:tc>
          <w:tcPr>
            <w:tcW w:w="1908" w:type="dxa"/>
            <w:shd w:val="clear" w:color="auto" w:fill="auto"/>
          </w:tcPr>
          <w:p w:rsidR="00D156D6" w:rsidRPr="00932811" w:rsidRDefault="00D156D6" w:rsidP="00932811">
            <w:pPr>
              <w:spacing w:before="0" w:after="0" w:line="480" w:lineRule="auto"/>
              <w:jc w:val="both"/>
              <w:rPr>
                <w:sz w:val="24"/>
                <w:szCs w:val="24"/>
              </w:rPr>
            </w:pPr>
            <w:r w:rsidRPr="00932811">
              <w:rPr>
                <w:sz w:val="24"/>
                <w:szCs w:val="24"/>
              </w:rPr>
              <w:t>CFR</w:t>
            </w:r>
          </w:p>
        </w:tc>
        <w:tc>
          <w:tcPr>
            <w:tcW w:w="8500" w:type="dxa"/>
            <w:shd w:val="clear" w:color="auto" w:fill="auto"/>
          </w:tcPr>
          <w:p w:rsidR="00D156D6" w:rsidRPr="00932811" w:rsidRDefault="00D156D6" w:rsidP="00932811">
            <w:pPr>
              <w:spacing w:before="0" w:after="0" w:line="480" w:lineRule="auto"/>
              <w:jc w:val="both"/>
              <w:rPr>
                <w:sz w:val="24"/>
                <w:szCs w:val="24"/>
              </w:rPr>
            </w:pPr>
            <w:r w:rsidRPr="00932811">
              <w:rPr>
                <w:sz w:val="24"/>
                <w:szCs w:val="24"/>
              </w:rPr>
              <w:t>Case fatality rate</w:t>
            </w:r>
          </w:p>
        </w:tc>
      </w:tr>
      <w:tr w:rsidR="00D156D6" w:rsidRPr="00140622" w:rsidTr="00932811">
        <w:tc>
          <w:tcPr>
            <w:tcW w:w="1908" w:type="dxa"/>
            <w:shd w:val="clear" w:color="auto" w:fill="auto"/>
          </w:tcPr>
          <w:p w:rsidR="00D156D6" w:rsidRPr="00932811" w:rsidRDefault="00D156D6" w:rsidP="00932811">
            <w:pPr>
              <w:spacing w:before="0" w:after="0" w:line="480" w:lineRule="auto"/>
              <w:jc w:val="both"/>
              <w:rPr>
                <w:sz w:val="24"/>
                <w:szCs w:val="24"/>
              </w:rPr>
            </w:pPr>
            <w:r w:rsidRPr="00932811">
              <w:rPr>
                <w:sz w:val="24"/>
                <w:szCs w:val="24"/>
              </w:rPr>
              <w:t>CRF</w:t>
            </w:r>
          </w:p>
        </w:tc>
        <w:tc>
          <w:tcPr>
            <w:tcW w:w="8500" w:type="dxa"/>
            <w:shd w:val="clear" w:color="auto" w:fill="auto"/>
          </w:tcPr>
          <w:p w:rsidR="00D156D6" w:rsidRPr="00932811" w:rsidRDefault="00D156D6" w:rsidP="00932811">
            <w:pPr>
              <w:spacing w:before="0" w:after="0" w:line="480" w:lineRule="auto"/>
              <w:jc w:val="both"/>
              <w:rPr>
                <w:sz w:val="24"/>
                <w:szCs w:val="24"/>
              </w:rPr>
            </w:pPr>
            <w:r w:rsidRPr="00932811">
              <w:rPr>
                <w:sz w:val="24"/>
                <w:szCs w:val="24"/>
              </w:rPr>
              <w:t>Case report form</w:t>
            </w:r>
          </w:p>
        </w:tc>
      </w:tr>
      <w:tr w:rsidR="00D156D6" w:rsidRPr="00140622" w:rsidTr="00932811">
        <w:tc>
          <w:tcPr>
            <w:tcW w:w="1908" w:type="dxa"/>
            <w:shd w:val="clear" w:color="auto" w:fill="auto"/>
          </w:tcPr>
          <w:p w:rsidR="00D156D6" w:rsidRPr="00932811" w:rsidRDefault="0029173A" w:rsidP="00932811">
            <w:pPr>
              <w:spacing w:before="0" w:after="0" w:line="480" w:lineRule="auto"/>
              <w:jc w:val="both"/>
              <w:rPr>
                <w:sz w:val="24"/>
                <w:szCs w:val="24"/>
              </w:rPr>
            </w:pPr>
            <w:r w:rsidRPr="00932811">
              <w:rPr>
                <w:sz w:val="24"/>
                <w:szCs w:val="24"/>
              </w:rPr>
              <w:t>DSM</w:t>
            </w:r>
          </w:p>
        </w:tc>
        <w:tc>
          <w:tcPr>
            <w:tcW w:w="8500" w:type="dxa"/>
            <w:shd w:val="clear" w:color="auto" w:fill="auto"/>
          </w:tcPr>
          <w:p w:rsidR="00D156D6" w:rsidRPr="00932811" w:rsidRDefault="0029173A" w:rsidP="00932811">
            <w:pPr>
              <w:spacing w:before="0" w:after="0" w:line="480" w:lineRule="auto"/>
              <w:jc w:val="both"/>
              <w:rPr>
                <w:sz w:val="24"/>
                <w:szCs w:val="24"/>
              </w:rPr>
            </w:pPr>
            <w:r w:rsidRPr="00932811">
              <w:rPr>
                <w:sz w:val="24"/>
                <w:szCs w:val="24"/>
              </w:rPr>
              <w:t>Data safety monitor</w:t>
            </w:r>
          </w:p>
        </w:tc>
      </w:tr>
      <w:tr w:rsidR="00D156D6" w:rsidRPr="00140622" w:rsidTr="00932811">
        <w:tc>
          <w:tcPr>
            <w:tcW w:w="1908" w:type="dxa"/>
            <w:shd w:val="clear" w:color="auto" w:fill="auto"/>
          </w:tcPr>
          <w:p w:rsidR="00D156D6" w:rsidRPr="00932811" w:rsidRDefault="00D156D6" w:rsidP="00932811">
            <w:pPr>
              <w:spacing w:before="0" w:after="0" w:line="480" w:lineRule="auto"/>
              <w:jc w:val="both"/>
              <w:rPr>
                <w:sz w:val="24"/>
                <w:szCs w:val="24"/>
              </w:rPr>
            </w:pPr>
            <w:r w:rsidRPr="00932811">
              <w:rPr>
                <w:sz w:val="24"/>
                <w:szCs w:val="24"/>
              </w:rPr>
              <w:t>EORTC/MSG</w:t>
            </w:r>
          </w:p>
        </w:tc>
        <w:tc>
          <w:tcPr>
            <w:tcW w:w="8500" w:type="dxa"/>
            <w:shd w:val="clear" w:color="auto" w:fill="auto"/>
          </w:tcPr>
          <w:p w:rsidR="00D156D6" w:rsidRPr="00932811" w:rsidRDefault="00D156D6" w:rsidP="00932811">
            <w:pPr>
              <w:spacing w:before="0" w:after="0" w:line="480" w:lineRule="auto"/>
              <w:jc w:val="both"/>
              <w:rPr>
                <w:sz w:val="24"/>
                <w:szCs w:val="24"/>
              </w:rPr>
            </w:pPr>
            <w:r w:rsidRPr="00932811">
              <w:rPr>
                <w:sz w:val="24"/>
                <w:szCs w:val="24"/>
              </w:rPr>
              <w:t>European Organization for Research and Treatment of Cancer/Mycoses Study Group</w:t>
            </w:r>
          </w:p>
        </w:tc>
      </w:tr>
      <w:tr w:rsidR="00D156D6" w:rsidRPr="00140622" w:rsidTr="00932811">
        <w:tc>
          <w:tcPr>
            <w:tcW w:w="1908" w:type="dxa"/>
            <w:shd w:val="clear" w:color="auto" w:fill="auto"/>
          </w:tcPr>
          <w:p w:rsidR="00D156D6" w:rsidRPr="00932811" w:rsidRDefault="00D156D6" w:rsidP="00932811">
            <w:pPr>
              <w:spacing w:before="0" w:after="0" w:line="480" w:lineRule="auto"/>
              <w:jc w:val="both"/>
              <w:rPr>
                <w:sz w:val="24"/>
                <w:szCs w:val="24"/>
              </w:rPr>
            </w:pPr>
            <w:r w:rsidRPr="00932811">
              <w:rPr>
                <w:sz w:val="24"/>
                <w:szCs w:val="24"/>
              </w:rPr>
              <w:t>ETS</w:t>
            </w:r>
          </w:p>
        </w:tc>
        <w:tc>
          <w:tcPr>
            <w:tcW w:w="8500" w:type="dxa"/>
            <w:shd w:val="clear" w:color="auto" w:fill="auto"/>
          </w:tcPr>
          <w:p w:rsidR="00D156D6" w:rsidRPr="00932811" w:rsidRDefault="00D156D6" w:rsidP="00932811">
            <w:pPr>
              <w:spacing w:before="0" w:after="0" w:line="480" w:lineRule="auto"/>
              <w:jc w:val="both"/>
              <w:rPr>
                <w:sz w:val="24"/>
                <w:szCs w:val="24"/>
              </w:rPr>
            </w:pPr>
            <w:r w:rsidRPr="00932811">
              <w:rPr>
                <w:sz w:val="24"/>
                <w:szCs w:val="24"/>
              </w:rPr>
              <w:t>Endotracheal suction</w:t>
            </w:r>
          </w:p>
        </w:tc>
      </w:tr>
      <w:tr w:rsidR="00D156D6" w:rsidRPr="00140622" w:rsidTr="00932811">
        <w:tc>
          <w:tcPr>
            <w:tcW w:w="1908" w:type="dxa"/>
            <w:shd w:val="clear" w:color="auto" w:fill="auto"/>
          </w:tcPr>
          <w:p w:rsidR="00D156D6" w:rsidRPr="00932811" w:rsidRDefault="00D156D6" w:rsidP="00932811">
            <w:pPr>
              <w:spacing w:before="0" w:after="0" w:line="480" w:lineRule="auto"/>
              <w:jc w:val="both"/>
              <w:rPr>
                <w:sz w:val="24"/>
                <w:szCs w:val="24"/>
              </w:rPr>
            </w:pPr>
            <w:r w:rsidRPr="00932811">
              <w:rPr>
                <w:sz w:val="24"/>
                <w:szCs w:val="24"/>
              </w:rPr>
              <w:t>FDA</w:t>
            </w:r>
          </w:p>
        </w:tc>
        <w:tc>
          <w:tcPr>
            <w:tcW w:w="8500" w:type="dxa"/>
            <w:shd w:val="clear" w:color="auto" w:fill="auto"/>
          </w:tcPr>
          <w:p w:rsidR="00D156D6" w:rsidRPr="00932811" w:rsidRDefault="00D156D6" w:rsidP="00932811">
            <w:pPr>
              <w:spacing w:before="0" w:after="0" w:line="480" w:lineRule="auto"/>
              <w:jc w:val="both"/>
              <w:rPr>
                <w:sz w:val="24"/>
                <w:szCs w:val="24"/>
              </w:rPr>
            </w:pPr>
            <w:smartTag w:uri="urn:schemas-microsoft-com:office:smarttags" w:element="place">
              <w:smartTag w:uri="urn:schemas-microsoft-com:office:smarttags" w:element="country-region">
                <w:r w:rsidRPr="00932811">
                  <w:rPr>
                    <w:sz w:val="24"/>
                    <w:szCs w:val="24"/>
                  </w:rPr>
                  <w:t>U.S.</w:t>
                </w:r>
              </w:smartTag>
            </w:smartTag>
            <w:r w:rsidRPr="00932811">
              <w:rPr>
                <w:sz w:val="24"/>
                <w:szCs w:val="24"/>
              </w:rPr>
              <w:t xml:space="preserve"> Food and Drug Administration</w:t>
            </w:r>
          </w:p>
        </w:tc>
      </w:tr>
      <w:tr w:rsidR="00D156D6" w:rsidRPr="00140622" w:rsidTr="00932811">
        <w:tc>
          <w:tcPr>
            <w:tcW w:w="1908" w:type="dxa"/>
            <w:shd w:val="clear" w:color="auto" w:fill="auto"/>
          </w:tcPr>
          <w:p w:rsidR="00D156D6" w:rsidRPr="00932811" w:rsidRDefault="00D156D6" w:rsidP="00932811">
            <w:pPr>
              <w:spacing w:before="0" w:after="0" w:line="480" w:lineRule="auto"/>
              <w:jc w:val="both"/>
              <w:rPr>
                <w:sz w:val="24"/>
                <w:szCs w:val="24"/>
              </w:rPr>
            </w:pPr>
            <w:r w:rsidRPr="00932811">
              <w:rPr>
                <w:sz w:val="24"/>
                <w:szCs w:val="24"/>
              </w:rPr>
              <w:t>GU</w:t>
            </w:r>
          </w:p>
        </w:tc>
        <w:tc>
          <w:tcPr>
            <w:tcW w:w="8500" w:type="dxa"/>
            <w:shd w:val="clear" w:color="auto" w:fill="auto"/>
          </w:tcPr>
          <w:p w:rsidR="00D156D6" w:rsidRPr="00932811" w:rsidRDefault="00D156D6" w:rsidP="00932811">
            <w:pPr>
              <w:spacing w:before="0" w:after="0" w:line="480" w:lineRule="auto"/>
              <w:jc w:val="both"/>
              <w:rPr>
                <w:sz w:val="24"/>
                <w:szCs w:val="24"/>
              </w:rPr>
            </w:pPr>
            <w:r w:rsidRPr="00932811">
              <w:rPr>
                <w:sz w:val="24"/>
                <w:szCs w:val="24"/>
              </w:rPr>
              <w:t>Genitourinary</w:t>
            </w:r>
          </w:p>
        </w:tc>
      </w:tr>
      <w:tr w:rsidR="00D156D6" w:rsidRPr="00140622" w:rsidTr="00932811">
        <w:tc>
          <w:tcPr>
            <w:tcW w:w="1908" w:type="dxa"/>
            <w:shd w:val="clear" w:color="auto" w:fill="auto"/>
          </w:tcPr>
          <w:p w:rsidR="00D156D6" w:rsidRPr="00932811" w:rsidRDefault="00D156D6" w:rsidP="00932811">
            <w:pPr>
              <w:spacing w:before="0" w:after="0" w:line="480" w:lineRule="auto"/>
              <w:jc w:val="both"/>
              <w:rPr>
                <w:sz w:val="24"/>
                <w:szCs w:val="24"/>
              </w:rPr>
            </w:pPr>
            <w:r w:rsidRPr="00932811">
              <w:rPr>
                <w:sz w:val="24"/>
                <w:szCs w:val="24"/>
              </w:rPr>
              <w:t>HSCT</w:t>
            </w:r>
          </w:p>
        </w:tc>
        <w:tc>
          <w:tcPr>
            <w:tcW w:w="8500" w:type="dxa"/>
            <w:shd w:val="clear" w:color="auto" w:fill="auto"/>
          </w:tcPr>
          <w:p w:rsidR="00D156D6" w:rsidRPr="00932811" w:rsidRDefault="00D156D6" w:rsidP="00932811">
            <w:pPr>
              <w:spacing w:before="0" w:after="0" w:line="480" w:lineRule="auto"/>
              <w:jc w:val="both"/>
              <w:rPr>
                <w:sz w:val="24"/>
                <w:szCs w:val="24"/>
              </w:rPr>
            </w:pPr>
            <w:r w:rsidRPr="00932811">
              <w:rPr>
                <w:sz w:val="24"/>
                <w:szCs w:val="24"/>
              </w:rPr>
              <w:t>Hematopoietic stem cell transplant; for this report, includes all blood- a</w:t>
            </w:r>
            <w:r w:rsidR="0029173A" w:rsidRPr="00932811">
              <w:rPr>
                <w:sz w:val="24"/>
                <w:szCs w:val="24"/>
              </w:rPr>
              <w:t xml:space="preserve">nd marrow-derived </w:t>
            </w:r>
            <w:r w:rsidRPr="00932811">
              <w:rPr>
                <w:sz w:val="24"/>
                <w:szCs w:val="24"/>
              </w:rPr>
              <w:t>stem cell transplants</w:t>
            </w:r>
          </w:p>
        </w:tc>
      </w:tr>
      <w:tr w:rsidR="00D156D6" w:rsidRPr="00140622" w:rsidTr="00932811">
        <w:tc>
          <w:tcPr>
            <w:tcW w:w="1908" w:type="dxa"/>
            <w:shd w:val="clear" w:color="auto" w:fill="auto"/>
          </w:tcPr>
          <w:p w:rsidR="00D156D6" w:rsidRPr="00932811" w:rsidRDefault="00D156D6" w:rsidP="00932811">
            <w:pPr>
              <w:spacing w:before="0" w:after="0" w:line="480" w:lineRule="auto"/>
              <w:jc w:val="both"/>
              <w:rPr>
                <w:sz w:val="24"/>
                <w:szCs w:val="24"/>
              </w:rPr>
            </w:pPr>
            <w:r w:rsidRPr="00932811">
              <w:rPr>
                <w:sz w:val="24"/>
                <w:szCs w:val="24"/>
              </w:rPr>
              <w:t>IC</w:t>
            </w:r>
          </w:p>
        </w:tc>
        <w:tc>
          <w:tcPr>
            <w:tcW w:w="8500" w:type="dxa"/>
            <w:shd w:val="clear" w:color="auto" w:fill="auto"/>
          </w:tcPr>
          <w:p w:rsidR="00D156D6" w:rsidRPr="00932811" w:rsidRDefault="0029173A" w:rsidP="00932811">
            <w:pPr>
              <w:spacing w:before="0" w:after="0" w:line="480" w:lineRule="auto"/>
              <w:jc w:val="both"/>
              <w:rPr>
                <w:sz w:val="24"/>
                <w:szCs w:val="24"/>
              </w:rPr>
            </w:pPr>
            <w:r w:rsidRPr="00932811">
              <w:rPr>
                <w:sz w:val="24"/>
                <w:szCs w:val="24"/>
              </w:rPr>
              <w:t>Invasive c</w:t>
            </w:r>
            <w:r w:rsidR="00D156D6" w:rsidRPr="00932811">
              <w:rPr>
                <w:sz w:val="24"/>
                <w:szCs w:val="24"/>
              </w:rPr>
              <w:t>andidiasis</w:t>
            </w:r>
          </w:p>
        </w:tc>
      </w:tr>
      <w:tr w:rsidR="00D156D6" w:rsidRPr="00140622" w:rsidTr="00932811">
        <w:tc>
          <w:tcPr>
            <w:tcW w:w="1908" w:type="dxa"/>
            <w:shd w:val="clear" w:color="auto" w:fill="auto"/>
          </w:tcPr>
          <w:p w:rsidR="00D156D6" w:rsidRPr="00932811" w:rsidRDefault="00D156D6" w:rsidP="00932811">
            <w:pPr>
              <w:spacing w:before="0" w:after="0" w:line="480" w:lineRule="auto"/>
              <w:jc w:val="both"/>
              <w:rPr>
                <w:sz w:val="24"/>
                <w:szCs w:val="24"/>
              </w:rPr>
            </w:pPr>
            <w:r w:rsidRPr="00932811">
              <w:rPr>
                <w:sz w:val="24"/>
                <w:szCs w:val="24"/>
              </w:rPr>
              <w:t>IFI</w:t>
            </w:r>
          </w:p>
        </w:tc>
        <w:tc>
          <w:tcPr>
            <w:tcW w:w="8500" w:type="dxa"/>
            <w:shd w:val="clear" w:color="auto" w:fill="auto"/>
          </w:tcPr>
          <w:p w:rsidR="00D156D6" w:rsidRPr="00932811" w:rsidRDefault="00D156D6" w:rsidP="00932811">
            <w:pPr>
              <w:spacing w:before="0" w:after="0" w:line="480" w:lineRule="auto"/>
              <w:jc w:val="both"/>
              <w:rPr>
                <w:sz w:val="24"/>
                <w:szCs w:val="24"/>
              </w:rPr>
            </w:pPr>
            <w:r w:rsidRPr="00932811">
              <w:rPr>
                <w:sz w:val="24"/>
                <w:szCs w:val="24"/>
              </w:rPr>
              <w:t>Invasive fungal infection</w:t>
            </w:r>
          </w:p>
        </w:tc>
      </w:tr>
      <w:tr w:rsidR="00D156D6" w:rsidRPr="00140622" w:rsidTr="00932811">
        <w:tc>
          <w:tcPr>
            <w:tcW w:w="1908" w:type="dxa"/>
            <w:shd w:val="clear" w:color="auto" w:fill="auto"/>
          </w:tcPr>
          <w:p w:rsidR="00D156D6" w:rsidRPr="00932811" w:rsidRDefault="00D156D6" w:rsidP="00932811">
            <w:pPr>
              <w:spacing w:before="0" w:after="0" w:line="480" w:lineRule="auto"/>
              <w:jc w:val="both"/>
              <w:rPr>
                <w:sz w:val="24"/>
                <w:szCs w:val="24"/>
              </w:rPr>
            </w:pPr>
            <w:r w:rsidRPr="00932811">
              <w:rPr>
                <w:sz w:val="24"/>
                <w:szCs w:val="24"/>
              </w:rPr>
              <w:t>IRB</w:t>
            </w:r>
          </w:p>
        </w:tc>
        <w:tc>
          <w:tcPr>
            <w:tcW w:w="8500" w:type="dxa"/>
            <w:shd w:val="clear" w:color="auto" w:fill="auto"/>
          </w:tcPr>
          <w:p w:rsidR="00D156D6" w:rsidRPr="00932811" w:rsidRDefault="00D156D6" w:rsidP="00932811">
            <w:pPr>
              <w:spacing w:before="0" w:after="0" w:line="480" w:lineRule="auto"/>
              <w:jc w:val="both"/>
              <w:rPr>
                <w:sz w:val="24"/>
                <w:szCs w:val="24"/>
              </w:rPr>
            </w:pPr>
            <w:r w:rsidRPr="00932811">
              <w:rPr>
                <w:sz w:val="24"/>
                <w:szCs w:val="24"/>
              </w:rPr>
              <w:t>Institutional Review Board</w:t>
            </w:r>
          </w:p>
        </w:tc>
      </w:tr>
      <w:tr w:rsidR="00D156D6" w:rsidRPr="00140622" w:rsidTr="00932811">
        <w:tc>
          <w:tcPr>
            <w:tcW w:w="1908" w:type="dxa"/>
            <w:shd w:val="clear" w:color="auto" w:fill="auto"/>
          </w:tcPr>
          <w:p w:rsidR="00D156D6" w:rsidRPr="00932811" w:rsidRDefault="00D156D6" w:rsidP="00932811">
            <w:pPr>
              <w:spacing w:before="0" w:after="0" w:line="480" w:lineRule="auto"/>
              <w:jc w:val="both"/>
              <w:rPr>
                <w:sz w:val="24"/>
                <w:szCs w:val="24"/>
              </w:rPr>
            </w:pPr>
            <w:r w:rsidRPr="00932811">
              <w:rPr>
                <w:sz w:val="24"/>
                <w:szCs w:val="24"/>
              </w:rPr>
              <w:t>IV</w:t>
            </w:r>
          </w:p>
        </w:tc>
        <w:tc>
          <w:tcPr>
            <w:tcW w:w="8500" w:type="dxa"/>
            <w:shd w:val="clear" w:color="auto" w:fill="auto"/>
          </w:tcPr>
          <w:p w:rsidR="00D156D6" w:rsidRPr="00932811" w:rsidRDefault="00D156D6" w:rsidP="00932811">
            <w:pPr>
              <w:spacing w:before="0" w:after="0" w:line="480" w:lineRule="auto"/>
              <w:jc w:val="both"/>
              <w:rPr>
                <w:sz w:val="24"/>
                <w:szCs w:val="24"/>
              </w:rPr>
            </w:pPr>
            <w:r w:rsidRPr="00932811">
              <w:rPr>
                <w:sz w:val="24"/>
                <w:szCs w:val="24"/>
              </w:rPr>
              <w:t>Intravenous</w:t>
            </w:r>
          </w:p>
        </w:tc>
      </w:tr>
      <w:tr w:rsidR="00D156D6" w:rsidRPr="00140622" w:rsidTr="00932811">
        <w:tc>
          <w:tcPr>
            <w:tcW w:w="1908" w:type="dxa"/>
            <w:shd w:val="clear" w:color="auto" w:fill="auto"/>
          </w:tcPr>
          <w:p w:rsidR="00D156D6" w:rsidRPr="00932811" w:rsidRDefault="00D156D6" w:rsidP="00932811">
            <w:pPr>
              <w:spacing w:before="0" w:after="0" w:line="480" w:lineRule="auto"/>
              <w:jc w:val="both"/>
              <w:rPr>
                <w:sz w:val="24"/>
                <w:szCs w:val="24"/>
              </w:rPr>
            </w:pPr>
            <w:r w:rsidRPr="00932811">
              <w:rPr>
                <w:sz w:val="24"/>
                <w:szCs w:val="24"/>
              </w:rPr>
              <w:t>LFTs</w:t>
            </w:r>
          </w:p>
        </w:tc>
        <w:tc>
          <w:tcPr>
            <w:tcW w:w="8500" w:type="dxa"/>
            <w:shd w:val="clear" w:color="auto" w:fill="auto"/>
          </w:tcPr>
          <w:p w:rsidR="00D156D6" w:rsidRPr="00932811" w:rsidRDefault="009F624B" w:rsidP="00932811">
            <w:pPr>
              <w:spacing w:before="0" w:after="0" w:line="480" w:lineRule="auto"/>
              <w:jc w:val="both"/>
              <w:rPr>
                <w:sz w:val="24"/>
                <w:szCs w:val="24"/>
              </w:rPr>
            </w:pPr>
            <w:r w:rsidRPr="00932811">
              <w:rPr>
                <w:sz w:val="24"/>
                <w:szCs w:val="24"/>
              </w:rPr>
              <w:t>Liver function t</w:t>
            </w:r>
            <w:r w:rsidR="00D156D6" w:rsidRPr="00932811">
              <w:rPr>
                <w:sz w:val="24"/>
                <w:szCs w:val="24"/>
              </w:rPr>
              <w:t>ests</w:t>
            </w:r>
          </w:p>
        </w:tc>
      </w:tr>
      <w:tr w:rsidR="00D156D6" w:rsidRPr="00140622" w:rsidTr="00932811">
        <w:tc>
          <w:tcPr>
            <w:tcW w:w="1908" w:type="dxa"/>
            <w:shd w:val="clear" w:color="auto" w:fill="auto"/>
          </w:tcPr>
          <w:p w:rsidR="00D156D6" w:rsidRPr="00932811" w:rsidRDefault="00D156D6" w:rsidP="00932811">
            <w:pPr>
              <w:spacing w:before="0" w:after="0" w:line="480" w:lineRule="auto"/>
              <w:jc w:val="both"/>
              <w:rPr>
                <w:sz w:val="24"/>
                <w:szCs w:val="24"/>
              </w:rPr>
            </w:pPr>
            <w:r w:rsidRPr="00932811">
              <w:rPr>
                <w:sz w:val="24"/>
                <w:szCs w:val="24"/>
              </w:rPr>
              <w:t>LLN</w:t>
            </w:r>
          </w:p>
        </w:tc>
        <w:tc>
          <w:tcPr>
            <w:tcW w:w="8500" w:type="dxa"/>
            <w:shd w:val="clear" w:color="auto" w:fill="auto"/>
          </w:tcPr>
          <w:p w:rsidR="00D156D6" w:rsidRPr="00932811" w:rsidRDefault="00D156D6" w:rsidP="00932811">
            <w:pPr>
              <w:spacing w:before="0" w:after="0" w:line="480" w:lineRule="auto"/>
              <w:jc w:val="both"/>
              <w:rPr>
                <w:sz w:val="24"/>
                <w:szCs w:val="24"/>
              </w:rPr>
            </w:pPr>
            <w:r w:rsidRPr="00932811">
              <w:rPr>
                <w:sz w:val="24"/>
                <w:szCs w:val="24"/>
              </w:rPr>
              <w:t>Lower limit of normal</w:t>
            </w:r>
          </w:p>
        </w:tc>
      </w:tr>
      <w:tr w:rsidR="00D156D6" w:rsidRPr="00140622" w:rsidTr="00932811">
        <w:tc>
          <w:tcPr>
            <w:tcW w:w="1908" w:type="dxa"/>
            <w:shd w:val="clear" w:color="auto" w:fill="auto"/>
          </w:tcPr>
          <w:p w:rsidR="00D156D6" w:rsidRPr="00932811" w:rsidRDefault="00D156D6" w:rsidP="00932811">
            <w:pPr>
              <w:spacing w:before="0" w:after="0" w:line="480" w:lineRule="auto"/>
              <w:jc w:val="both"/>
              <w:rPr>
                <w:sz w:val="24"/>
                <w:szCs w:val="24"/>
              </w:rPr>
            </w:pPr>
            <w:r w:rsidRPr="00932811">
              <w:rPr>
                <w:sz w:val="24"/>
                <w:szCs w:val="24"/>
              </w:rPr>
              <w:t>OD</w:t>
            </w:r>
          </w:p>
        </w:tc>
        <w:tc>
          <w:tcPr>
            <w:tcW w:w="8500" w:type="dxa"/>
            <w:shd w:val="clear" w:color="auto" w:fill="auto"/>
          </w:tcPr>
          <w:p w:rsidR="00D156D6" w:rsidRPr="00932811" w:rsidRDefault="00D156D6" w:rsidP="00932811">
            <w:pPr>
              <w:spacing w:before="0" w:after="0" w:line="480" w:lineRule="auto"/>
              <w:jc w:val="both"/>
              <w:rPr>
                <w:sz w:val="24"/>
                <w:szCs w:val="24"/>
              </w:rPr>
            </w:pPr>
            <w:r w:rsidRPr="00932811">
              <w:rPr>
                <w:sz w:val="24"/>
                <w:szCs w:val="24"/>
              </w:rPr>
              <w:t>Optical density</w:t>
            </w:r>
          </w:p>
        </w:tc>
      </w:tr>
      <w:tr w:rsidR="00ED7C55" w:rsidRPr="00140622" w:rsidTr="00932811">
        <w:tc>
          <w:tcPr>
            <w:tcW w:w="1908" w:type="dxa"/>
            <w:shd w:val="clear" w:color="auto" w:fill="auto"/>
          </w:tcPr>
          <w:p w:rsidR="00ED7C55" w:rsidRPr="00932811" w:rsidRDefault="00ED7C55" w:rsidP="00932811">
            <w:pPr>
              <w:spacing w:before="0" w:after="0" w:line="480" w:lineRule="auto"/>
              <w:jc w:val="both"/>
              <w:rPr>
                <w:sz w:val="24"/>
                <w:szCs w:val="24"/>
              </w:rPr>
            </w:pPr>
            <w:r w:rsidRPr="00932811">
              <w:rPr>
                <w:sz w:val="24"/>
                <w:szCs w:val="24"/>
              </w:rPr>
              <w:lastRenderedPageBreak/>
              <w:t>RNA</w:t>
            </w:r>
          </w:p>
        </w:tc>
        <w:tc>
          <w:tcPr>
            <w:tcW w:w="8500" w:type="dxa"/>
            <w:shd w:val="clear" w:color="auto" w:fill="auto"/>
          </w:tcPr>
          <w:p w:rsidR="00ED7C55" w:rsidRPr="00932811" w:rsidRDefault="00ED7C55" w:rsidP="00932811">
            <w:pPr>
              <w:spacing w:before="0" w:after="0" w:line="480" w:lineRule="auto"/>
              <w:jc w:val="both"/>
              <w:rPr>
                <w:sz w:val="24"/>
                <w:szCs w:val="24"/>
              </w:rPr>
            </w:pPr>
            <w:r w:rsidRPr="00932811">
              <w:rPr>
                <w:sz w:val="24"/>
                <w:szCs w:val="24"/>
              </w:rPr>
              <w:t>Ribonucleic acid</w:t>
            </w:r>
          </w:p>
        </w:tc>
      </w:tr>
      <w:tr w:rsidR="00D156D6" w:rsidRPr="00140622" w:rsidTr="00932811">
        <w:tc>
          <w:tcPr>
            <w:tcW w:w="1908" w:type="dxa"/>
            <w:shd w:val="clear" w:color="auto" w:fill="auto"/>
          </w:tcPr>
          <w:p w:rsidR="00D156D6" w:rsidRPr="00932811" w:rsidRDefault="00D156D6" w:rsidP="00932811">
            <w:pPr>
              <w:spacing w:before="0" w:after="0" w:line="480" w:lineRule="auto"/>
              <w:jc w:val="both"/>
              <w:rPr>
                <w:sz w:val="24"/>
                <w:szCs w:val="24"/>
              </w:rPr>
            </w:pPr>
            <w:r w:rsidRPr="00932811">
              <w:rPr>
                <w:sz w:val="24"/>
                <w:szCs w:val="24"/>
              </w:rPr>
              <w:t>RTT</w:t>
            </w:r>
          </w:p>
        </w:tc>
        <w:tc>
          <w:tcPr>
            <w:tcW w:w="8500" w:type="dxa"/>
            <w:shd w:val="clear" w:color="auto" w:fill="auto"/>
          </w:tcPr>
          <w:p w:rsidR="00D156D6" w:rsidRPr="00932811" w:rsidRDefault="00D156D6" w:rsidP="00932811">
            <w:pPr>
              <w:spacing w:before="0" w:after="0" w:line="480" w:lineRule="auto"/>
              <w:jc w:val="both"/>
              <w:rPr>
                <w:sz w:val="24"/>
                <w:szCs w:val="24"/>
              </w:rPr>
            </w:pPr>
            <w:r w:rsidRPr="00932811">
              <w:rPr>
                <w:sz w:val="24"/>
                <w:szCs w:val="24"/>
              </w:rPr>
              <w:t>Response-to-therapy</w:t>
            </w:r>
          </w:p>
        </w:tc>
      </w:tr>
      <w:tr w:rsidR="00D156D6" w:rsidRPr="00140622" w:rsidTr="00932811">
        <w:tc>
          <w:tcPr>
            <w:tcW w:w="1908" w:type="dxa"/>
            <w:shd w:val="clear" w:color="auto" w:fill="auto"/>
          </w:tcPr>
          <w:p w:rsidR="00D156D6" w:rsidRPr="00932811" w:rsidRDefault="00D156D6" w:rsidP="00932811">
            <w:pPr>
              <w:spacing w:before="0" w:after="0" w:line="480" w:lineRule="auto"/>
              <w:jc w:val="both"/>
              <w:rPr>
                <w:sz w:val="24"/>
                <w:szCs w:val="24"/>
              </w:rPr>
            </w:pPr>
            <w:r w:rsidRPr="00932811">
              <w:rPr>
                <w:sz w:val="24"/>
                <w:szCs w:val="24"/>
              </w:rPr>
              <w:t>SAE</w:t>
            </w:r>
          </w:p>
        </w:tc>
        <w:tc>
          <w:tcPr>
            <w:tcW w:w="8500" w:type="dxa"/>
            <w:shd w:val="clear" w:color="auto" w:fill="auto"/>
          </w:tcPr>
          <w:p w:rsidR="00D156D6" w:rsidRPr="00932811" w:rsidRDefault="00D156D6" w:rsidP="00932811">
            <w:pPr>
              <w:spacing w:before="0" w:after="0" w:line="480" w:lineRule="auto"/>
              <w:jc w:val="both"/>
              <w:rPr>
                <w:sz w:val="24"/>
                <w:szCs w:val="24"/>
              </w:rPr>
            </w:pPr>
            <w:r w:rsidRPr="00932811">
              <w:rPr>
                <w:sz w:val="24"/>
                <w:szCs w:val="24"/>
              </w:rPr>
              <w:t>Serious adverse event</w:t>
            </w:r>
          </w:p>
        </w:tc>
      </w:tr>
      <w:tr w:rsidR="00D156D6" w:rsidRPr="00140622" w:rsidTr="00932811">
        <w:tc>
          <w:tcPr>
            <w:tcW w:w="1908" w:type="dxa"/>
            <w:shd w:val="clear" w:color="auto" w:fill="auto"/>
          </w:tcPr>
          <w:p w:rsidR="00D156D6" w:rsidRPr="00932811" w:rsidRDefault="00D156D6" w:rsidP="00932811">
            <w:pPr>
              <w:spacing w:before="0" w:after="0" w:line="480" w:lineRule="auto"/>
              <w:jc w:val="both"/>
              <w:rPr>
                <w:sz w:val="24"/>
                <w:szCs w:val="24"/>
              </w:rPr>
            </w:pPr>
            <w:r w:rsidRPr="00932811">
              <w:rPr>
                <w:sz w:val="24"/>
                <w:szCs w:val="24"/>
              </w:rPr>
              <w:t>SICU</w:t>
            </w:r>
          </w:p>
        </w:tc>
        <w:tc>
          <w:tcPr>
            <w:tcW w:w="8500" w:type="dxa"/>
            <w:shd w:val="clear" w:color="auto" w:fill="auto"/>
          </w:tcPr>
          <w:p w:rsidR="00D156D6" w:rsidRPr="00932811" w:rsidRDefault="009F624B" w:rsidP="00932811">
            <w:pPr>
              <w:spacing w:before="0" w:after="0" w:line="480" w:lineRule="auto"/>
              <w:jc w:val="both"/>
              <w:rPr>
                <w:sz w:val="24"/>
                <w:szCs w:val="24"/>
              </w:rPr>
            </w:pPr>
            <w:r w:rsidRPr="00932811">
              <w:rPr>
                <w:sz w:val="24"/>
                <w:szCs w:val="24"/>
              </w:rPr>
              <w:t>Surgical intensive care u</w:t>
            </w:r>
            <w:r w:rsidR="00D156D6" w:rsidRPr="00932811">
              <w:rPr>
                <w:sz w:val="24"/>
                <w:szCs w:val="24"/>
              </w:rPr>
              <w:t>nit</w:t>
            </w:r>
          </w:p>
        </w:tc>
      </w:tr>
      <w:tr w:rsidR="00D156D6" w:rsidRPr="00140622" w:rsidTr="00932811">
        <w:tc>
          <w:tcPr>
            <w:tcW w:w="1908" w:type="dxa"/>
            <w:shd w:val="clear" w:color="auto" w:fill="auto"/>
          </w:tcPr>
          <w:p w:rsidR="00D156D6" w:rsidRPr="00932811" w:rsidRDefault="00D156D6" w:rsidP="00932811">
            <w:pPr>
              <w:spacing w:before="0" w:after="0" w:line="480" w:lineRule="auto"/>
              <w:jc w:val="both"/>
              <w:rPr>
                <w:sz w:val="24"/>
                <w:szCs w:val="24"/>
              </w:rPr>
            </w:pPr>
            <w:r w:rsidRPr="00932811">
              <w:rPr>
                <w:sz w:val="24"/>
                <w:szCs w:val="24"/>
              </w:rPr>
              <w:t>TPN</w:t>
            </w:r>
          </w:p>
        </w:tc>
        <w:tc>
          <w:tcPr>
            <w:tcW w:w="8500" w:type="dxa"/>
            <w:shd w:val="clear" w:color="auto" w:fill="auto"/>
          </w:tcPr>
          <w:p w:rsidR="00D156D6" w:rsidRPr="00932811" w:rsidRDefault="00D156D6" w:rsidP="00932811">
            <w:pPr>
              <w:spacing w:before="0" w:after="0" w:line="480" w:lineRule="auto"/>
              <w:jc w:val="both"/>
              <w:rPr>
                <w:sz w:val="24"/>
                <w:szCs w:val="24"/>
              </w:rPr>
            </w:pPr>
            <w:r w:rsidRPr="00932811">
              <w:rPr>
                <w:sz w:val="24"/>
                <w:szCs w:val="24"/>
              </w:rPr>
              <w:t xml:space="preserve">Total </w:t>
            </w:r>
            <w:proofErr w:type="spellStart"/>
            <w:r w:rsidR="00B640E3" w:rsidRPr="00932811">
              <w:rPr>
                <w:sz w:val="24"/>
                <w:szCs w:val="24"/>
              </w:rPr>
              <w:t>parentral</w:t>
            </w:r>
            <w:proofErr w:type="spellEnd"/>
            <w:r w:rsidRPr="00932811">
              <w:rPr>
                <w:sz w:val="24"/>
                <w:szCs w:val="24"/>
              </w:rPr>
              <w:t xml:space="preserve"> nutrition</w:t>
            </w:r>
          </w:p>
        </w:tc>
      </w:tr>
      <w:tr w:rsidR="00D156D6" w:rsidRPr="00140622" w:rsidTr="00932811">
        <w:tc>
          <w:tcPr>
            <w:tcW w:w="1908" w:type="dxa"/>
            <w:shd w:val="clear" w:color="auto" w:fill="auto"/>
          </w:tcPr>
          <w:p w:rsidR="00D156D6" w:rsidRPr="00932811" w:rsidRDefault="00D156D6" w:rsidP="00932811">
            <w:pPr>
              <w:spacing w:before="0" w:after="0" w:line="480" w:lineRule="auto"/>
              <w:jc w:val="both"/>
              <w:rPr>
                <w:sz w:val="24"/>
                <w:szCs w:val="24"/>
              </w:rPr>
            </w:pPr>
            <w:r w:rsidRPr="00932811">
              <w:rPr>
                <w:sz w:val="24"/>
                <w:szCs w:val="24"/>
              </w:rPr>
              <w:t>SOT</w:t>
            </w:r>
          </w:p>
        </w:tc>
        <w:tc>
          <w:tcPr>
            <w:tcW w:w="8500" w:type="dxa"/>
            <w:shd w:val="clear" w:color="auto" w:fill="auto"/>
          </w:tcPr>
          <w:p w:rsidR="00D156D6" w:rsidRPr="00932811" w:rsidRDefault="00D156D6" w:rsidP="00932811">
            <w:pPr>
              <w:spacing w:before="0" w:after="0" w:line="480" w:lineRule="auto"/>
              <w:jc w:val="both"/>
              <w:rPr>
                <w:sz w:val="24"/>
                <w:szCs w:val="24"/>
              </w:rPr>
            </w:pPr>
            <w:r w:rsidRPr="00932811">
              <w:rPr>
                <w:sz w:val="24"/>
                <w:szCs w:val="24"/>
              </w:rPr>
              <w:t xml:space="preserve">Solid </w:t>
            </w:r>
            <w:r w:rsidR="009F624B" w:rsidRPr="00932811">
              <w:rPr>
                <w:sz w:val="24"/>
                <w:szCs w:val="24"/>
              </w:rPr>
              <w:t>organ t</w:t>
            </w:r>
            <w:r w:rsidRPr="00932811">
              <w:rPr>
                <w:sz w:val="24"/>
                <w:szCs w:val="24"/>
              </w:rPr>
              <w:t>ransplant</w:t>
            </w:r>
          </w:p>
        </w:tc>
      </w:tr>
      <w:tr w:rsidR="00D156D6" w:rsidRPr="00140622" w:rsidTr="00932811">
        <w:tc>
          <w:tcPr>
            <w:tcW w:w="1908" w:type="dxa"/>
            <w:shd w:val="clear" w:color="auto" w:fill="auto"/>
          </w:tcPr>
          <w:p w:rsidR="00D156D6" w:rsidRPr="00932811" w:rsidRDefault="00D156D6" w:rsidP="00932811">
            <w:pPr>
              <w:spacing w:before="0" w:after="0" w:line="480" w:lineRule="auto"/>
              <w:jc w:val="both"/>
              <w:rPr>
                <w:sz w:val="24"/>
                <w:szCs w:val="24"/>
              </w:rPr>
            </w:pPr>
            <w:r w:rsidRPr="00932811">
              <w:rPr>
                <w:sz w:val="24"/>
                <w:szCs w:val="24"/>
              </w:rPr>
              <w:t>ULN</w:t>
            </w:r>
          </w:p>
        </w:tc>
        <w:tc>
          <w:tcPr>
            <w:tcW w:w="8500" w:type="dxa"/>
            <w:shd w:val="clear" w:color="auto" w:fill="auto"/>
          </w:tcPr>
          <w:p w:rsidR="00D156D6" w:rsidRPr="00932811" w:rsidRDefault="00D156D6" w:rsidP="00932811">
            <w:pPr>
              <w:spacing w:before="0" w:after="0" w:line="480" w:lineRule="auto"/>
              <w:jc w:val="both"/>
              <w:rPr>
                <w:sz w:val="24"/>
                <w:szCs w:val="24"/>
              </w:rPr>
            </w:pPr>
            <w:r w:rsidRPr="00932811">
              <w:rPr>
                <w:sz w:val="24"/>
                <w:szCs w:val="24"/>
              </w:rPr>
              <w:t>Upper limits of normal</w:t>
            </w:r>
          </w:p>
        </w:tc>
      </w:tr>
      <w:tr w:rsidR="00D156D6" w:rsidRPr="00140622" w:rsidTr="00932811">
        <w:tc>
          <w:tcPr>
            <w:tcW w:w="1908" w:type="dxa"/>
            <w:shd w:val="clear" w:color="auto" w:fill="auto"/>
          </w:tcPr>
          <w:p w:rsidR="00D156D6" w:rsidRPr="00932811" w:rsidRDefault="00D156D6" w:rsidP="00932811">
            <w:pPr>
              <w:spacing w:before="0" w:after="0" w:line="480" w:lineRule="auto"/>
              <w:jc w:val="both"/>
              <w:rPr>
                <w:sz w:val="24"/>
                <w:szCs w:val="24"/>
              </w:rPr>
            </w:pPr>
            <w:r w:rsidRPr="00932811">
              <w:rPr>
                <w:sz w:val="24"/>
                <w:szCs w:val="24"/>
              </w:rPr>
              <w:t>WNL</w:t>
            </w:r>
          </w:p>
        </w:tc>
        <w:tc>
          <w:tcPr>
            <w:tcW w:w="8500" w:type="dxa"/>
            <w:shd w:val="clear" w:color="auto" w:fill="auto"/>
          </w:tcPr>
          <w:p w:rsidR="00D156D6" w:rsidRPr="00932811" w:rsidRDefault="00D156D6" w:rsidP="00932811">
            <w:pPr>
              <w:spacing w:before="0" w:after="0" w:line="480" w:lineRule="auto"/>
              <w:jc w:val="both"/>
              <w:rPr>
                <w:sz w:val="24"/>
                <w:szCs w:val="24"/>
              </w:rPr>
            </w:pPr>
            <w:r w:rsidRPr="00932811">
              <w:rPr>
                <w:sz w:val="24"/>
                <w:szCs w:val="24"/>
              </w:rPr>
              <w:t>Within normal limits</w:t>
            </w:r>
          </w:p>
        </w:tc>
      </w:tr>
    </w:tbl>
    <w:p w:rsidR="00D156D6" w:rsidRPr="00140622" w:rsidRDefault="00D156D6" w:rsidP="00FC1BDA">
      <w:pPr>
        <w:spacing w:before="0" w:after="0" w:line="480" w:lineRule="auto"/>
        <w:jc w:val="both"/>
        <w:rPr>
          <w:sz w:val="24"/>
          <w:szCs w:val="24"/>
        </w:rPr>
      </w:pPr>
    </w:p>
    <w:p w:rsidR="00D156D6" w:rsidRPr="00140622" w:rsidRDefault="00D156D6" w:rsidP="00FC1BDA">
      <w:pPr>
        <w:spacing w:before="0" w:after="0" w:line="480" w:lineRule="auto"/>
        <w:jc w:val="both"/>
        <w:rPr>
          <w:sz w:val="24"/>
          <w:szCs w:val="24"/>
        </w:rPr>
      </w:pPr>
      <w:r w:rsidRPr="00140622">
        <w:rPr>
          <w:sz w:val="24"/>
          <w:szCs w:val="24"/>
        </w:rPr>
        <w:br w:type="page"/>
      </w:r>
    </w:p>
    <w:p w:rsidR="00164939" w:rsidRPr="00140622" w:rsidRDefault="00CA1CE8" w:rsidP="00FC1BDA">
      <w:pPr>
        <w:spacing w:before="0" w:after="0" w:line="480" w:lineRule="auto"/>
        <w:jc w:val="both"/>
        <w:rPr>
          <w:b/>
          <w:sz w:val="24"/>
          <w:szCs w:val="24"/>
        </w:rPr>
      </w:pPr>
      <w:r w:rsidRPr="00140622">
        <w:rPr>
          <w:b/>
          <w:sz w:val="24"/>
          <w:szCs w:val="24"/>
        </w:rPr>
        <w:t>INTRODUCTION</w:t>
      </w:r>
    </w:p>
    <w:p w:rsidR="00164939" w:rsidRPr="00140622" w:rsidRDefault="00164939" w:rsidP="00FC1BDA">
      <w:pPr>
        <w:spacing w:before="0" w:after="0" w:line="480" w:lineRule="auto"/>
        <w:jc w:val="both"/>
        <w:rPr>
          <w:b/>
          <w:sz w:val="24"/>
          <w:szCs w:val="24"/>
        </w:rPr>
      </w:pPr>
      <w:r w:rsidRPr="00140622">
        <w:rPr>
          <w:b/>
          <w:sz w:val="24"/>
          <w:szCs w:val="24"/>
        </w:rPr>
        <w:t>Epid</w:t>
      </w:r>
      <w:r w:rsidR="00DA79A1" w:rsidRPr="00140622">
        <w:rPr>
          <w:b/>
          <w:sz w:val="24"/>
          <w:szCs w:val="24"/>
        </w:rPr>
        <w:t>emiology of Invasive Candidiasis</w:t>
      </w:r>
    </w:p>
    <w:p w:rsidR="001E23D9" w:rsidRPr="00140622" w:rsidRDefault="00002774" w:rsidP="00FC1BDA">
      <w:pPr>
        <w:spacing w:before="0" w:after="0" w:line="480" w:lineRule="auto"/>
        <w:ind w:firstLine="720"/>
        <w:jc w:val="both"/>
        <w:rPr>
          <w:sz w:val="24"/>
          <w:szCs w:val="24"/>
        </w:rPr>
      </w:pPr>
      <w:r w:rsidRPr="00140622">
        <w:rPr>
          <w:sz w:val="24"/>
          <w:szCs w:val="24"/>
        </w:rPr>
        <w:t xml:space="preserve">Fungal infections are devastating to human health and have lethal consequences for </w:t>
      </w:r>
      <w:r w:rsidR="00726966" w:rsidRPr="00140622">
        <w:rPr>
          <w:sz w:val="24"/>
          <w:szCs w:val="24"/>
        </w:rPr>
        <w:t xml:space="preserve">both </w:t>
      </w:r>
      <w:r w:rsidRPr="00140622">
        <w:rPr>
          <w:sz w:val="24"/>
          <w:szCs w:val="24"/>
        </w:rPr>
        <w:t>immunocompromis</w:t>
      </w:r>
      <w:r w:rsidR="00726966" w:rsidRPr="00140622">
        <w:rPr>
          <w:sz w:val="24"/>
          <w:szCs w:val="24"/>
        </w:rPr>
        <w:t>ed</w:t>
      </w:r>
      <w:r w:rsidR="00FD236D" w:rsidRPr="00140622">
        <w:rPr>
          <w:sz w:val="24"/>
          <w:szCs w:val="24"/>
        </w:rPr>
        <w:t xml:space="preserve"> </w:t>
      </w:r>
      <w:r w:rsidR="00726966" w:rsidRPr="00140622">
        <w:rPr>
          <w:sz w:val="24"/>
          <w:szCs w:val="24"/>
        </w:rPr>
        <w:t>and critically ill patients in the Intensive Care Unit</w:t>
      </w:r>
      <w:r w:rsidR="00726966" w:rsidRPr="00140622">
        <w:rPr>
          <w:snapToGrid w:val="0"/>
          <w:color w:val="000000"/>
          <w:sz w:val="24"/>
          <w:szCs w:val="24"/>
        </w:rPr>
        <w:t xml:space="preserve">. </w:t>
      </w:r>
      <w:r w:rsidR="001E23D9" w:rsidRPr="00140622">
        <w:rPr>
          <w:sz w:val="24"/>
          <w:szCs w:val="24"/>
        </w:rPr>
        <w:t xml:space="preserve"> </w:t>
      </w:r>
      <w:r w:rsidR="00726966" w:rsidRPr="00140622">
        <w:rPr>
          <w:i/>
          <w:sz w:val="24"/>
          <w:szCs w:val="24"/>
        </w:rPr>
        <w:t xml:space="preserve">Candida </w:t>
      </w:r>
      <w:r w:rsidR="00CD5DC7" w:rsidRPr="00140622">
        <w:rPr>
          <w:sz w:val="24"/>
          <w:szCs w:val="24"/>
        </w:rPr>
        <w:t xml:space="preserve">species are </w:t>
      </w:r>
      <w:r w:rsidR="00FE5549">
        <w:rPr>
          <w:sz w:val="24"/>
          <w:szCs w:val="24"/>
        </w:rPr>
        <w:t xml:space="preserve">now </w:t>
      </w:r>
      <w:r w:rsidR="00726966" w:rsidRPr="00140622">
        <w:rPr>
          <w:sz w:val="24"/>
          <w:szCs w:val="24"/>
        </w:rPr>
        <w:t>the 4</w:t>
      </w:r>
      <w:r w:rsidR="00726966" w:rsidRPr="00140622">
        <w:rPr>
          <w:sz w:val="24"/>
          <w:szCs w:val="24"/>
          <w:vertAlign w:val="superscript"/>
        </w:rPr>
        <w:t>th</w:t>
      </w:r>
      <w:r w:rsidR="00726966" w:rsidRPr="00140622">
        <w:rPr>
          <w:sz w:val="24"/>
          <w:szCs w:val="24"/>
        </w:rPr>
        <w:t xml:space="preserve"> most common cause of bloodstream infection in the United States</w:t>
      </w:r>
      <w:r w:rsidR="00164939" w:rsidRPr="00140622">
        <w:rPr>
          <w:sz w:val="24"/>
          <w:szCs w:val="24"/>
        </w:rPr>
        <w:t xml:space="preserve"> </w:t>
      </w:r>
      <w:r w:rsidR="00706A77" w:rsidRPr="00140622">
        <w:rPr>
          <w:sz w:val="24"/>
          <w:szCs w:val="24"/>
        </w:rPr>
        <w:fldChar w:fldCharType="begin"/>
      </w:r>
      <w:r w:rsidR="0053409B">
        <w:rPr>
          <w:sz w:val="24"/>
          <w:szCs w:val="24"/>
        </w:rPr>
        <w:instrText xml:space="preserve"> ADDIN REFMGR.CITE &lt;Refman&gt;&lt;Cite&gt;&lt;Author&gt;Wisplinghoff&lt;/Author&gt;&lt;Year&gt;2004&lt;/Year&gt;&lt;RecNum&gt;6&lt;/RecNum&gt;&lt;IDText&gt;Nosocomial bloodstream infections in US hospitals: analysis of 24,179 cases from a prospective nationwide surveillance study&lt;/IDText&gt;&lt;MDL Ref_Type="Journal"&gt;&lt;Ref_Type&gt;Journal&lt;/Ref_Type&gt;&lt;Ref_ID&gt;6&lt;/Ref_ID&gt;&lt;Title_Primary&gt;Nosocomial bloodstream infections in US hospitals: analysis of 24,179 cases from a prospective nationwide surveillance study&lt;/Title_Primary&gt;&lt;Authors_Primary&gt;Wisplinghoff,H.&lt;/Authors_Primary&gt;&lt;Authors_Primary&gt;Bischoff,T.&lt;/Authors_Primary&gt;&lt;Authors_Primary&gt;Tallent,S.M.&lt;/Authors_Primary&gt;&lt;Authors_Primary&gt;Seifert,H.&lt;/Authors_Primary&gt;&lt;Authors_Primary&gt;Wenzel,R.P.&lt;/Authors_Primary&gt;&lt;Authors_Primary&gt;Edmond,M.B.&lt;/Authors_Primary&gt;&lt;Date_Primary&gt;2004/8/1&lt;/Date_Primary&gt;&lt;Keywords&gt;Adolescent&lt;/Keywords&gt;&lt;Keywords&gt;Adult&lt;/Keywords&gt;&lt;Keywords&gt;Aged&lt;/Keywords&gt;&lt;Keywords&gt;Aged,80 and over&lt;/Keywords&gt;&lt;Keywords&gt;Bacteremia&lt;/Keywords&gt;&lt;Keywords&gt;Candidiasis&lt;/Keywords&gt;&lt;Keywords&gt;Causality&lt;/Keywords&gt;&lt;Keywords&gt;Child&lt;/Keywords&gt;&lt;Keywords&gt;Child,Preschool&lt;/Keywords&gt;&lt;Keywords&gt;Cross Infection&lt;/Keywords&gt;&lt;Keywords&gt;Drug Resistance,Microbial&lt;/Keywords&gt;&lt;Keywords&gt;epidemiology&lt;/Keywords&gt;&lt;Keywords&gt;Female&lt;/Keywords&gt;&lt;Keywords&gt;Fungemia&lt;/Keywords&gt;&lt;Keywords&gt;Gram-Negative Bacterial Infections&lt;/Keywords&gt;&lt;Keywords&gt;Gram-Positive Bacterial Infections&lt;/Keywords&gt;&lt;Keywords&gt;Humans&lt;/Keywords&gt;&lt;Keywords&gt;Incidence&lt;/Keywords&gt;&lt;Keywords&gt;Infant&lt;/Keywords&gt;&lt;Keywords&gt;Male&lt;/Keywords&gt;&lt;Keywords&gt;Middle Aged&lt;/Keywords&gt;&lt;Keywords&gt;Population Surveillance&lt;/Keywords&gt;&lt;Keywords&gt;Prospective Studies&lt;/Keywords&gt;&lt;Keywords&gt;Sepsis&lt;/Keywords&gt;&lt;Keywords&gt;Staphylococcal Infections&lt;/Keywords&gt;&lt;Keywords&gt;United States&lt;/Keywords&gt;&lt;Reprint&gt;Not in File&lt;/Reprint&gt;&lt;Start_Page&gt;309&lt;/Start_Page&gt;&lt;End_Page&gt;317&lt;/End_Page&gt;&lt;Periodical&gt;Clin Infect Dis&lt;/Periodical&gt;&lt;Volume&gt;39&lt;/Volume&gt;&lt;Issue&gt;3&lt;/Issue&gt;&lt;Address&gt;Department of Internal Medicine, Medical College of Virginia Campus, Virginia Commonwealth University, Richmond, USA&lt;/Address&gt;&lt;Web_URL&gt;PM:15306996&lt;/Web_URL&gt;&lt;ZZ_JournalFull&gt;&lt;f name="System"&gt;Clinical Infectious Diseases&lt;/f&gt;&lt;/ZZ_JournalFull&gt;&lt;ZZ_JournalStdAbbrev&gt;&lt;f name="System"&gt;Clin Infect Dis&lt;/f&gt;&lt;/ZZ_JournalStdAbbrev&gt;&lt;ZZ_WorkformID&gt;1&lt;/ZZ_WorkformID&gt;&lt;/MDL&gt;&lt;/Cite&gt;&lt;/Refman&gt;</w:instrText>
      </w:r>
      <w:r w:rsidR="00706A77" w:rsidRPr="00140622">
        <w:rPr>
          <w:sz w:val="24"/>
          <w:szCs w:val="24"/>
        </w:rPr>
        <w:fldChar w:fldCharType="separate"/>
      </w:r>
      <w:r w:rsidR="00080721">
        <w:rPr>
          <w:sz w:val="24"/>
          <w:szCs w:val="24"/>
        </w:rPr>
        <w:t>(1)</w:t>
      </w:r>
      <w:r w:rsidR="00706A77" w:rsidRPr="00140622">
        <w:rPr>
          <w:sz w:val="24"/>
          <w:szCs w:val="24"/>
        </w:rPr>
        <w:fldChar w:fldCharType="end"/>
      </w:r>
      <w:r w:rsidR="00164939" w:rsidRPr="00140622">
        <w:rPr>
          <w:sz w:val="24"/>
          <w:szCs w:val="24"/>
        </w:rPr>
        <w:t>, wit</w:t>
      </w:r>
      <w:r w:rsidR="007B0821" w:rsidRPr="00140622">
        <w:rPr>
          <w:sz w:val="24"/>
          <w:szCs w:val="24"/>
        </w:rPr>
        <w:t xml:space="preserve">h the vast majority of these </w:t>
      </w:r>
      <w:r w:rsidR="00164939" w:rsidRPr="00140622">
        <w:rPr>
          <w:sz w:val="24"/>
          <w:szCs w:val="24"/>
        </w:rPr>
        <w:t xml:space="preserve">infections being </w:t>
      </w:r>
      <w:proofErr w:type="spellStart"/>
      <w:r w:rsidR="00164939" w:rsidRPr="00140622">
        <w:rPr>
          <w:sz w:val="24"/>
          <w:szCs w:val="24"/>
        </w:rPr>
        <w:t>nosocomially</w:t>
      </w:r>
      <w:proofErr w:type="spellEnd"/>
      <w:r w:rsidR="00164939" w:rsidRPr="00140622">
        <w:rPr>
          <w:sz w:val="24"/>
          <w:szCs w:val="24"/>
        </w:rPr>
        <w:t xml:space="preserve"> acquired</w:t>
      </w:r>
      <w:r w:rsidR="00706A77" w:rsidRPr="00140622">
        <w:rPr>
          <w:sz w:val="24"/>
          <w:szCs w:val="24"/>
        </w:rPr>
        <w:fldChar w:fldCharType="begin"/>
      </w:r>
      <w:r w:rsidR="0053409B">
        <w:rPr>
          <w:sz w:val="24"/>
          <w:szCs w:val="24"/>
        </w:rPr>
        <w:instrText xml:space="preserve"> ADDIN REFMGR.CITE &lt;Refman&gt;&lt;Cite&gt;&lt;Author&gt;Pfaller&lt;/Author&gt;&lt;Year&gt;1998&lt;/Year&gt;&lt;RecNum&gt;5&lt;/RecNum&gt;&lt;IDText&gt;International Surveillance of Bloodstream Infections Due to Candida Species: Frequency of Occurrence and Antifungal Susceptibilities of Isolates Collected in 1997&amp;#xE1;in the United States, Canada, and South America for the SENTRY Program&lt;/IDText&gt;&lt;MDL Ref_Type="Journal"&gt;&lt;Ref_Type&gt;Journal&lt;/Ref_Type&gt;&lt;Ref_ID&gt;5&lt;/Ref_ID&gt;&lt;Title_Primary&gt;International Surveillance of Bloodstream Infections Due to Candida Species: Frequency of Occurrence and Antifungal Susceptibilities of Isolates Collected in 1997&amp;#xE1;in the United States, Canada, and South America for the SENTRY Program&lt;/Title_Primary&gt;&lt;Authors_Primary&gt;Pfaller,M.A.&lt;/Authors_Primary&gt;&lt;Authors_Primary&gt;Jones,R.N.&lt;/Authors_Primary&gt;&lt;Authors_Primary&gt;Doern,G.V.&lt;/Authors_Primary&gt;&lt;Authors_Primary&gt;Sader,H.S.&lt;/Authors_Primary&gt;&lt;Authors_Primary&gt;Hollis,R.J.&lt;/Authors_Primary&gt;&lt;Authors_Primary&gt;Messer,S.A.&lt;/Authors_Primary&gt;&lt;Authors_Primary&gt;Group,for The Sentry Participant&lt;/Authors_Primary&gt;&lt;Date_Primary&gt;1998/7/1&lt;/Date_Primary&gt;&lt;Reprint&gt;Not in File&lt;/Reprint&gt;&lt;Start_Page&gt;1886&lt;/Start_Page&gt;&lt;End_Page&gt;1889&lt;/End_Page&gt;&lt;Periodical&gt;J.Clin.Microbiol.&lt;/Periodical&gt;&lt;Volume&gt;36&lt;/Volume&gt;&lt;Issue&gt;7&lt;/Issue&gt;&lt;Web_URL&gt;http://jcm.asm.org/cgi/content/abstract/36/7/1886&lt;/Web_URL&gt;&lt;ZZ_JournalFull&gt;&lt;f name="System"&gt;Journal of Clinical Microbiology&lt;/f&gt;&lt;/ZZ_JournalFull&gt;&lt;ZZ_JournalStdAbbrev&gt;&lt;f name="System"&gt;J.Clin.Microbiol.&lt;/f&gt;&lt;/ZZ_JournalStdAbbrev&gt;&lt;ZZ_WorkformID&gt;1&lt;/ZZ_WorkformID&gt;&lt;/MDL&gt;&lt;/Cite&gt;&lt;/Refman&gt;</w:instrText>
      </w:r>
      <w:r w:rsidR="00706A77" w:rsidRPr="00140622">
        <w:rPr>
          <w:sz w:val="24"/>
          <w:szCs w:val="24"/>
        </w:rPr>
        <w:fldChar w:fldCharType="separate"/>
      </w:r>
      <w:r w:rsidR="00080721">
        <w:rPr>
          <w:sz w:val="24"/>
          <w:szCs w:val="24"/>
        </w:rPr>
        <w:t>(2)</w:t>
      </w:r>
      <w:r w:rsidR="00706A77" w:rsidRPr="00140622">
        <w:rPr>
          <w:sz w:val="24"/>
          <w:szCs w:val="24"/>
        </w:rPr>
        <w:fldChar w:fldCharType="end"/>
      </w:r>
      <w:r w:rsidR="00164939" w:rsidRPr="00140622">
        <w:rPr>
          <w:sz w:val="24"/>
          <w:szCs w:val="24"/>
        </w:rPr>
        <w:t xml:space="preserve">.  Most </w:t>
      </w:r>
      <w:r w:rsidR="00164939" w:rsidRPr="00140622">
        <w:rPr>
          <w:i/>
          <w:sz w:val="24"/>
          <w:szCs w:val="24"/>
        </w:rPr>
        <w:t xml:space="preserve">Candida </w:t>
      </w:r>
      <w:r w:rsidR="00164939" w:rsidRPr="00140622">
        <w:rPr>
          <w:sz w:val="24"/>
          <w:szCs w:val="24"/>
        </w:rPr>
        <w:t>blood stream infections (BSIs) are due to</w:t>
      </w:r>
      <w:r w:rsidR="00164939" w:rsidRPr="00140622">
        <w:rPr>
          <w:i/>
          <w:sz w:val="24"/>
          <w:szCs w:val="24"/>
        </w:rPr>
        <w:t xml:space="preserve"> C. </w:t>
      </w:r>
      <w:proofErr w:type="spellStart"/>
      <w:r w:rsidR="00164939" w:rsidRPr="00140622">
        <w:rPr>
          <w:i/>
          <w:sz w:val="24"/>
          <w:szCs w:val="24"/>
        </w:rPr>
        <w:t>a</w:t>
      </w:r>
      <w:r w:rsidR="000B529D">
        <w:rPr>
          <w:i/>
          <w:sz w:val="24"/>
          <w:szCs w:val="24"/>
        </w:rPr>
        <w:t>l</w:t>
      </w:r>
      <w:r w:rsidR="00164939" w:rsidRPr="00140622">
        <w:rPr>
          <w:i/>
          <w:sz w:val="24"/>
          <w:szCs w:val="24"/>
        </w:rPr>
        <w:t>bicans</w:t>
      </w:r>
      <w:proofErr w:type="spellEnd"/>
      <w:r w:rsidR="00164939" w:rsidRPr="00140622">
        <w:rPr>
          <w:i/>
          <w:sz w:val="24"/>
          <w:szCs w:val="24"/>
        </w:rPr>
        <w:t xml:space="preserve"> </w:t>
      </w:r>
      <w:r w:rsidR="00164939" w:rsidRPr="00140622">
        <w:rPr>
          <w:sz w:val="24"/>
          <w:szCs w:val="24"/>
        </w:rPr>
        <w:t xml:space="preserve">followed in frequency by </w:t>
      </w:r>
      <w:r w:rsidR="00164939" w:rsidRPr="00140622">
        <w:rPr>
          <w:i/>
          <w:sz w:val="24"/>
          <w:szCs w:val="24"/>
        </w:rPr>
        <w:t xml:space="preserve">C. </w:t>
      </w:r>
      <w:proofErr w:type="spellStart"/>
      <w:r w:rsidR="00164939" w:rsidRPr="00140622">
        <w:rPr>
          <w:i/>
          <w:sz w:val="24"/>
          <w:szCs w:val="24"/>
        </w:rPr>
        <w:t>glabrata</w:t>
      </w:r>
      <w:proofErr w:type="spellEnd"/>
      <w:r w:rsidR="00164939" w:rsidRPr="00140622">
        <w:rPr>
          <w:sz w:val="24"/>
          <w:szCs w:val="24"/>
        </w:rPr>
        <w:t>, a species</w:t>
      </w:r>
      <w:r w:rsidR="007753F4" w:rsidRPr="00140622">
        <w:rPr>
          <w:sz w:val="24"/>
          <w:szCs w:val="24"/>
        </w:rPr>
        <w:t xml:space="preserve"> that is generally less susceptible to traditional antifungal therapy (i.e., fluconazole)</w:t>
      </w:r>
      <w:r w:rsidR="00164939" w:rsidRPr="00140622">
        <w:rPr>
          <w:sz w:val="24"/>
          <w:szCs w:val="24"/>
        </w:rPr>
        <w:t xml:space="preserve">.  Despite </w:t>
      </w:r>
      <w:r w:rsidR="007B0821" w:rsidRPr="00140622">
        <w:rPr>
          <w:sz w:val="24"/>
          <w:szCs w:val="24"/>
        </w:rPr>
        <w:t xml:space="preserve">the </w:t>
      </w:r>
      <w:r w:rsidR="00164939" w:rsidRPr="00140622">
        <w:rPr>
          <w:sz w:val="24"/>
          <w:szCs w:val="24"/>
        </w:rPr>
        <w:t>availability of newer</w:t>
      </w:r>
      <w:r w:rsidR="007753F4" w:rsidRPr="00140622">
        <w:rPr>
          <w:sz w:val="24"/>
          <w:szCs w:val="24"/>
        </w:rPr>
        <w:t xml:space="preserve"> </w:t>
      </w:r>
      <w:r w:rsidR="00164939" w:rsidRPr="00140622">
        <w:rPr>
          <w:sz w:val="24"/>
          <w:szCs w:val="24"/>
        </w:rPr>
        <w:t>antifungal drugs, t</w:t>
      </w:r>
      <w:r w:rsidR="00726966" w:rsidRPr="00140622">
        <w:rPr>
          <w:sz w:val="24"/>
          <w:szCs w:val="24"/>
        </w:rPr>
        <w:t xml:space="preserve">he mortality </w:t>
      </w:r>
      <w:r w:rsidR="00CD5DC7" w:rsidRPr="00140622">
        <w:rPr>
          <w:sz w:val="24"/>
          <w:szCs w:val="24"/>
        </w:rPr>
        <w:t xml:space="preserve">attributable to </w:t>
      </w:r>
      <w:r w:rsidR="00726966" w:rsidRPr="00140622">
        <w:rPr>
          <w:sz w:val="24"/>
          <w:szCs w:val="24"/>
        </w:rPr>
        <w:t>invasive candidiasis (IC)</w:t>
      </w:r>
      <w:r w:rsidR="00164939" w:rsidRPr="00140622">
        <w:rPr>
          <w:sz w:val="24"/>
          <w:szCs w:val="24"/>
        </w:rPr>
        <w:t xml:space="preserve"> remains extremely high </w:t>
      </w:r>
      <w:r w:rsidR="00706A77" w:rsidRPr="00140622">
        <w:rPr>
          <w:sz w:val="24"/>
          <w:szCs w:val="24"/>
        </w:rPr>
        <w:fldChar w:fldCharType="begin"/>
      </w:r>
      <w:r w:rsidR="0053409B">
        <w:rPr>
          <w:sz w:val="24"/>
          <w:szCs w:val="24"/>
        </w:rPr>
        <w:instrText xml:space="preserve"> ADDIN REFMGR.CITE &lt;Refman&gt;&lt;Cite&gt;&lt;Author&gt;Falagas&lt;/Author&gt;&lt;Year&gt;2006&lt;/Year&gt;&lt;RecNum&gt;168&lt;/RecNum&gt;&lt;IDText&gt;Attributable mortality of candidemia: a systematic review of matched cohort and case-control studies&lt;/IDText&gt;&lt;MDL Ref_Type="Journal"&gt;&lt;Ref_Type&gt;Journal&lt;/Ref_Type&gt;&lt;Ref_ID&gt;168&lt;/Ref_ID&gt;&lt;Title_Primary&gt;Attributable mortality of candidemia: a systematic review of matched cohort and case-control studies&lt;/Title_Primary&gt;&lt;Authors_Primary&gt;Falagas,M.E.&lt;/Authors_Primary&gt;&lt;Authors_Primary&gt;Apostolou,K.E.&lt;/Authors_Primary&gt;&lt;Authors_Primary&gt;Pappas,V.D.&lt;/Authors_Primary&gt;&lt;Date_Primary&gt;2006/7&lt;/Date_Primary&gt;&lt;Keywords&gt;Adult&lt;/Keywords&gt;&lt;Keywords&gt;Candida&lt;/Keywords&gt;&lt;Keywords&gt;Candidiasis&lt;/Keywords&gt;&lt;Keywords&gt;Case-Control Studies&lt;/Keywords&gt;&lt;Keywords&gt;Child&lt;/Keywords&gt;&lt;Keywords&gt;Cohort Studies&lt;/Keywords&gt;&lt;Keywords&gt;economics&lt;/Keywords&gt;&lt;Keywords&gt;Fungemia&lt;/Keywords&gt;&lt;Keywords&gt;Hospitalization&lt;/Keywords&gt;&lt;Keywords&gt;Humans&lt;/Keywords&gt;&lt;Keywords&gt;Infection&lt;/Keywords&gt;&lt;Keywords&gt;Intensive Care&lt;/Keywords&gt;&lt;Keywords&gt;Intensive Care Units&lt;/Keywords&gt;&lt;Keywords&gt;Length of Stay&lt;/Keywords&gt;&lt;Keywords&gt;microbiology&lt;/Keywords&gt;&lt;Keywords&gt;mortality&lt;/Keywords&gt;&lt;Reprint&gt;Not in File&lt;/Reprint&gt;&lt;Start_Page&gt;419&lt;/Start_Page&gt;&lt;End_Page&gt;425&lt;/End_Page&gt;&lt;Periodical&gt;Eur J Clin Microbiol.Infect Dis&lt;/Periodical&gt;&lt;Volume&gt;25&lt;/Volume&gt;&lt;Issue&gt;7&lt;/Issue&gt;&lt;Address&gt;Alfa Institute of Biomedical Sciences (AIBS), 9 Neapoleos Street, Athens, Marousi, 15123, Greece. m.falagas@aibs.gr&lt;/Address&gt;&lt;Web_URL&gt;PM:16773391&lt;/Web_URL&gt;&lt;ZZ_JournalStdAbbrev&gt;&lt;f name="System"&gt;Eur J Clin Microbiol.Infect Dis&lt;/f&gt;&lt;/ZZ_JournalStdAbbrev&gt;&lt;ZZ_WorkformID&gt;1&lt;/ZZ_WorkformID&gt;&lt;/MDL&gt;&lt;/Cite&gt;&lt;/Refman&gt;</w:instrText>
      </w:r>
      <w:r w:rsidR="00706A77" w:rsidRPr="00140622">
        <w:rPr>
          <w:sz w:val="24"/>
          <w:szCs w:val="24"/>
        </w:rPr>
        <w:fldChar w:fldCharType="separate"/>
      </w:r>
      <w:r w:rsidR="00080721">
        <w:rPr>
          <w:sz w:val="24"/>
          <w:szCs w:val="24"/>
        </w:rPr>
        <w:t>(3)</w:t>
      </w:r>
      <w:r w:rsidR="00706A77" w:rsidRPr="00140622">
        <w:rPr>
          <w:sz w:val="24"/>
          <w:szCs w:val="24"/>
        </w:rPr>
        <w:fldChar w:fldCharType="end"/>
      </w:r>
      <w:r w:rsidR="00164939" w:rsidRPr="00140622">
        <w:rPr>
          <w:sz w:val="24"/>
          <w:szCs w:val="24"/>
        </w:rPr>
        <w:t xml:space="preserve">.  </w:t>
      </w:r>
      <w:r w:rsidR="008061BD" w:rsidRPr="00140622">
        <w:rPr>
          <w:sz w:val="24"/>
          <w:szCs w:val="24"/>
        </w:rPr>
        <w:t xml:space="preserve">One reason </w:t>
      </w:r>
      <w:r w:rsidR="00FE5549">
        <w:rPr>
          <w:sz w:val="24"/>
          <w:szCs w:val="24"/>
        </w:rPr>
        <w:t xml:space="preserve">that IC is </w:t>
      </w:r>
      <w:r w:rsidR="008061BD" w:rsidRPr="00140622">
        <w:rPr>
          <w:sz w:val="24"/>
          <w:szCs w:val="24"/>
        </w:rPr>
        <w:t>so devastating is the difficulty</w:t>
      </w:r>
      <w:r w:rsidR="006F318F" w:rsidRPr="00140622">
        <w:rPr>
          <w:sz w:val="24"/>
          <w:szCs w:val="24"/>
        </w:rPr>
        <w:t xml:space="preserve"> </w:t>
      </w:r>
      <w:r w:rsidR="00FE5549">
        <w:rPr>
          <w:sz w:val="24"/>
          <w:szCs w:val="24"/>
        </w:rPr>
        <w:t xml:space="preserve">in </w:t>
      </w:r>
      <w:r w:rsidR="006F318F" w:rsidRPr="00140622">
        <w:rPr>
          <w:sz w:val="24"/>
          <w:szCs w:val="24"/>
        </w:rPr>
        <w:t>establishing a timely</w:t>
      </w:r>
      <w:r w:rsidR="008061BD" w:rsidRPr="00140622">
        <w:rPr>
          <w:sz w:val="24"/>
          <w:szCs w:val="24"/>
        </w:rPr>
        <w:t xml:space="preserve"> diagnosis.  </w:t>
      </w:r>
      <w:r w:rsidR="00FE5549">
        <w:rPr>
          <w:sz w:val="24"/>
          <w:szCs w:val="24"/>
        </w:rPr>
        <w:t>T</w:t>
      </w:r>
      <w:r w:rsidR="008061BD" w:rsidRPr="00140622">
        <w:rPr>
          <w:sz w:val="24"/>
          <w:szCs w:val="24"/>
        </w:rPr>
        <w:t>he clinical</w:t>
      </w:r>
      <w:r w:rsidR="006F318F" w:rsidRPr="00140622">
        <w:rPr>
          <w:sz w:val="24"/>
          <w:szCs w:val="24"/>
        </w:rPr>
        <w:t xml:space="preserve"> presentation of IC is highly variable and nonspecific, and standard blood culture is notoriously insensitive</w:t>
      </w:r>
      <w:r w:rsidR="006F318F" w:rsidRPr="00FE5549">
        <w:rPr>
          <w:szCs w:val="22"/>
        </w:rPr>
        <w:t xml:space="preserve">.  </w:t>
      </w:r>
      <w:r w:rsidR="00164939" w:rsidRPr="00140622">
        <w:rPr>
          <w:sz w:val="24"/>
          <w:szCs w:val="24"/>
        </w:rPr>
        <w:t>In addition</w:t>
      </w:r>
      <w:r w:rsidR="006F318F" w:rsidRPr="00140622">
        <w:rPr>
          <w:sz w:val="24"/>
          <w:szCs w:val="24"/>
        </w:rPr>
        <w:t xml:space="preserve"> to the clinical impact, IC is a burden on the healthcare system, with</w:t>
      </w:r>
      <w:r w:rsidR="00164939" w:rsidRPr="00140622">
        <w:rPr>
          <w:sz w:val="24"/>
          <w:szCs w:val="24"/>
        </w:rPr>
        <w:t xml:space="preserve"> </w:t>
      </w:r>
      <w:r w:rsidR="00726966" w:rsidRPr="00140622">
        <w:rPr>
          <w:sz w:val="24"/>
          <w:szCs w:val="24"/>
        </w:rPr>
        <w:t>estimates of increased costs on the order of $40,000 US dollars per e</w:t>
      </w:r>
      <w:r w:rsidR="00164939" w:rsidRPr="00140622">
        <w:rPr>
          <w:sz w:val="24"/>
          <w:szCs w:val="24"/>
        </w:rPr>
        <w:t>pisode</w:t>
      </w:r>
      <w:r w:rsidR="00706A77" w:rsidRPr="00140622">
        <w:rPr>
          <w:sz w:val="24"/>
          <w:szCs w:val="24"/>
        </w:rPr>
        <w:fldChar w:fldCharType="begin"/>
      </w:r>
      <w:r w:rsidR="0053409B">
        <w:rPr>
          <w:sz w:val="24"/>
          <w:szCs w:val="24"/>
        </w:rPr>
        <w:instrText xml:space="preserve"> ADDIN REFMGR.CITE &lt;Refman&gt;&lt;Cite&gt;&lt;Author&gt;Fridkin&lt;/Author&gt;&lt;Year&gt;2005&lt;/Year&gt;&lt;RecNum&gt;8&lt;/RecNum&gt;&lt;IDText&gt;Candidemia is Costly--Plain and Simple&lt;/IDText&gt;&lt;MDL Ref_Type="Journal"&gt;&lt;Ref_Type&gt;Journal&lt;/Ref_Type&gt;&lt;Ref_ID&gt;8&lt;/Ref_ID&gt;&lt;Title_Primary&gt;Candidemia is Costly--Plain and Simple&lt;/Title_Primary&gt;&lt;Authors_Primary&gt;Fridkin,Scott K.&lt;/Authors_Primary&gt;&lt;Date_Primary&gt;2005/11/1&lt;/Date_Primary&gt;&lt;Reprint&gt;Not in File&lt;/Reprint&gt;&lt;Start_Page&gt;1240&lt;/Start_Page&gt;&lt;End_Page&gt;1241&lt;/End_Page&gt;&lt;Periodical&gt;Clin Infect Dis&lt;/Periodical&gt;&lt;Volume&gt;41&lt;/Volume&gt;&lt;Issue&gt;9&lt;/Issue&gt;&lt;Web_URL&gt;http://www.journals.uchicago.edu/cgi-bin/resolve?CID37482&lt;/Web_URL&gt;&lt;ZZ_JournalFull&gt;&lt;f name="System"&gt;Clinical Infectious Diseases&lt;/f&gt;&lt;/ZZ_JournalFull&gt;&lt;ZZ_JournalStdAbbrev&gt;&lt;f name="System"&gt;Clin Infect Dis&lt;/f&gt;&lt;/ZZ_JournalStdAbbrev&gt;&lt;ZZ_WorkformID&gt;1&lt;/ZZ_WorkformID&gt;&lt;/MDL&gt;&lt;/Cite&gt;&lt;Cite&gt;&lt;Author&gt;Zaoutis&lt;/Author&gt;&lt;Year&gt;2005&lt;/Year&gt;&lt;RecNum&gt;169&lt;/RecNum&gt;&lt;IDText&gt;The Epidemiology and Attributable Outcomes of Candidemia in Adults and Children Hospitalized in the United States: A Propensity Analysis&lt;/IDText&gt;&lt;MDL Ref_Type="Journal"&gt;&lt;Ref_Type&gt;Journal&lt;/Ref_Type&gt;&lt;Ref_ID&gt;169&lt;/Ref_ID&gt;&lt;Title_Primary&gt;The Epidemiology and Attributable Outcomes of Candidemia in Adults and Children Hospitalized in the United States: A Propensity Analysis&lt;/Title_Primary&gt;&lt;Authors_Primary&gt;Zaoutis,Theoklis E.&lt;/Authors_Primary&gt;&lt;Authors_Primary&gt;Argon,Jesse&lt;/Authors_Primary&gt;&lt;Authors_Primary&gt;Chu,Jaclyn&lt;/Authors_Primary&gt;&lt;Authors_Primary&gt;Berlin,Jesse A.&lt;/Authors_Primary&gt;&lt;Authors_Primary&gt;Walsh,Thomas J.&lt;/Authors_Primary&gt;&lt;Authors_Primary&gt;Feudtner,Chris&lt;/Authors_Primary&gt;&lt;Date_Primary&gt;2005/11/1&lt;/Date_Primary&gt;&lt;Keywords&gt;Adult&lt;/Keywords&gt;&lt;Keywords&gt;Candida&lt;/Keywords&gt;&lt;Keywords&gt;epidemiology&lt;/Keywords&gt;&lt;Keywords&gt;Hospitalization&lt;/Keywords&gt;&lt;Keywords&gt;Incidence&lt;/Keywords&gt;&lt;Keywords&gt;Infection&lt;/Keywords&gt;&lt;Keywords&gt;Length of Stay&lt;/Keywords&gt;&lt;Keywords&gt;mortality&lt;/Keywords&gt;&lt;Keywords&gt;United States&lt;/Keywords&gt;&lt;Reprint&gt;Not in File&lt;/Reprint&gt;&lt;Start_Page&gt;1232&lt;/Start_Page&gt;&lt;End_Page&gt;1239&lt;/End_Page&gt;&lt;Periodical&gt;Clin Infect Dis&lt;/Periodical&gt;&lt;Volume&gt;41&lt;/Volume&gt;&lt;Issue&gt;9&lt;/Issue&gt;&lt;Web_URL&gt;http://www.journals.uchicago.edu/cgi-bin/resolve?CID36363&lt;/Web_URL&gt;&lt;ZZ_JournalFull&gt;&lt;f name="System"&gt;Clinical Infectious Diseases&lt;/f&gt;&lt;/ZZ_JournalFull&gt;&lt;ZZ_JournalStdAbbrev&gt;&lt;f name="System"&gt;Clin Infect Dis&lt;/f&gt;&lt;/ZZ_JournalStdAbbrev&gt;&lt;ZZ_WorkformID&gt;1&lt;/ZZ_WorkformID&gt;&lt;/MDL&gt;&lt;/Cite&gt;&lt;/Refman&gt;</w:instrText>
      </w:r>
      <w:r w:rsidR="00706A77" w:rsidRPr="00140622">
        <w:rPr>
          <w:sz w:val="24"/>
          <w:szCs w:val="24"/>
        </w:rPr>
        <w:fldChar w:fldCharType="separate"/>
      </w:r>
      <w:r w:rsidR="00080721">
        <w:rPr>
          <w:sz w:val="24"/>
          <w:szCs w:val="24"/>
        </w:rPr>
        <w:t>(4;5)</w:t>
      </w:r>
      <w:r w:rsidR="00706A77" w:rsidRPr="00140622">
        <w:rPr>
          <w:sz w:val="24"/>
          <w:szCs w:val="24"/>
        </w:rPr>
        <w:fldChar w:fldCharType="end"/>
      </w:r>
      <w:r w:rsidR="00726966" w:rsidRPr="00140622">
        <w:rPr>
          <w:sz w:val="24"/>
          <w:szCs w:val="24"/>
        </w:rPr>
        <w:t xml:space="preserve">.  </w:t>
      </w:r>
    </w:p>
    <w:p w:rsidR="007D4A19" w:rsidRPr="00140622" w:rsidRDefault="00726966" w:rsidP="00FC1BDA">
      <w:pPr>
        <w:spacing w:before="0" w:after="0" w:line="480" w:lineRule="auto"/>
        <w:ind w:firstLine="720"/>
        <w:jc w:val="both"/>
        <w:rPr>
          <w:sz w:val="24"/>
          <w:szCs w:val="24"/>
        </w:rPr>
      </w:pPr>
      <w:r w:rsidRPr="00140622">
        <w:rPr>
          <w:sz w:val="24"/>
          <w:szCs w:val="24"/>
        </w:rPr>
        <w:t>Patie</w:t>
      </w:r>
      <w:r w:rsidR="001E23D9" w:rsidRPr="00140622">
        <w:rPr>
          <w:sz w:val="24"/>
          <w:szCs w:val="24"/>
        </w:rPr>
        <w:t>nts in the ICU</w:t>
      </w:r>
      <w:r w:rsidR="00164939" w:rsidRPr="00140622">
        <w:rPr>
          <w:sz w:val="24"/>
          <w:szCs w:val="24"/>
        </w:rPr>
        <w:t xml:space="preserve"> have a</w:t>
      </w:r>
      <w:r w:rsidRPr="00140622">
        <w:rPr>
          <w:sz w:val="24"/>
          <w:szCs w:val="24"/>
        </w:rPr>
        <w:t xml:space="preserve"> higher i</w:t>
      </w:r>
      <w:r w:rsidR="007B0821" w:rsidRPr="00140622">
        <w:rPr>
          <w:sz w:val="24"/>
          <w:szCs w:val="24"/>
        </w:rPr>
        <w:t xml:space="preserve">ncidence of </w:t>
      </w:r>
      <w:r w:rsidR="007B0821" w:rsidRPr="00140622">
        <w:rPr>
          <w:i/>
          <w:sz w:val="24"/>
          <w:szCs w:val="24"/>
        </w:rPr>
        <w:t xml:space="preserve">Candida </w:t>
      </w:r>
      <w:r w:rsidR="007B0821" w:rsidRPr="00140622">
        <w:rPr>
          <w:sz w:val="24"/>
          <w:szCs w:val="24"/>
        </w:rPr>
        <w:t>BSI</w:t>
      </w:r>
      <w:r w:rsidRPr="00140622">
        <w:rPr>
          <w:sz w:val="24"/>
          <w:szCs w:val="24"/>
        </w:rPr>
        <w:t xml:space="preserve"> </w:t>
      </w:r>
      <w:r w:rsidR="00FE5B5A" w:rsidRPr="00140622">
        <w:rPr>
          <w:sz w:val="24"/>
          <w:szCs w:val="24"/>
        </w:rPr>
        <w:t xml:space="preserve">as </w:t>
      </w:r>
      <w:r w:rsidRPr="00140622">
        <w:rPr>
          <w:sz w:val="24"/>
          <w:szCs w:val="24"/>
        </w:rPr>
        <w:t>compared to those on general medical/surgical wards</w:t>
      </w:r>
      <w:r w:rsidR="00706A77" w:rsidRPr="00140622">
        <w:rPr>
          <w:sz w:val="24"/>
          <w:szCs w:val="24"/>
        </w:rPr>
        <w:fldChar w:fldCharType="begin"/>
      </w:r>
      <w:r w:rsidR="0053409B">
        <w:rPr>
          <w:sz w:val="24"/>
          <w:szCs w:val="24"/>
        </w:rPr>
        <w:instrText xml:space="preserve"> ADDIN REFMGR.CITE &lt;Refman&gt;&lt;Cite&gt;&lt;Author&gt;Wisplinghoff&lt;/Author&gt;&lt;Year&gt;2004&lt;/Year&gt;&lt;RecNum&gt;6&lt;/RecNum&gt;&lt;IDText&gt;Nosocomial bloodstream infections in US hospitals: analysis of 24,179 cases from a prospective nationwide surveillance study&lt;/IDText&gt;&lt;MDL Ref_Type="Journal"&gt;&lt;Ref_Type&gt;Journal&lt;/Ref_Type&gt;&lt;Ref_ID&gt;6&lt;/Ref_ID&gt;&lt;Title_Primary&gt;Nosocomial bloodstream infections in US hospitals: analysis of 24,179 cases from a prospective nationwide surveillance study&lt;/Title_Primary&gt;&lt;Authors_Primary&gt;Wisplinghoff,H.&lt;/Authors_Primary&gt;&lt;Authors_Primary&gt;Bischoff,T.&lt;/Authors_Primary&gt;&lt;Authors_Primary&gt;Tallent,S.M.&lt;/Authors_Primary&gt;&lt;Authors_Primary&gt;Seifert,H.&lt;/Authors_Primary&gt;&lt;Authors_Primary&gt;Wenzel,R.P.&lt;/Authors_Primary&gt;&lt;Authors_Primary&gt;Edmond,M.B.&lt;/Authors_Primary&gt;&lt;Date_Primary&gt;2004/8/1&lt;/Date_Primary&gt;&lt;Keywords&gt;Adolescent&lt;/Keywords&gt;&lt;Keywords&gt;Adult&lt;/Keywords&gt;&lt;Keywords&gt;Aged&lt;/Keywords&gt;&lt;Keywords&gt;Aged,80 and over&lt;/Keywords&gt;&lt;Keywords&gt;Bacteremia&lt;/Keywords&gt;&lt;Keywords&gt;Candidiasis&lt;/Keywords&gt;&lt;Keywords&gt;Causality&lt;/Keywords&gt;&lt;Keywords&gt;Child&lt;/Keywords&gt;&lt;Keywords&gt;Child,Preschool&lt;/Keywords&gt;&lt;Keywords&gt;Cross Infection&lt;/Keywords&gt;&lt;Keywords&gt;Drug Resistance,Microbial&lt;/Keywords&gt;&lt;Keywords&gt;epidemiology&lt;/Keywords&gt;&lt;Keywords&gt;Female&lt;/Keywords&gt;&lt;Keywords&gt;Fungemia&lt;/Keywords&gt;&lt;Keywords&gt;Gram-Negative Bacterial Infections&lt;/Keywords&gt;&lt;Keywords&gt;Gram-Positive Bacterial Infections&lt;/Keywords&gt;&lt;Keywords&gt;Humans&lt;/Keywords&gt;&lt;Keywords&gt;Incidence&lt;/Keywords&gt;&lt;Keywords&gt;Infant&lt;/Keywords&gt;&lt;Keywords&gt;Male&lt;/Keywords&gt;&lt;Keywords&gt;Middle Aged&lt;/Keywords&gt;&lt;Keywords&gt;Population Surveillance&lt;/Keywords&gt;&lt;Keywords&gt;Prospective Studies&lt;/Keywords&gt;&lt;Keywords&gt;Sepsis&lt;/Keywords&gt;&lt;Keywords&gt;Staphylococcal Infections&lt;/Keywords&gt;&lt;Keywords&gt;United States&lt;/Keywords&gt;&lt;Reprint&gt;Not in File&lt;/Reprint&gt;&lt;Start_Page&gt;309&lt;/Start_Page&gt;&lt;End_Page&gt;317&lt;/End_Page&gt;&lt;Periodical&gt;Clin Infect Dis&lt;/Periodical&gt;&lt;Volume&gt;39&lt;/Volume&gt;&lt;Issue&gt;3&lt;/Issue&gt;&lt;Address&gt;Department of Internal Medicine, Medical College of Virginia Campus, Virginia Commonwealth University, Richmond, USA&lt;/Address&gt;&lt;Web_URL&gt;PM:15306996&lt;/Web_URL&gt;&lt;ZZ_JournalFull&gt;&lt;f name="System"&gt;Clinical Infectious Diseases&lt;/f&gt;&lt;/ZZ_JournalFull&gt;&lt;ZZ_JournalStdAbbrev&gt;&lt;f name="System"&gt;Clin Infect Dis&lt;/f&gt;&lt;/ZZ_JournalStdAbbrev&gt;&lt;ZZ_WorkformID&gt;1&lt;/ZZ_WorkformID&gt;&lt;/MDL&gt;&lt;/Cite&gt;&lt;/Refman&gt;</w:instrText>
      </w:r>
      <w:r w:rsidR="00706A77" w:rsidRPr="00140622">
        <w:rPr>
          <w:sz w:val="24"/>
          <w:szCs w:val="24"/>
        </w:rPr>
        <w:fldChar w:fldCharType="separate"/>
      </w:r>
      <w:r w:rsidR="00080721">
        <w:rPr>
          <w:sz w:val="24"/>
          <w:szCs w:val="24"/>
        </w:rPr>
        <w:t>(1)</w:t>
      </w:r>
      <w:r w:rsidR="00706A77" w:rsidRPr="00140622">
        <w:rPr>
          <w:sz w:val="24"/>
          <w:szCs w:val="24"/>
        </w:rPr>
        <w:fldChar w:fldCharType="end"/>
      </w:r>
      <w:r w:rsidR="00FE5B5A" w:rsidRPr="00140622">
        <w:rPr>
          <w:sz w:val="24"/>
          <w:szCs w:val="24"/>
        </w:rPr>
        <w:t xml:space="preserve">.  Given </w:t>
      </w:r>
      <w:r w:rsidR="007B0821" w:rsidRPr="00140622">
        <w:rPr>
          <w:sz w:val="24"/>
          <w:szCs w:val="24"/>
        </w:rPr>
        <w:t xml:space="preserve">that IC </w:t>
      </w:r>
      <w:r w:rsidR="008061BD" w:rsidRPr="00140622">
        <w:rPr>
          <w:sz w:val="24"/>
          <w:szCs w:val="24"/>
        </w:rPr>
        <w:t>carrie</w:t>
      </w:r>
      <w:r w:rsidR="007B0821" w:rsidRPr="00140622">
        <w:rPr>
          <w:sz w:val="24"/>
          <w:szCs w:val="24"/>
        </w:rPr>
        <w:t>s</w:t>
      </w:r>
      <w:r w:rsidR="007753F4" w:rsidRPr="00140622">
        <w:rPr>
          <w:sz w:val="24"/>
          <w:szCs w:val="24"/>
        </w:rPr>
        <w:t xml:space="preserve"> </w:t>
      </w:r>
      <w:r w:rsidR="000B529D">
        <w:rPr>
          <w:sz w:val="24"/>
          <w:szCs w:val="24"/>
        </w:rPr>
        <w:t xml:space="preserve">such </w:t>
      </w:r>
      <w:r w:rsidR="007753F4" w:rsidRPr="00140622">
        <w:rPr>
          <w:sz w:val="24"/>
          <w:szCs w:val="24"/>
        </w:rPr>
        <w:t xml:space="preserve">a </w:t>
      </w:r>
      <w:r w:rsidR="007B0821" w:rsidRPr="00140622">
        <w:rPr>
          <w:sz w:val="24"/>
          <w:szCs w:val="24"/>
        </w:rPr>
        <w:t>high associated morbidity,</w:t>
      </w:r>
      <w:r w:rsidR="00FE5B5A" w:rsidRPr="00140622">
        <w:rPr>
          <w:sz w:val="24"/>
          <w:szCs w:val="24"/>
        </w:rPr>
        <w:t xml:space="preserve"> mortality</w:t>
      </w:r>
      <w:r w:rsidRPr="00140622">
        <w:rPr>
          <w:sz w:val="24"/>
          <w:szCs w:val="24"/>
        </w:rPr>
        <w:t>,</w:t>
      </w:r>
      <w:r w:rsidR="007B0821" w:rsidRPr="00140622">
        <w:rPr>
          <w:sz w:val="24"/>
          <w:szCs w:val="24"/>
        </w:rPr>
        <w:t xml:space="preserve"> and cost,</w:t>
      </w:r>
      <w:r w:rsidRPr="00140622">
        <w:rPr>
          <w:sz w:val="24"/>
          <w:szCs w:val="24"/>
        </w:rPr>
        <w:t xml:space="preserve"> prophylactic antifungal therapy has been proposed as a </w:t>
      </w:r>
      <w:r w:rsidR="007B0821" w:rsidRPr="00140622">
        <w:rPr>
          <w:sz w:val="24"/>
          <w:szCs w:val="24"/>
        </w:rPr>
        <w:t>way to prevent</w:t>
      </w:r>
      <w:r w:rsidR="00FE5B5A" w:rsidRPr="00140622">
        <w:rPr>
          <w:sz w:val="24"/>
          <w:szCs w:val="24"/>
        </w:rPr>
        <w:t xml:space="preserve"> disease </w:t>
      </w:r>
      <w:r w:rsidR="007B0821" w:rsidRPr="00140622">
        <w:rPr>
          <w:sz w:val="24"/>
          <w:szCs w:val="24"/>
        </w:rPr>
        <w:t xml:space="preserve">in </w:t>
      </w:r>
      <w:r w:rsidR="007753F4" w:rsidRPr="00140622">
        <w:rPr>
          <w:sz w:val="24"/>
          <w:szCs w:val="24"/>
        </w:rPr>
        <w:t>high-risk patient population</w:t>
      </w:r>
      <w:r w:rsidR="007B0821" w:rsidRPr="00140622">
        <w:rPr>
          <w:sz w:val="24"/>
          <w:szCs w:val="24"/>
        </w:rPr>
        <w:t>s</w:t>
      </w:r>
      <w:r w:rsidRPr="00140622">
        <w:rPr>
          <w:sz w:val="24"/>
          <w:szCs w:val="24"/>
        </w:rPr>
        <w:t xml:space="preserve">.  Azoles and </w:t>
      </w:r>
      <w:proofErr w:type="spellStart"/>
      <w:r w:rsidRPr="00140622">
        <w:rPr>
          <w:sz w:val="24"/>
          <w:szCs w:val="24"/>
        </w:rPr>
        <w:t>polyenes</w:t>
      </w:r>
      <w:proofErr w:type="spellEnd"/>
      <w:r w:rsidRPr="00140622">
        <w:rPr>
          <w:sz w:val="24"/>
          <w:szCs w:val="24"/>
        </w:rPr>
        <w:t xml:space="preserve"> have both been studied as prophylaxis in the ICU </w:t>
      </w:r>
      <w:r w:rsidR="001E23D9" w:rsidRPr="00140622">
        <w:rPr>
          <w:sz w:val="24"/>
          <w:szCs w:val="24"/>
        </w:rPr>
        <w:t xml:space="preserve">setting </w:t>
      </w:r>
      <w:r w:rsidRPr="00140622">
        <w:rPr>
          <w:sz w:val="24"/>
          <w:szCs w:val="24"/>
        </w:rPr>
        <w:t xml:space="preserve">and </w:t>
      </w:r>
      <w:r w:rsidR="007753F4" w:rsidRPr="00140622">
        <w:rPr>
          <w:sz w:val="24"/>
          <w:szCs w:val="24"/>
        </w:rPr>
        <w:t xml:space="preserve">were shown to </w:t>
      </w:r>
      <w:r w:rsidRPr="00140622">
        <w:rPr>
          <w:sz w:val="24"/>
          <w:szCs w:val="24"/>
        </w:rPr>
        <w:t>decrease the incide</w:t>
      </w:r>
      <w:r w:rsidR="001E23D9" w:rsidRPr="00140622">
        <w:rPr>
          <w:sz w:val="24"/>
          <w:szCs w:val="24"/>
        </w:rPr>
        <w:t>nce IFIs</w:t>
      </w:r>
      <w:r w:rsidRPr="00140622">
        <w:rPr>
          <w:sz w:val="24"/>
          <w:szCs w:val="24"/>
        </w:rPr>
        <w:t xml:space="preserve"> without impacting </w:t>
      </w:r>
      <w:r w:rsidR="007753F4" w:rsidRPr="00140622">
        <w:rPr>
          <w:sz w:val="24"/>
          <w:szCs w:val="24"/>
        </w:rPr>
        <w:t xml:space="preserve">overall </w:t>
      </w:r>
      <w:r w:rsidRPr="00140622">
        <w:rPr>
          <w:sz w:val="24"/>
          <w:szCs w:val="24"/>
        </w:rPr>
        <w:t>mortality</w:t>
      </w:r>
      <w:r w:rsidR="00706A77" w:rsidRPr="00140622">
        <w:rPr>
          <w:sz w:val="24"/>
          <w:szCs w:val="24"/>
        </w:rPr>
        <w:fldChar w:fldCharType="begin"/>
      </w:r>
      <w:r w:rsidR="0053409B">
        <w:rPr>
          <w:sz w:val="24"/>
          <w:szCs w:val="24"/>
        </w:rPr>
        <w:instrText xml:space="preserve"> ADDIN REFMGR.CITE &lt;Refman&gt;&lt;Cite&gt;&lt;Author&gt;Cruciani&lt;/Author&gt;&lt;Year&gt;2005&lt;/Year&gt;&lt;RecNum&gt;11&lt;/RecNum&gt;&lt;IDText&gt;Prophylaxis of Candida infections in adult trauma and surgical intensive care patients: a systematic review and meta-analysis&lt;/IDText&gt;&lt;MDL Ref_Type="Journal"&gt;&lt;Ref_Type&gt;Journal&lt;/Ref_Type&gt;&lt;Ref_ID&gt;11&lt;/Ref_ID&gt;&lt;Title_Primary&gt;Prophylaxis of Candida infections in adult trauma and surgical intensive care patients: a systematic review and meta-analysis&lt;/Title_Primary&gt;&lt;Authors_Primary&gt;Cruciani,M.&lt;/Authors_Primary&gt;&lt;Authors_Primary&gt;de,Lalla F.&lt;/Authors_Primary&gt;&lt;Authors_Primary&gt;Mengoli,C.&lt;/Authors_Primary&gt;&lt;Date_Primary&gt;2005/11&lt;/Date_Primary&gt;&lt;Keywords&gt;Adult&lt;/Keywords&gt;&lt;Keywords&gt;Antifungal Agents&lt;/Keywords&gt;&lt;Keywords&gt;Candidiasis&lt;/Keywords&gt;&lt;Keywords&gt;Humans&lt;/Keywords&gt;&lt;Keywords&gt;Intensive Care&lt;/Keywords&gt;&lt;Keywords&gt;Intensive Care Units&lt;/Keywords&gt;&lt;Keywords&gt;mortality&lt;/Keywords&gt;&lt;Keywords&gt;prevention &amp;amp; control&lt;/Keywords&gt;&lt;Keywords&gt;Randomized Controlled Trials&lt;/Keywords&gt;&lt;Keywords&gt;Risk&lt;/Keywords&gt;&lt;Keywords&gt;therapeutic use&lt;/Keywords&gt;&lt;Reprint&gt;Not in File&lt;/Reprint&gt;&lt;Start_Page&gt;1479&lt;/Start_Page&gt;&lt;End_Page&gt;1487&lt;/End_Page&gt;&lt;Periodical&gt;Intensive Care Med&lt;/Periodical&gt;&lt;Volume&gt;31&lt;/Volume&gt;&lt;Issue&gt;11&lt;/Issue&gt;&lt;Address&gt;HIV Outpatient Clinic, Centre of Preventive Medicine, Via Germania 20, 37135, Verona, Italy. crucianimario@virgilio.it&lt;/Address&gt;&lt;Web_URL&gt;PM:16172847&lt;/Web_URL&gt;&lt;ZZ_JournalStdAbbrev&gt;&lt;f name="System"&gt;Intensive Care Med&lt;/f&gt;&lt;/ZZ_JournalStdAbbrev&gt;&lt;ZZ_WorkformID&gt;1&lt;/ZZ_WorkformID&gt;&lt;/MDL&gt;&lt;/Cite&gt;&lt;Cite&gt;&lt;Author&gt;Lipsett&lt;/Author&gt;&lt;Year&gt;2004&lt;/Year&gt;&lt;RecNum&gt;17&lt;/RecNum&gt;&lt;IDText&gt;Clinical trials of antifungal prophylaxis among patients in surgical intensive care units: concepts and considerations&lt;/IDText&gt;&lt;MDL Ref_Type="Journal"&gt;&lt;Ref_Type&gt;Journal&lt;/Ref_Type&gt;&lt;Ref_ID&gt;17&lt;/Ref_ID&gt;&lt;Title_Primary&gt;Clinical trials of antifungal prophylaxis among patients in surgical intensive care units: concepts and considerations&lt;/Title_Primary&gt;&lt;Authors_Primary&gt;Lipsett,P.A.&lt;/Authors_Primary&gt;&lt;Date_Primary&gt;2004/10/15&lt;/Date_Primary&gt;&lt;Keywords&gt;Antifungal Agents&lt;/Keywords&gt;&lt;Keywords&gt;Clinical Trials&lt;/Keywords&gt;&lt;Keywords&gt;economics&lt;/Keywords&gt;&lt;Keywords&gt;epidemiology&lt;/Keywords&gt;&lt;Keywords&gt;Fluconazole&lt;/Keywords&gt;&lt;Keywords&gt;Humans&lt;/Keywords&gt;&lt;Keywords&gt;Incidence&lt;/Keywords&gt;&lt;Keywords&gt;Intensive Care&lt;/Keywords&gt;&lt;Keywords&gt;Intensive Care Units&lt;/Keywords&gt;&lt;Keywords&gt;Outcome Assessment (Health Care)&lt;/Keywords&gt;&lt;Keywords&gt;Postoperative Complications&lt;/Keywords&gt;&lt;Keywords&gt;prevention &amp;amp; control&lt;/Keywords&gt;&lt;Keywords&gt;Preventive Medicine&lt;/Keywords&gt;&lt;Keywords&gt;Research Design&lt;/Keywords&gt;&lt;Keywords&gt;Surgery&lt;/Keywords&gt;&lt;Keywords&gt;therapeutic use&lt;/Keywords&gt;&lt;Reprint&gt;Not in File&lt;/Reprint&gt;&lt;Start_Page&gt;S193&lt;/Start_Page&gt;&lt;End_Page&gt;S199&lt;/End_Page&gt;&lt;Periodical&gt;Clin Infect Dis&lt;/Periodical&gt;&lt;Volume&gt;39 Suppl 4&lt;/Volume&gt;&lt;Address&gt;Department of Surgery, Johns Hopkins University School of Medicine, Baltimore, MD 21287-4685, USA&lt;/Address&gt;&lt;Web_URL&gt;PM:15546117&lt;/Web_URL&gt;&lt;ZZ_JournalFull&gt;&lt;f name="System"&gt;Clinical Infectious Diseases&lt;/f&gt;&lt;/ZZ_JournalFull&gt;&lt;ZZ_JournalStdAbbrev&gt;&lt;f name="System"&gt;Clin Infect Dis&lt;/f&gt;&lt;/ZZ_JournalStdAbbrev&gt;&lt;ZZ_WorkformID&gt;1&lt;/ZZ_WorkformID&gt;&lt;/MDL&gt;&lt;/Cite&gt;&lt;Cite&gt;&lt;Author&gt;Pelz&lt;/Author&gt;&lt;Year&gt;2001&lt;/Year&gt;&lt;RecNum&gt;10&lt;/RecNum&gt;&lt;IDText&gt;Double-Blind Placebo-Controlled Trial of Fluconazole to Prevent Candidal Infections in Critically Ill Surgical Patients. [Article]&lt;/IDText&gt;&lt;MDL Ref_Type="Journal"&gt;&lt;Ref_Type&gt;Journal&lt;/Ref_Type&gt;&lt;Ref_ID&gt;10&lt;/Ref_ID&gt;&lt;Title_Primary&gt;Double-Blind Placebo-Controlled Trial of Fluconazole to Prevent Candidal Infections in Critically Ill Surgical Patients. [Article]&lt;/Title_Primary&gt;&lt;Authors_Primary&gt;Pelz,Robert K.M.&lt;/Authors_Primary&gt;&lt;Authors_Primary&gt;Hendrix,Craig W.M.&lt;/Authors_Primary&gt;&lt;Authors_Primary&gt;Swoboda,Sandra M.R.&lt;/Authors_Primary&gt;&lt;Authors_Primary&gt;ener-West,Marie PhD&lt;/Authors_Primary&gt;&lt;Authors_Primary&gt;Merz,William G.P.&lt;/Authors_Primary&gt;&lt;Authors_Primary&gt;Hammond,Janet MD&lt;/Authors_Primary&gt;&lt;Authors_Primary&gt;Lipsett,Pamela A.M.&lt;/Authors_Primary&gt;&lt;Date_Primary&gt;2001/4&lt;/Date_Primary&gt;&lt;Keywords&gt;Incidence&lt;/Keywords&gt;&lt;Keywords&gt;Intensive Care&lt;/Keywords&gt;&lt;Reprint&gt;Not in File&lt;/Reprint&gt;&lt;Start_Page&gt;542&lt;/Start_Page&gt;&lt;End_Page&gt;548&lt;/End_Page&gt;&lt;Periodical&gt;Annals of Surgery&lt;/Periodical&gt;&lt;Volume&gt;233&lt;/Volume&gt;&lt;Issue&gt;4&lt;/Issue&gt;&lt;ZZ_JournalFull&gt;&lt;f name="System"&gt;Annals of Surgery&lt;/f&gt;&lt;/ZZ_JournalFull&gt;&lt;ZZ_WorkformID&gt;1&lt;/ZZ_WorkformID&gt;&lt;/MDL&gt;&lt;/Cite&gt;&lt;Cite&gt;&lt;Author&gt;Playford&lt;/Author&gt;&lt;Year&gt;2006&lt;/Year&gt;&lt;RecNum&gt;12&lt;/RecNum&gt;&lt;IDText&gt;Antifungal agents for preventing fungal infections in non-neutropenic critically ill and surgical patients: systematic review and meta-analysis of randomized clinical trials&lt;/IDText&gt;&lt;MDL Ref_Type="Journal"&gt;&lt;Ref_Type&gt;Journal&lt;/Ref_Type&gt;&lt;Ref_ID&gt;12&lt;/Ref_ID&gt;&lt;Title_Primary&gt;Antifungal agents for preventing fungal infections in non-neutropenic critically ill and surgical patients: systematic review and meta-analysis of randomized clinical trials&lt;/Title_Primary&gt;&lt;Authors_Primary&gt;Playford,E.Geoffrey&lt;/Authors_Primary&gt;&lt;Authors_Primary&gt;Webster,Angela C.&lt;/Authors_Primary&gt;&lt;Authors_Primary&gt;Sorrell,Tania C.&lt;/Authors_Primary&gt;&lt;Authors_Primary&gt;Craig,Jonathan C.&lt;/Authors_Primary&gt;&lt;Date_Primary&gt;2006/4/1&lt;/Date_Primary&gt;&lt;Keywords&gt;Adult&lt;/Keywords&gt;&lt;Keywords&gt;Antifungal Agents&lt;/Keywords&gt;&lt;Keywords&gt;Incidence&lt;/Keywords&gt;&lt;Keywords&gt;mortality&lt;/Keywords&gt;&lt;Keywords&gt;Randomized Controlled Trials&lt;/Keywords&gt;&lt;Keywords&gt;Risk&lt;/Keywords&gt;&lt;Reprint&gt;Not in File&lt;/Reprint&gt;&lt;Start_Page&gt;628&lt;/Start_Page&gt;&lt;End_Page&gt;638&lt;/End_Page&gt;&lt;Periodical&gt;J.Antimicrob.Chemother.&lt;/Periodical&gt;&lt;Volume&gt;57&lt;/Volume&gt;&lt;Issue&gt;4&lt;/Issue&gt;&lt;Web_URL&gt;http://jac.oxfordjournals.org/cgi/content/abstract/57/4/628&lt;/Web_URL&gt;&lt;ZZ_JournalFull&gt;&lt;f name="System"&gt;Journal of Antimicrobial Chemotherapy&lt;/f&gt;&lt;/ZZ_JournalFull&gt;&lt;ZZ_JournalStdAbbrev&gt;&lt;f name="System"&gt;J.Antimicrob.Chemother.&lt;/f&gt;&lt;/ZZ_JournalStdAbbrev&gt;&lt;ZZ_WorkformID&gt;1&lt;/ZZ_WorkformID&gt;&lt;/MDL&gt;&lt;/Cite&gt;&lt;Cite&gt;&lt;Author&gt;Rex&lt;/Author&gt;&lt;Year&gt;2001&lt;/Year&gt;&lt;RecNum&gt;15&lt;/RecNum&gt;&lt;IDText&gt;Prophylactic antifungal therapy in the intensive care unit&lt;/IDText&gt;&lt;MDL Ref_Type="Journal"&gt;&lt;Ref_Type&gt;Journal&lt;/Ref_Type&gt;&lt;Ref_ID&gt;15&lt;/Ref_ID&gt;&lt;Title_Primary&gt;Prophylactic antifungal therapy in the intensive care unit&lt;/Title_Primary&gt;&lt;Authors_Primary&gt;Rex,J.H.&lt;/Authors_Primary&gt;&lt;Authors_Primary&gt;Sobel,J.D.&lt;/Authors_Primary&gt;&lt;Date_Primary&gt;2001/4/15&lt;/Date_Primary&gt;&lt;Keywords&gt;Antibiotic Prophylaxis&lt;/Keywords&gt;&lt;Keywords&gt;Antifungal Agents&lt;/Keywords&gt;&lt;Keywords&gt;Candidiasis&lt;/Keywords&gt;&lt;Keywords&gt;complications&lt;/Keywords&gt;&lt;Keywords&gt;Data Interpretation,Statistical&lt;/Keywords&gt;&lt;Keywords&gt;Humans&lt;/Keywords&gt;&lt;Keywords&gt;Intensive Care&lt;/Keywords&gt;&lt;Keywords&gt;Intensive Care Units&lt;/Keywords&gt;&lt;Keywords&gt;Neoplasms&lt;/Keywords&gt;&lt;Keywords&gt;Neutropenia&lt;/Keywords&gt;&lt;Keywords&gt;Risk&lt;/Keywords&gt;&lt;Keywords&gt;standards&lt;/Keywords&gt;&lt;Keywords&gt;therapeutic use&lt;/Keywords&gt;&lt;Reprint&gt;Not in File&lt;/Reprint&gt;&lt;Start_Page&gt;1191&lt;/Start_Page&gt;&lt;End_Page&gt;1200&lt;/End_Page&gt;&lt;Periodical&gt;Clin Infect Dis&lt;/Periodical&gt;&lt;Volume&gt;32&lt;/Volume&gt;&lt;Issue&gt;8&lt;/Issue&gt;&lt;Address&gt;Division of Infectious Diseases, Department of Internal Medicine, Center for the Study of Emerging and Re-Emerging Pathogens, University of Texas Medical School, Houston, TX 77030, USA. John.H.Rex@uth.tmc.edu&lt;/Address&gt;&lt;Web_URL&gt;PM:11283809&lt;/Web_URL&gt;&lt;ZZ_JournalFull&gt;&lt;f name="System"&gt;Clinical Infectious Diseases&lt;/f&gt;&lt;/ZZ_JournalFull&gt;&lt;ZZ_JournalStdAbbrev&gt;&lt;f name="System"&gt;Clin Infect Dis&lt;/f&gt;&lt;/ZZ_JournalStdAbbrev&gt;&lt;ZZ_WorkformID&gt;1&lt;/ZZ_WorkformID&gt;&lt;/MDL&gt;&lt;/Cite&gt;&lt;/Refman&gt;</w:instrText>
      </w:r>
      <w:r w:rsidR="00706A77" w:rsidRPr="00140622">
        <w:rPr>
          <w:sz w:val="24"/>
          <w:szCs w:val="24"/>
        </w:rPr>
        <w:fldChar w:fldCharType="separate"/>
      </w:r>
      <w:r w:rsidR="00080721">
        <w:rPr>
          <w:sz w:val="24"/>
          <w:szCs w:val="24"/>
        </w:rPr>
        <w:t>(6-10)</w:t>
      </w:r>
      <w:r w:rsidR="00706A77" w:rsidRPr="00140622">
        <w:rPr>
          <w:sz w:val="24"/>
          <w:szCs w:val="24"/>
        </w:rPr>
        <w:fldChar w:fldCharType="end"/>
      </w:r>
      <w:r w:rsidR="007753F4" w:rsidRPr="00140622">
        <w:rPr>
          <w:sz w:val="24"/>
          <w:szCs w:val="24"/>
        </w:rPr>
        <w:t>.  I</w:t>
      </w:r>
      <w:r w:rsidR="00164939" w:rsidRPr="00140622">
        <w:rPr>
          <w:sz w:val="24"/>
          <w:szCs w:val="24"/>
        </w:rPr>
        <w:t xml:space="preserve">ndividual prophylaxis </w:t>
      </w:r>
      <w:r w:rsidRPr="00140622">
        <w:rPr>
          <w:sz w:val="24"/>
          <w:szCs w:val="24"/>
        </w:rPr>
        <w:t xml:space="preserve">studies, however, </w:t>
      </w:r>
      <w:r w:rsidR="007753F4" w:rsidRPr="00140622">
        <w:rPr>
          <w:sz w:val="24"/>
          <w:szCs w:val="24"/>
        </w:rPr>
        <w:t xml:space="preserve">have </w:t>
      </w:r>
      <w:r w:rsidRPr="00140622">
        <w:rPr>
          <w:sz w:val="24"/>
          <w:szCs w:val="24"/>
        </w:rPr>
        <w:t xml:space="preserve">varied widely with regard to patient </w:t>
      </w:r>
      <w:r w:rsidR="008061BD" w:rsidRPr="00140622">
        <w:rPr>
          <w:sz w:val="24"/>
          <w:szCs w:val="24"/>
        </w:rPr>
        <w:t>selection and antifungal regime</w:t>
      </w:r>
      <w:r w:rsidR="007753F4" w:rsidRPr="00140622">
        <w:rPr>
          <w:sz w:val="24"/>
          <w:szCs w:val="24"/>
        </w:rPr>
        <w:t>n</w:t>
      </w:r>
      <w:r w:rsidRPr="00140622">
        <w:rPr>
          <w:sz w:val="24"/>
          <w:szCs w:val="24"/>
        </w:rPr>
        <w:t xml:space="preserve">.  No consensus on the optimal </w:t>
      </w:r>
      <w:r w:rsidR="001E23D9" w:rsidRPr="00140622">
        <w:rPr>
          <w:sz w:val="24"/>
          <w:szCs w:val="24"/>
        </w:rPr>
        <w:t xml:space="preserve">preventative </w:t>
      </w:r>
      <w:r w:rsidRPr="00140622">
        <w:rPr>
          <w:sz w:val="24"/>
          <w:szCs w:val="24"/>
        </w:rPr>
        <w:t xml:space="preserve">strategy currently exists, but experts have advocated </w:t>
      </w:r>
      <w:r w:rsidR="007753F4" w:rsidRPr="00140622">
        <w:rPr>
          <w:sz w:val="24"/>
          <w:szCs w:val="24"/>
        </w:rPr>
        <w:t xml:space="preserve">some form of </w:t>
      </w:r>
      <w:r w:rsidR="001E23D9" w:rsidRPr="00140622">
        <w:rPr>
          <w:sz w:val="24"/>
          <w:szCs w:val="24"/>
        </w:rPr>
        <w:t xml:space="preserve">antifungal </w:t>
      </w:r>
      <w:r w:rsidRPr="00140622">
        <w:rPr>
          <w:sz w:val="24"/>
          <w:szCs w:val="24"/>
        </w:rPr>
        <w:t>prophylaxis in situations where the rate of IC is expected to approach 10</w:t>
      </w:r>
      <w:r w:rsidR="00164939" w:rsidRPr="00140622">
        <w:rPr>
          <w:sz w:val="24"/>
          <w:szCs w:val="24"/>
        </w:rPr>
        <w:t>%</w:t>
      </w:r>
      <w:r w:rsidR="00706A77" w:rsidRPr="00140622">
        <w:rPr>
          <w:sz w:val="24"/>
          <w:szCs w:val="24"/>
        </w:rPr>
        <w:fldChar w:fldCharType="begin"/>
      </w:r>
      <w:r w:rsidR="0053409B">
        <w:rPr>
          <w:sz w:val="24"/>
          <w:szCs w:val="24"/>
        </w:rPr>
        <w:instrText xml:space="preserve"> ADDIN REFMGR.CITE &lt;Refman&gt;&lt;Cite&gt;&lt;Author&gt;Rex&lt;/Author&gt;&lt;Year&gt;2006&lt;/Year&gt;&lt;RecNum&gt;14&lt;/RecNum&gt;&lt;IDText&gt;Antifungal prophylaxis in the intensive care unit: Who should get it? *. [Editorial]&lt;/IDText&gt;&lt;MDL Ref_Type="Journal"&gt;&lt;Ref_Type&gt;Journal&lt;/Ref_Type&gt;&lt;Ref_ID&gt;14&lt;/Ref_ID&gt;&lt;Title_Primary&gt;Antifungal prophylaxis in the intensive care unit: Who should get it? *. [Editorial]&lt;/Title_Primary&gt;&lt;Authors_Primary&gt;Rex,John H.M.&lt;/Authors_Primary&gt;&lt;Date_Primary&gt;2006/4&lt;/Date_Primary&gt;&lt;Keywords&gt;Intensive Care&lt;/Keywords&gt;&lt;Reprint&gt;Not in File&lt;/Reprint&gt;&lt;Start_Page&gt;1286&lt;/Start_Page&gt;&lt;End_Page&gt;1287&lt;/End_Page&gt;&lt;Periodical&gt;Critical Care Medicine&lt;/Periodical&gt;&lt;Volume&gt;34&lt;/Volume&gt;&lt;Issue&gt;4&lt;/Issue&gt;&lt;ZZ_JournalFull&gt;&lt;f name="System"&gt;Critical Care Medicine&lt;/f&gt;&lt;/ZZ_JournalFull&gt;&lt;ZZ_WorkformID&gt;1&lt;/ZZ_WorkformID&gt;&lt;/MDL&gt;&lt;/Cite&gt;&lt;/Refman&gt;</w:instrText>
      </w:r>
      <w:r w:rsidR="00706A77" w:rsidRPr="00140622">
        <w:rPr>
          <w:sz w:val="24"/>
          <w:szCs w:val="24"/>
        </w:rPr>
        <w:fldChar w:fldCharType="separate"/>
      </w:r>
      <w:r w:rsidR="00080721">
        <w:rPr>
          <w:sz w:val="24"/>
          <w:szCs w:val="24"/>
        </w:rPr>
        <w:t>(11)</w:t>
      </w:r>
      <w:r w:rsidR="00706A77" w:rsidRPr="00140622">
        <w:rPr>
          <w:sz w:val="24"/>
          <w:szCs w:val="24"/>
        </w:rPr>
        <w:fldChar w:fldCharType="end"/>
      </w:r>
      <w:r w:rsidRPr="00140622">
        <w:rPr>
          <w:sz w:val="24"/>
          <w:szCs w:val="24"/>
        </w:rPr>
        <w:t xml:space="preserve">.  </w:t>
      </w:r>
    </w:p>
    <w:p w:rsidR="00164939" w:rsidRPr="00140622" w:rsidRDefault="00164939" w:rsidP="00FC1BDA">
      <w:pPr>
        <w:spacing w:before="0" w:after="0" w:line="480" w:lineRule="auto"/>
        <w:jc w:val="both"/>
        <w:rPr>
          <w:sz w:val="24"/>
          <w:szCs w:val="24"/>
        </w:rPr>
      </w:pPr>
    </w:p>
    <w:p w:rsidR="00164939" w:rsidRPr="00140622" w:rsidRDefault="00164939" w:rsidP="00FC1BDA">
      <w:pPr>
        <w:spacing w:before="0" w:after="0" w:line="480" w:lineRule="auto"/>
        <w:jc w:val="both"/>
        <w:rPr>
          <w:b/>
          <w:snapToGrid w:val="0"/>
          <w:color w:val="000000"/>
          <w:sz w:val="24"/>
          <w:szCs w:val="24"/>
        </w:rPr>
      </w:pPr>
      <w:r w:rsidRPr="00140622">
        <w:rPr>
          <w:b/>
          <w:snapToGrid w:val="0"/>
          <w:color w:val="000000"/>
          <w:sz w:val="24"/>
          <w:szCs w:val="24"/>
        </w:rPr>
        <w:t>Issues Regarding Clinical Trials of Antifungal Prophylaxis</w:t>
      </w:r>
    </w:p>
    <w:p w:rsidR="00BD1B16" w:rsidRPr="00140622" w:rsidRDefault="00726966" w:rsidP="00FC1BDA">
      <w:pPr>
        <w:spacing w:line="480" w:lineRule="auto"/>
        <w:ind w:firstLine="720"/>
        <w:jc w:val="both"/>
        <w:rPr>
          <w:sz w:val="24"/>
          <w:szCs w:val="24"/>
        </w:rPr>
      </w:pPr>
      <w:r w:rsidRPr="00140622">
        <w:rPr>
          <w:sz w:val="24"/>
          <w:szCs w:val="24"/>
        </w:rPr>
        <w:t xml:space="preserve">Two key points of interest for future </w:t>
      </w:r>
      <w:r w:rsidR="00DA79A1" w:rsidRPr="00140622">
        <w:rPr>
          <w:sz w:val="24"/>
          <w:szCs w:val="24"/>
        </w:rPr>
        <w:t xml:space="preserve">studies of </w:t>
      </w:r>
      <w:r w:rsidRPr="00140622">
        <w:rPr>
          <w:sz w:val="24"/>
          <w:szCs w:val="24"/>
        </w:rPr>
        <w:t xml:space="preserve">IC prophylaxis are the </w:t>
      </w:r>
      <w:r w:rsidR="001E23D9" w:rsidRPr="00140622">
        <w:rPr>
          <w:sz w:val="24"/>
          <w:szCs w:val="24"/>
        </w:rPr>
        <w:t xml:space="preserve">choice of antifungal agent </w:t>
      </w:r>
      <w:r w:rsidR="00DA79A1" w:rsidRPr="00140622">
        <w:rPr>
          <w:sz w:val="24"/>
          <w:szCs w:val="24"/>
        </w:rPr>
        <w:t xml:space="preserve">and the </w:t>
      </w:r>
      <w:r w:rsidRPr="00140622">
        <w:rPr>
          <w:sz w:val="24"/>
          <w:szCs w:val="24"/>
        </w:rPr>
        <w:t xml:space="preserve">definition of </w:t>
      </w:r>
      <w:r w:rsidR="001E23D9" w:rsidRPr="00140622">
        <w:rPr>
          <w:sz w:val="24"/>
          <w:szCs w:val="24"/>
        </w:rPr>
        <w:t>patient risk</w:t>
      </w:r>
      <w:r w:rsidRPr="00140622">
        <w:rPr>
          <w:sz w:val="24"/>
          <w:szCs w:val="24"/>
        </w:rPr>
        <w:t xml:space="preserve">.  In terms of drug selection, the </w:t>
      </w:r>
      <w:proofErr w:type="spellStart"/>
      <w:r w:rsidRPr="00140622">
        <w:rPr>
          <w:sz w:val="24"/>
          <w:szCs w:val="24"/>
        </w:rPr>
        <w:t>polyenes</w:t>
      </w:r>
      <w:proofErr w:type="spellEnd"/>
      <w:r w:rsidRPr="00140622">
        <w:rPr>
          <w:sz w:val="24"/>
          <w:szCs w:val="24"/>
        </w:rPr>
        <w:t xml:space="preserve"> are limited by drug-associated toxicities and the azoles have been suspected of promoting a shift toward more resistant, non-</w:t>
      </w:r>
      <w:proofErr w:type="spellStart"/>
      <w:r w:rsidRPr="00140622">
        <w:rPr>
          <w:i/>
          <w:sz w:val="24"/>
          <w:szCs w:val="24"/>
        </w:rPr>
        <w:t>albicans</w:t>
      </w:r>
      <w:proofErr w:type="spellEnd"/>
      <w:r w:rsidRPr="00140622">
        <w:rPr>
          <w:i/>
          <w:sz w:val="24"/>
          <w:szCs w:val="24"/>
        </w:rPr>
        <w:t xml:space="preserve"> </w:t>
      </w:r>
      <w:r w:rsidR="00164939" w:rsidRPr="00140622">
        <w:rPr>
          <w:sz w:val="24"/>
          <w:szCs w:val="24"/>
        </w:rPr>
        <w:t>species</w:t>
      </w:r>
      <w:r w:rsidR="00706A77" w:rsidRPr="00140622">
        <w:rPr>
          <w:sz w:val="24"/>
          <w:szCs w:val="24"/>
        </w:rPr>
        <w:fldChar w:fldCharType="begin"/>
      </w:r>
      <w:r w:rsidR="0053409B">
        <w:rPr>
          <w:sz w:val="24"/>
          <w:szCs w:val="24"/>
        </w:rPr>
        <w:instrText xml:space="preserve"> ADDIN REFMGR.CITE &lt;Refman&gt;&lt;Cite&gt;&lt;Author&gt;Rex&lt;/Author&gt;&lt;Year&gt;2001&lt;/Year&gt;&lt;RecNum&gt;15&lt;/RecNum&gt;&lt;IDText&gt;Prophylactic antifungal therapy in the intensive care unit&lt;/IDText&gt;&lt;MDL Ref_Type="Journal"&gt;&lt;Ref_Type&gt;Journal&lt;/Ref_Type&gt;&lt;Ref_ID&gt;15&lt;/Ref_ID&gt;&lt;Title_Primary&gt;Prophylactic antifungal therapy in the intensive care unit&lt;/Title_Primary&gt;&lt;Authors_Primary&gt;Rex,J.H.&lt;/Authors_Primary&gt;&lt;Authors_Primary&gt;Sobel,J.D.&lt;/Authors_Primary&gt;&lt;Date_Primary&gt;2001/4/15&lt;/Date_Primary&gt;&lt;Keywords&gt;Antibiotic Prophylaxis&lt;/Keywords&gt;&lt;Keywords&gt;Antifungal Agents&lt;/Keywords&gt;&lt;Keywords&gt;Candidiasis&lt;/Keywords&gt;&lt;Keywords&gt;complications&lt;/Keywords&gt;&lt;Keywords&gt;Data Interpretation,Statistical&lt;/Keywords&gt;&lt;Keywords&gt;Humans&lt;/Keywords&gt;&lt;Keywords&gt;Intensive Care&lt;/Keywords&gt;&lt;Keywords&gt;Intensive Care Units&lt;/Keywords&gt;&lt;Keywords&gt;Neoplasms&lt;/Keywords&gt;&lt;Keywords&gt;Neutropenia&lt;/Keywords&gt;&lt;Keywords&gt;Risk&lt;/Keywords&gt;&lt;Keywords&gt;standards&lt;/Keywords&gt;&lt;Keywords&gt;therapeutic use&lt;/Keywords&gt;&lt;Reprint&gt;Not in File&lt;/Reprint&gt;&lt;Start_Page&gt;1191&lt;/Start_Page&gt;&lt;End_Page&gt;1200&lt;/End_Page&gt;&lt;Periodical&gt;Clin Infect Dis&lt;/Periodical&gt;&lt;Volume&gt;32&lt;/Volume&gt;&lt;Issue&gt;8&lt;/Issue&gt;&lt;Address&gt;Division of Infectious Diseases, Department of Internal Medicine, Center for the Study of Emerging and Re-Emerging Pathogens, University of Texas Medical School, Houston, TX 77030, USA. John.H.Rex@uth.tmc.edu&lt;/Address&gt;&lt;Web_URL&gt;PM:11283809&lt;/Web_URL&gt;&lt;ZZ_JournalFull&gt;&lt;f name="System"&gt;Clinical Infectious Diseases&lt;/f&gt;&lt;/ZZ_JournalFull&gt;&lt;ZZ_JournalStdAbbrev&gt;&lt;f name="System"&gt;Clin Infect Dis&lt;/f&gt;&lt;/ZZ_JournalStdAbbrev&gt;&lt;ZZ_WorkformID&gt;1&lt;/ZZ_WorkformID&gt;&lt;/MDL&gt;&lt;/Cite&gt;&lt;/Refman&gt;</w:instrText>
      </w:r>
      <w:r w:rsidR="00706A77" w:rsidRPr="00140622">
        <w:rPr>
          <w:sz w:val="24"/>
          <w:szCs w:val="24"/>
        </w:rPr>
        <w:fldChar w:fldCharType="separate"/>
      </w:r>
      <w:r w:rsidR="00080721">
        <w:rPr>
          <w:sz w:val="24"/>
          <w:szCs w:val="24"/>
        </w:rPr>
        <w:t>(10)</w:t>
      </w:r>
      <w:r w:rsidR="00706A77" w:rsidRPr="00140622">
        <w:rPr>
          <w:sz w:val="24"/>
          <w:szCs w:val="24"/>
        </w:rPr>
        <w:fldChar w:fldCharType="end"/>
      </w:r>
      <w:r w:rsidR="00164939" w:rsidRPr="00140622">
        <w:rPr>
          <w:sz w:val="24"/>
          <w:szCs w:val="24"/>
        </w:rPr>
        <w:t xml:space="preserve">.  The </w:t>
      </w:r>
      <w:proofErr w:type="spellStart"/>
      <w:r w:rsidR="00164939" w:rsidRPr="00140622">
        <w:rPr>
          <w:sz w:val="24"/>
          <w:szCs w:val="24"/>
        </w:rPr>
        <w:t>echinocandins</w:t>
      </w:r>
      <w:proofErr w:type="spellEnd"/>
      <w:r w:rsidR="00164939" w:rsidRPr="00140622">
        <w:rPr>
          <w:sz w:val="24"/>
          <w:szCs w:val="24"/>
        </w:rPr>
        <w:t xml:space="preserve"> are</w:t>
      </w:r>
      <w:r w:rsidRPr="00140622">
        <w:rPr>
          <w:sz w:val="24"/>
          <w:szCs w:val="24"/>
        </w:rPr>
        <w:t xml:space="preserve"> </w:t>
      </w:r>
      <w:r w:rsidR="00B6609C" w:rsidRPr="00140622">
        <w:rPr>
          <w:sz w:val="24"/>
          <w:szCs w:val="24"/>
        </w:rPr>
        <w:t>the newest</w:t>
      </w:r>
      <w:r w:rsidR="00DA79A1" w:rsidRPr="00140622">
        <w:rPr>
          <w:sz w:val="24"/>
          <w:szCs w:val="24"/>
        </w:rPr>
        <w:t xml:space="preserve"> class of </w:t>
      </w:r>
      <w:r w:rsidR="00B6609C" w:rsidRPr="00140622">
        <w:rPr>
          <w:sz w:val="24"/>
          <w:szCs w:val="24"/>
        </w:rPr>
        <w:t xml:space="preserve">antifungal </w:t>
      </w:r>
      <w:r w:rsidR="00DA79A1" w:rsidRPr="00140622">
        <w:rPr>
          <w:sz w:val="24"/>
          <w:szCs w:val="24"/>
        </w:rPr>
        <w:t>agents</w:t>
      </w:r>
      <w:r w:rsidR="00B6609C" w:rsidRPr="00140622">
        <w:rPr>
          <w:sz w:val="24"/>
          <w:szCs w:val="24"/>
        </w:rPr>
        <w:t xml:space="preserve">.  The group is </w:t>
      </w:r>
      <w:r w:rsidRPr="00140622">
        <w:rPr>
          <w:sz w:val="24"/>
          <w:szCs w:val="24"/>
        </w:rPr>
        <w:t xml:space="preserve">active against a broad range of </w:t>
      </w:r>
      <w:r w:rsidRPr="00140622">
        <w:rPr>
          <w:i/>
          <w:sz w:val="24"/>
          <w:szCs w:val="24"/>
        </w:rPr>
        <w:t xml:space="preserve">Candida </w:t>
      </w:r>
      <w:r w:rsidR="00DA79A1" w:rsidRPr="00140622">
        <w:rPr>
          <w:sz w:val="24"/>
          <w:szCs w:val="24"/>
        </w:rPr>
        <w:t>species, have</w:t>
      </w:r>
      <w:r w:rsidRPr="00140622">
        <w:rPr>
          <w:sz w:val="24"/>
          <w:szCs w:val="24"/>
        </w:rPr>
        <w:t xml:space="preserve"> </w:t>
      </w:r>
      <w:r w:rsidR="00DA79A1" w:rsidRPr="00140622">
        <w:rPr>
          <w:sz w:val="24"/>
          <w:szCs w:val="24"/>
        </w:rPr>
        <w:t xml:space="preserve">relatively </w:t>
      </w:r>
      <w:r w:rsidRPr="00140622">
        <w:rPr>
          <w:sz w:val="24"/>
          <w:szCs w:val="24"/>
        </w:rPr>
        <w:t>few drug-related toxicities/interactions, and would likely be effective as p</w:t>
      </w:r>
      <w:r w:rsidR="00DA79A1" w:rsidRPr="00140622">
        <w:rPr>
          <w:sz w:val="24"/>
          <w:szCs w:val="24"/>
        </w:rPr>
        <w:t>rophylaxis</w:t>
      </w:r>
      <w:r w:rsidR="00706A77" w:rsidRPr="00140622">
        <w:rPr>
          <w:sz w:val="24"/>
          <w:szCs w:val="24"/>
        </w:rPr>
        <w:fldChar w:fldCharType="begin"/>
      </w:r>
      <w:r w:rsidR="0053409B">
        <w:rPr>
          <w:sz w:val="24"/>
          <w:szCs w:val="24"/>
        </w:rPr>
        <w:instrText xml:space="preserve"> ADDIN REFMGR.CITE &lt;Refman&gt;&lt;Cite&gt;&lt;Author&gt;van Burik&lt;/Author&gt;&lt;Year&gt;2004&lt;/Year&gt;&lt;RecNum&gt;16&lt;/RecNum&gt;&lt;IDText&gt;Micafungin versus fluconazole for prophylaxis against invasive fungal infections during neutropenia in patients undergoing hematopoietic stem cell transplantation&lt;/IDText&gt;&lt;MDL Ref_Type="Journal"&gt;&lt;Ref_Type&gt;Journal&lt;/Ref_Type&gt;&lt;Ref_ID&gt;16&lt;/Ref_ID&gt;&lt;Title_Primary&gt;Micafungin versus fluconazole for prophylaxis against invasive fungal infections during neutropenia in patients undergoing hematopoietic stem cell transplantation&lt;/Title_Primary&gt;&lt;Authors_Primary&gt;van Burik,J.A.&lt;/Authors_Primary&gt;&lt;Authors_Primary&gt;Ratanatharathorn,V.&lt;/Authors_Primary&gt;&lt;Authors_Primary&gt;Stepan,D.E.&lt;/Authors_Primary&gt;&lt;Authors_Primary&gt;Miller,C.B.&lt;/Authors_Primary&gt;&lt;Authors_Primary&gt;Lipton,J.H.&lt;/Authors_Primary&gt;&lt;Authors_Primary&gt;Vesole,D.H.&lt;/Authors_Primary&gt;&lt;Authors_Primary&gt;Bunin,N.&lt;/Authors_Primary&gt;&lt;Authors_Primary&gt;Wall,D.A.&lt;/Authors_Primary&gt;&lt;Authors_Primary&gt;Hiemenz,J.W.&lt;/Authors_Primary&gt;&lt;Authors_Primary&gt;Satoi,Y.&lt;/Authors_Primary&gt;&lt;Authors_Primary&gt;Lee,J.M.&lt;/Authors_Primary&gt;&lt;Authors_Primary&gt;Walsh,T.J.&lt;/Authors_Primary&gt;&lt;Date_Primary&gt;2004/11/15&lt;/Date_Primary&gt;&lt;Keywords&gt;Adolescent&lt;/Keywords&gt;&lt;Keywords&gt;Adult&lt;/Keywords&gt;&lt;Keywords&gt;adverse effects&lt;/Keywords&gt;&lt;Keywords&gt;Aged&lt;/Keywords&gt;&lt;Keywords&gt;Child&lt;/Keywords&gt;&lt;Keywords&gt;Child,Preschool&lt;/Keywords&gt;&lt;Keywords&gt;complications&lt;/Keywords&gt;&lt;Keywords&gt;Double-Blind Method&lt;/Keywords&gt;&lt;Keywords&gt;etiology&lt;/Keywords&gt;&lt;Keywords&gt;Female&lt;/Keywords&gt;&lt;Keywords&gt;Fluconazole&lt;/Keywords&gt;&lt;Keywords&gt;Hematopoietic Stem Cell Transplantation&lt;/Keywords&gt;&lt;Keywords&gt;Humans&lt;/Keywords&gt;&lt;Keywords&gt;Infant&lt;/Keywords&gt;&lt;Keywords&gt;Lipoproteins&lt;/Keywords&gt;&lt;Keywords&gt;Male&lt;/Keywords&gt;&lt;Keywords&gt;Middle Aged&lt;/Keywords&gt;&lt;Keywords&gt;Mycoses&lt;/Keywords&gt;&lt;Keywords&gt;Neutropenia&lt;/Keywords&gt;&lt;Keywords&gt;Peptides,Cyclic&lt;/Keywords&gt;&lt;Keywords&gt;prevention &amp;amp; control&lt;/Keywords&gt;&lt;Keywords&gt;therapeutic use&lt;/Keywords&gt;&lt;Reprint&gt;Not in File&lt;/Reprint&gt;&lt;Start_Page&gt;1407&lt;/Start_Page&gt;&lt;End_Page&gt;1416&lt;/End_Page&gt;&lt;Periodical&gt;Clin Infect Dis&lt;/Periodical&gt;&lt;Volume&gt;39&lt;/Volume&gt;&lt;Issue&gt;10&lt;/Issue&gt;&lt;Address&gt;University of Minnesota, Minneapolis, MN, USA&lt;/Address&gt;&lt;Web_URL&gt;PM:15546073&lt;/Web_URL&gt;&lt;ZZ_JournalFull&gt;&lt;f name="System"&gt;Clinical Infectious Diseases&lt;/f&gt;&lt;/ZZ_JournalFull&gt;&lt;ZZ_JournalStdAbbrev&gt;&lt;f name="System"&gt;Clin Infect Dis&lt;/f&gt;&lt;/ZZ_JournalStdAbbrev&gt;&lt;ZZ_WorkformID&gt;1&lt;/ZZ_WorkformID&gt;&lt;/MDL&gt;&lt;/Cite&gt;&lt;/Refman&gt;</w:instrText>
      </w:r>
      <w:r w:rsidR="00706A77" w:rsidRPr="00140622">
        <w:rPr>
          <w:sz w:val="24"/>
          <w:szCs w:val="24"/>
        </w:rPr>
        <w:fldChar w:fldCharType="separate"/>
      </w:r>
      <w:r w:rsidR="00080721">
        <w:rPr>
          <w:sz w:val="24"/>
          <w:szCs w:val="24"/>
        </w:rPr>
        <w:t>(12)</w:t>
      </w:r>
      <w:r w:rsidR="00706A77" w:rsidRPr="00140622">
        <w:rPr>
          <w:sz w:val="24"/>
          <w:szCs w:val="24"/>
        </w:rPr>
        <w:fldChar w:fldCharType="end"/>
      </w:r>
      <w:r w:rsidR="00C247E9">
        <w:rPr>
          <w:sz w:val="24"/>
          <w:szCs w:val="24"/>
        </w:rPr>
        <w:t>.  A</w:t>
      </w:r>
      <w:r w:rsidR="006F318F" w:rsidRPr="00140622">
        <w:rPr>
          <w:sz w:val="24"/>
          <w:szCs w:val="24"/>
        </w:rPr>
        <w:t xml:space="preserve">s of yet, </w:t>
      </w:r>
      <w:r w:rsidR="00C247E9">
        <w:rPr>
          <w:sz w:val="24"/>
          <w:szCs w:val="24"/>
        </w:rPr>
        <w:t xml:space="preserve">an </w:t>
      </w:r>
      <w:proofErr w:type="spellStart"/>
      <w:r w:rsidR="00C247E9">
        <w:rPr>
          <w:sz w:val="24"/>
          <w:szCs w:val="24"/>
        </w:rPr>
        <w:t>echinocandin</w:t>
      </w:r>
      <w:proofErr w:type="spellEnd"/>
      <w:r w:rsidR="00C247E9">
        <w:rPr>
          <w:sz w:val="24"/>
          <w:szCs w:val="24"/>
        </w:rPr>
        <w:t xml:space="preserve"> has</w:t>
      </w:r>
      <w:r w:rsidR="008061BD" w:rsidRPr="00140622">
        <w:rPr>
          <w:sz w:val="24"/>
          <w:szCs w:val="24"/>
        </w:rPr>
        <w:t xml:space="preserve"> not been studied </w:t>
      </w:r>
      <w:r w:rsidR="00785CFF" w:rsidRPr="00140622">
        <w:rPr>
          <w:sz w:val="24"/>
          <w:szCs w:val="24"/>
        </w:rPr>
        <w:t xml:space="preserve">for prophylaxis </w:t>
      </w:r>
      <w:r w:rsidR="00C247E9">
        <w:rPr>
          <w:sz w:val="24"/>
          <w:szCs w:val="24"/>
        </w:rPr>
        <w:t>in the</w:t>
      </w:r>
      <w:r w:rsidR="008061BD" w:rsidRPr="00140622">
        <w:rPr>
          <w:sz w:val="24"/>
          <w:szCs w:val="24"/>
        </w:rPr>
        <w:t xml:space="preserve"> ICU setting</w:t>
      </w:r>
      <w:r w:rsidRPr="00140622">
        <w:rPr>
          <w:sz w:val="24"/>
          <w:szCs w:val="24"/>
        </w:rPr>
        <w:t>.  Many clinical risk factors for IC have been identified</w:t>
      </w:r>
      <w:r w:rsidR="00785CFF" w:rsidRPr="00140622">
        <w:rPr>
          <w:sz w:val="24"/>
          <w:szCs w:val="24"/>
        </w:rPr>
        <w:t xml:space="preserve"> (</w:t>
      </w:r>
      <w:r w:rsidR="00A941FC" w:rsidRPr="00140622">
        <w:rPr>
          <w:b/>
          <w:sz w:val="24"/>
          <w:szCs w:val="24"/>
        </w:rPr>
        <w:t>T</w:t>
      </w:r>
      <w:r w:rsidR="005C1AE6" w:rsidRPr="00140622">
        <w:rPr>
          <w:b/>
          <w:sz w:val="24"/>
          <w:szCs w:val="24"/>
        </w:rPr>
        <w:t>able 1</w:t>
      </w:r>
      <w:r w:rsidR="00785CFF" w:rsidRPr="00140622">
        <w:rPr>
          <w:sz w:val="24"/>
          <w:szCs w:val="24"/>
        </w:rPr>
        <w:t>)</w:t>
      </w:r>
      <w:r w:rsidRPr="00140622">
        <w:rPr>
          <w:sz w:val="24"/>
          <w:szCs w:val="24"/>
        </w:rPr>
        <w:t>, b</w:t>
      </w:r>
      <w:r w:rsidR="00B6609C" w:rsidRPr="00140622">
        <w:rPr>
          <w:sz w:val="24"/>
          <w:szCs w:val="24"/>
        </w:rPr>
        <w:t xml:space="preserve">ut their predictive value is </w:t>
      </w:r>
      <w:r w:rsidR="00DA79A1" w:rsidRPr="00140622">
        <w:rPr>
          <w:sz w:val="24"/>
          <w:szCs w:val="24"/>
        </w:rPr>
        <w:t>uncertain</w:t>
      </w:r>
      <w:r w:rsidR="00706A77" w:rsidRPr="00140622">
        <w:rPr>
          <w:sz w:val="24"/>
          <w:szCs w:val="24"/>
        </w:rPr>
        <w:fldChar w:fldCharType="begin"/>
      </w:r>
      <w:r w:rsidR="0053409B">
        <w:rPr>
          <w:sz w:val="24"/>
          <w:szCs w:val="24"/>
        </w:rPr>
        <w:instrText xml:space="preserve"> ADDIN REFMGR.CITE &lt;Refman&gt;&lt;Cite&gt;&lt;Author&gt;Lipsett&lt;/Author&gt;&lt;Year&gt;2004&lt;/Year&gt;&lt;RecNum&gt;17&lt;/RecNum&gt;&lt;IDText&gt;Clinical trials of antifungal prophylaxis among patients in surgical intensive care units: concepts and considerations&lt;/IDText&gt;&lt;MDL Ref_Type="Journal"&gt;&lt;Ref_Type&gt;Journal&lt;/Ref_Type&gt;&lt;Ref_ID&gt;17&lt;/Ref_ID&gt;&lt;Title_Primary&gt;Clinical trials of antifungal prophylaxis among patients in surgical intensive care units: concepts and considerations&lt;/Title_Primary&gt;&lt;Authors_Primary&gt;Lipsett,P.A.&lt;/Authors_Primary&gt;&lt;Date_Primary&gt;2004/10/15&lt;/Date_Primary&gt;&lt;Keywords&gt;Antifungal Agents&lt;/Keywords&gt;&lt;Keywords&gt;Clinical Trials&lt;/Keywords&gt;&lt;Keywords&gt;economics&lt;/Keywords&gt;&lt;Keywords&gt;epidemiology&lt;/Keywords&gt;&lt;Keywords&gt;Fluconazole&lt;/Keywords&gt;&lt;Keywords&gt;Humans&lt;/Keywords&gt;&lt;Keywords&gt;Incidence&lt;/Keywords&gt;&lt;Keywords&gt;Intensive Care&lt;/Keywords&gt;&lt;Keywords&gt;Intensive Care Units&lt;/Keywords&gt;&lt;Keywords&gt;Outcome Assessment (Health Care)&lt;/Keywords&gt;&lt;Keywords&gt;Postoperative Complications&lt;/Keywords&gt;&lt;Keywords&gt;prevention &amp;amp; control&lt;/Keywords&gt;&lt;Keywords&gt;Preventive Medicine&lt;/Keywords&gt;&lt;Keywords&gt;Research Design&lt;/Keywords&gt;&lt;Keywords&gt;Surgery&lt;/Keywords&gt;&lt;Keywords&gt;therapeutic use&lt;/Keywords&gt;&lt;Reprint&gt;Not in File&lt;/Reprint&gt;&lt;Start_Page&gt;S193&lt;/Start_Page&gt;&lt;End_Page&gt;S199&lt;/End_Page&gt;&lt;Periodical&gt;Clin Infect Dis&lt;/Periodical&gt;&lt;Volume&gt;39 Suppl 4&lt;/Volume&gt;&lt;Address&gt;Department of Surgery, Johns Hopkins University School of Medicine, Baltimore, MD 21287-4685, USA&lt;/Address&gt;&lt;Web_URL&gt;PM:15546117&lt;/Web_URL&gt;&lt;ZZ_JournalFull&gt;&lt;f name="System"&gt;Clinical Infectious Diseases&lt;/f&gt;&lt;/ZZ_JournalFull&gt;&lt;ZZ_JournalStdAbbrev&gt;&lt;f name="System"&gt;Clin Infect Dis&lt;/f&gt;&lt;/ZZ_JournalStdAbbrev&gt;&lt;ZZ_WorkformID&gt;1&lt;/ZZ_WorkformID&gt;&lt;/MDL&gt;&lt;/Cite&gt;&lt;/Refman&gt;</w:instrText>
      </w:r>
      <w:r w:rsidR="00706A77" w:rsidRPr="00140622">
        <w:rPr>
          <w:sz w:val="24"/>
          <w:szCs w:val="24"/>
        </w:rPr>
        <w:fldChar w:fldCharType="separate"/>
      </w:r>
      <w:r w:rsidR="00080721">
        <w:rPr>
          <w:sz w:val="24"/>
          <w:szCs w:val="24"/>
        </w:rPr>
        <w:t>(7)</w:t>
      </w:r>
      <w:r w:rsidR="00706A77" w:rsidRPr="00140622">
        <w:rPr>
          <w:sz w:val="24"/>
          <w:szCs w:val="24"/>
        </w:rPr>
        <w:fldChar w:fldCharType="end"/>
      </w:r>
      <w:r w:rsidR="007D6DCA" w:rsidRPr="00140622">
        <w:rPr>
          <w:sz w:val="24"/>
          <w:szCs w:val="24"/>
        </w:rPr>
        <w:t>.  R</w:t>
      </w:r>
      <w:r w:rsidR="00DA79A1" w:rsidRPr="00140622">
        <w:rPr>
          <w:sz w:val="24"/>
          <w:szCs w:val="24"/>
        </w:rPr>
        <w:t>isk-f</w:t>
      </w:r>
      <w:r w:rsidR="00B6609C" w:rsidRPr="00140622">
        <w:rPr>
          <w:sz w:val="24"/>
          <w:szCs w:val="24"/>
        </w:rPr>
        <w:t>actor based prediction rules for</w:t>
      </w:r>
      <w:r w:rsidR="00DA79A1" w:rsidRPr="00140622">
        <w:rPr>
          <w:sz w:val="24"/>
          <w:szCs w:val="24"/>
        </w:rPr>
        <w:t xml:space="preserve"> the identification of individual pa</w:t>
      </w:r>
      <w:r w:rsidR="00B6609C" w:rsidRPr="00140622">
        <w:rPr>
          <w:sz w:val="24"/>
          <w:szCs w:val="24"/>
        </w:rPr>
        <w:t xml:space="preserve">tients at highest-risk for IC are </w:t>
      </w:r>
      <w:r w:rsidR="007D6DCA" w:rsidRPr="00140622">
        <w:rPr>
          <w:sz w:val="24"/>
          <w:szCs w:val="24"/>
        </w:rPr>
        <w:t xml:space="preserve">typically </w:t>
      </w:r>
      <w:r w:rsidR="00B6609C" w:rsidRPr="00140622">
        <w:rPr>
          <w:sz w:val="24"/>
          <w:szCs w:val="24"/>
        </w:rPr>
        <w:t>complicated</w:t>
      </w:r>
      <w:r w:rsidR="00785CFF" w:rsidRPr="00140622">
        <w:rPr>
          <w:sz w:val="24"/>
          <w:szCs w:val="24"/>
        </w:rPr>
        <w:t xml:space="preserve">, </w:t>
      </w:r>
      <w:r w:rsidR="00C247E9">
        <w:rPr>
          <w:sz w:val="24"/>
          <w:szCs w:val="24"/>
        </w:rPr>
        <w:t xml:space="preserve">too </w:t>
      </w:r>
      <w:r w:rsidR="00785CFF" w:rsidRPr="00140622">
        <w:rPr>
          <w:sz w:val="24"/>
          <w:szCs w:val="24"/>
        </w:rPr>
        <w:t>cumbersome</w:t>
      </w:r>
      <w:r w:rsidR="00C247E9">
        <w:rPr>
          <w:sz w:val="24"/>
          <w:szCs w:val="24"/>
        </w:rPr>
        <w:t xml:space="preserve"> and impractical to use in clinical practice</w:t>
      </w:r>
      <w:r w:rsidR="00785CFF" w:rsidRPr="00140622">
        <w:rPr>
          <w:sz w:val="24"/>
          <w:szCs w:val="24"/>
        </w:rPr>
        <w:t>,</w:t>
      </w:r>
      <w:r w:rsidR="00B6609C" w:rsidRPr="00140622">
        <w:rPr>
          <w:sz w:val="24"/>
          <w:szCs w:val="24"/>
        </w:rPr>
        <w:t xml:space="preserve"> </w:t>
      </w:r>
      <w:r w:rsidR="00DA79A1" w:rsidRPr="00140622">
        <w:rPr>
          <w:sz w:val="24"/>
          <w:szCs w:val="24"/>
        </w:rPr>
        <w:t xml:space="preserve">and may be too restrictive </w:t>
      </w:r>
      <w:r w:rsidR="00B6609C" w:rsidRPr="00140622">
        <w:rPr>
          <w:sz w:val="24"/>
          <w:szCs w:val="24"/>
        </w:rPr>
        <w:t xml:space="preserve">to use </w:t>
      </w:r>
      <w:r w:rsidR="00DA79A1" w:rsidRPr="00140622">
        <w:rPr>
          <w:sz w:val="24"/>
          <w:szCs w:val="24"/>
        </w:rPr>
        <w:t xml:space="preserve">as enrollment criteria for clinical trials of antifungal prophylaxis.  </w:t>
      </w:r>
      <w:r w:rsidR="007D6DCA" w:rsidRPr="00140622">
        <w:rPr>
          <w:sz w:val="24"/>
          <w:szCs w:val="24"/>
        </w:rPr>
        <w:t>In fact, p</w:t>
      </w:r>
      <w:r w:rsidR="00B6609C" w:rsidRPr="00140622">
        <w:rPr>
          <w:sz w:val="24"/>
          <w:szCs w:val="24"/>
        </w:rPr>
        <w:t xml:space="preserve">revious </w:t>
      </w:r>
      <w:r w:rsidR="00C247E9">
        <w:rPr>
          <w:sz w:val="24"/>
          <w:szCs w:val="24"/>
        </w:rPr>
        <w:t xml:space="preserve">ICU </w:t>
      </w:r>
      <w:r w:rsidR="00B6609C" w:rsidRPr="00140622">
        <w:rPr>
          <w:sz w:val="24"/>
          <w:szCs w:val="24"/>
        </w:rPr>
        <w:t>prophylaxis studies</w:t>
      </w:r>
      <w:r w:rsidRPr="00140622">
        <w:rPr>
          <w:sz w:val="24"/>
          <w:szCs w:val="24"/>
        </w:rPr>
        <w:t xml:space="preserve"> that </w:t>
      </w:r>
      <w:r w:rsidR="00B6609C" w:rsidRPr="00140622">
        <w:rPr>
          <w:sz w:val="24"/>
          <w:szCs w:val="24"/>
        </w:rPr>
        <w:t>based inclusion</w:t>
      </w:r>
      <w:r w:rsidRPr="00140622">
        <w:rPr>
          <w:sz w:val="24"/>
          <w:szCs w:val="24"/>
        </w:rPr>
        <w:t xml:space="preserve"> on the presence of multiple clinical risk-factors closed prematurely due to difficulties identifying eli</w:t>
      </w:r>
      <w:r w:rsidR="00B6609C" w:rsidRPr="00140622">
        <w:rPr>
          <w:sz w:val="24"/>
          <w:szCs w:val="24"/>
        </w:rPr>
        <w:t xml:space="preserve">gible patients in addition to the overall reluctance </w:t>
      </w:r>
      <w:r w:rsidRPr="00140622">
        <w:rPr>
          <w:sz w:val="24"/>
          <w:szCs w:val="24"/>
        </w:rPr>
        <w:t xml:space="preserve">of clinicians to enroll high-risk patients in to a study with a placebo control arm.  </w:t>
      </w:r>
    </w:p>
    <w:p w:rsidR="00DA79A1" w:rsidRPr="00140622" w:rsidRDefault="00DA79A1" w:rsidP="00FC1BDA">
      <w:pPr>
        <w:spacing w:line="480" w:lineRule="auto"/>
        <w:jc w:val="both"/>
        <w:rPr>
          <w:sz w:val="24"/>
          <w:szCs w:val="24"/>
        </w:rPr>
      </w:pPr>
    </w:p>
    <w:p w:rsidR="00DA79A1" w:rsidRPr="00140622" w:rsidRDefault="00DA79A1" w:rsidP="00FC1BDA">
      <w:pPr>
        <w:spacing w:line="480" w:lineRule="auto"/>
        <w:jc w:val="both"/>
        <w:rPr>
          <w:b/>
          <w:sz w:val="24"/>
          <w:szCs w:val="24"/>
        </w:rPr>
      </w:pPr>
      <w:r w:rsidRPr="00140622">
        <w:rPr>
          <w:b/>
          <w:sz w:val="24"/>
          <w:szCs w:val="24"/>
        </w:rPr>
        <w:t>Preemptive Antifungal Therapy Based on Fungal Biomarkers</w:t>
      </w:r>
    </w:p>
    <w:p w:rsidR="00287962" w:rsidRPr="00140622" w:rsidRDefault="003478CE" w:rsidP="00FC1BDA">
      <w:pPr>
        <w:spacing w:line="480" w:lineRule="auto"/>
        <w:ind w:firstLine="720"/>
        <w:jc w:val="both"/>
        <w:rPr>
          <w:sz w:val="24"/>
          <w:szCs w:val="24"/>
        </w:rPr>
      </w:pPr>
      <w:r w:rsidRPr="00140622">
        <w:rPr>
          <w:sz w:val="24"/>
          <w:szCs w:val="24"/>
        </w:rPr>
        <w:t>β-D-</w:t>
      </w:r>
      <w:proofErr w:type="spellStart"/>
      <w:r w:rsidRPr="00140622">
        <w:rPr>
          <w:sz w:val="24"/>
          <w:szCs w:val="24"/>
        </w:rPr>
        <w:t>glucan</w:t>
      </w:r>
      <w:proofErr w:type="spellEnd"/>
      <w:r w:rsidRPr="00140622">
        <w:rPr>
          <w:sz w:val="24"/>
          <w:szCs w:val="24"/>
        </w:rPr>
        <w:t xml:space="preserve"> (BDG) is a cell wall constituent found in many pathogenic fungi including </w:t>
      </w:r>
      <w:proofErr w:type="spellStart"/>
      <w:r w:rsidRPr="00140622">
        <w:rPr>
          <w:i/>
          <w:sz w:val="24"/>
          <w:szCs w:val="24"/>
        </w:rPr>
        <w:t>Aspergillus</w:t>
      </w:r>
      <w:proofErr w:type="spellEnd"/>
      <w:r w:rsidRPr="00140622">
        <w:rPr>
          <w:i/>
          <w:sz w:val="24"/>
          <w:szCs w:val="24"/>
        </w:rPr>
        <w:t xml:space="preserve"> </w:t>
      </w:r>
      <w:r w:rsidRPr="00140622">
        <w:rPr>
          <w:sz w:val="24"/>
          <w:szCs w:val="24"/>
        </w:rPr>
        <w:t>and</w:t>
      </w:r>
      <w:r w:rsidRPr="00140622">
        <w:rPr>
          <w:i/>
          <w:sz w:val="24"/>
          <w:szCs w:val="24"/>
        </w:rPr>
        <w:t xml:space="preserve"> Candida</w:t>
      </w:r>
      <w:r w:rsidRPr="00140622">
        <w:rPr>
          <w:sz w:val="24"/>
          <w:szCs w:val="24"/>
        </w:rPr>
        <w:t xml:space="preserve"> as well as </w:t>
      </w:r>
      <w:proofErr w:type="spellStart"/>
      <w:r w:rsidRPr="00140622">
        <w:rPr>
          <w:i/>
          <w:sz w:val="24"/>
          <w:szCs w:val="24"/>
        </w:rPr>
        <w:t>Fusarium</w:t>
      </w:r>
      <w:proofErr w:type="spellEnd"/>
      <w:r w:rsidRPr="00140622">
        <w:rPr>
          <w:sz w:val="24"/>
          <w:szCs w:val="24"/>
        </w:rPr>
        <w:t xml:space="preserve">, </w:t>
      </w:r>
      <w:proofErr w:type="spellStart"/>
      <w:r w:rsidRPr="00140622">
        <w:rPr>
          <w:i/>
          <w:sz w:val="24"/>
          <w:szCs w:val="24"/>
        </w:rPr>
        <w:t>Trichosporon</w:t>
      </w:r>
      <w:proofErr w:type="spellEnd"/>
      <w:r w:rsidRPr="00140622">
        <w:rPr>
          <w:sz w:val="24"/>
          <w:szCs w:val="24"/>
        </w:rPr>
        <w:t xml:space="preserve">, </w:t>
      </w:r>
      <w:r w:rsidRPr="00140622">
        <w:rPr>
          <w:i/>
          <w:sz w:val="24"/>
          <w:szCs w:val="24"/>
        </w:rPr>
        <w:t>Saccharomyces,</w:t>
      </w:r>
      <w:r w:rsidRPr="00140622">
        <w:rPr>
          <w:sz w:val="24"/>
          <w:szCs w:val="24"/>
        </w:rPr>
        <w:t xml:space="preserve"> and </w:t>
      </w:r>
      <w:proofErr w:type="spellStart"/>
      <w:r w:rsidRPr="00140622">
        <w:rPr>
          <w:i/>
          <w:sz w:val="24"/>
          <w:szCs w:val="24"/>
        </w:rPr>
        <w:t>Acremonium</w:t>
      </w:r>
      <w:proofErr w:type="spellEnd"/>
      <w:r w:rsidR="00A464A7" w:rsidRPr="00140622">
        <w:rPr>
          <w:sz w:val="24"/>
          <w:szCs w:val="24"/>
        </w:rPr>
        <w:t>.</w:t>
      </w:r>
      <w:r w:rsidRPr="00140622">
        <w:rPr>
          <w:sz w:val="24"/>
          <w:szCs w:val="24"/>
          <w:vertAlign w:val="superscript"/>
        </w:rPr>
        <w:t xml:space="preserve"> </w:t>
      </w:r>
      <w:r w:rsidRPr="00140622">
        <w:rPr>
          <w:sz w:val="24"/>
          <w:szCs w:val="24"/>
        </w:rPr>
        <w:t xml:space="preserve">  </w:t>
      </w:r>
      <w:r w:rsidR="00A464A7" w:rsidRPr="00140622">
        <w:rPr>
          <w:sz w:val="24"/>
          <w:szCs w:val="24"/>
        </w:rPr>
        <w:t xml:space="preserve">Assays </w:t>
      </w:r>
      <w:r w:rsidR="00B475D3" w:rsidRPr="00140622">
        <w:rPr>
          <w:sz w:val="24"/>
          <w:szCs w:val="24"/>
        </w:rPr>
        <w:t xml:space="preserve">that are </w:t>
      </w:r>
      <w:r w:rsidR="00A464A7" w:rsidRPr="00140622">
        <w:rPr>
          <w:sz w:val="24"/>
          <w:szCs w:val="24"/>
        </w:rPr>
        <w:t xml:space="preserve">capable of </w:t>
      </w:r>
      <w:r w:rsidR="00726966" w:rsidRPr="00140622">
        <w:rPr>
          <w:sz w:val="24"/>
          <w:szCs w:val="24"/>
        </w:rPr>
        <w:t>detect</w:t>
      </w:r>
      <w:r w:rsidR="00A464A7" w:rsidRPr="00140622">
        <w:rPr>
          <w:sz w:val="24"/>
          <w:szCs w:val="24"/>
        </w:rPr>
        <w:t>ing</w:t>
      </w:r>
      <w:r w:rsidR="00726966" w:rsidRPr="00140622">
        <w:rPr>
          <w:sz w:val="24"/>
          <w:szCs w:val="24"/>
        </w:rPr>
        <w:t xml:space="preserve"> </w:t>
      </w:r>
      <w:r w:rsidR="00545387" w:rsidRPr="00140622">
        <w:rPr>
          <w:sz w:val="24"/>
          <w:szCs w:val="24"/>
        </w:rPr>
        <w:t xml:space="preserve">BDG </w:t>
      </w:r>
      <w:r w:rsidRPr="00140622">
        <w:rPr>
          <w:sz w:val="24"/>
          <w:szCs w:val="24"/>
        </w:rPr>
        <w:t xml:space="preserve">in </w:t>
      </w:r>
      <w:r w:rsidR="00A464A7" w:rsidRPr="00140622">
        <w:rPr>
          <w:sz w:val="24"/>
          <w:szCs w:val="24"/>
        </w:rPr>
        <w:t xml:space="preserve">the serum of </w:t>
      </w:r>
      <w:r w:rsidR="00545387" w:rsidRPr="00140622">
        <w:rPr>
          <w:sz w:val="24"/>
          <w:szCs w:val="24"/>
        </w:rPr>
        <w:t xml:space="preserve">patients with IFI due to these organisms </w:t>
      </w:r>
      <w:r w:rsidRPr="00140622">
        <w:rPr>
          <w:sz w:val="24"/>
          <w:szCs w:val="24"/>
        </w:rPr>
        <w:t xml:space="preserve">have been developed commercially.  The </w:t>
      </w:r>
      <w:r w:rsidR="00A464A7" w:rsidRPr="00140622">
        <w:rPr>
          <w:sz w:val="24"/>
          <w:szCs w:val="24"/>
        </w:rPr>
        <w:t>β-D-</w:t>
      </w:r>
      <w:proofErr w:type="spellStart"/>
      <w:r w:rsidR="00A464A7" w:rsidRPr="00140622">
        <w:rPr>
          <w:sz w:val="24"/>
          <w:szCs w:val="24"/>
        </w:rPr>
        <w:t>glucan</w:t>
      </w:r>
      <w:proofErr w:type="spellEnd"/>
      <w:r w:rsidR="00A464A7" w:rsidRPr="00140622">
        <w:rPr>
          <w:sz w:val="24"/>
          <w:szCs w:val="24"/>
        </w:rPr>
        <w:t xml:space="preserve"> </w:t>
      </w:r>
      <w:r w:rsidRPr="00140622">
        <w:rPr>
          <w:sz w:val="24"/>
          <w:szCs w:val="24"/>
        </w:rPr>
        <w:t>test (</w:t>
      </w:r>
      <w:proofErr w:type="spellStart"/>
      <w:r w:rsidRPr="00140622">
        <w:rPr>
          <w:sz w:val="24"/>
          <w:szCs w:val="24"/>
        </w:rPr>
        <w:t>Fungitell</w:t>
      </w:r>
      <w:proofErr w:type="spellEnd"/>
      <w:r w:rsidRPr="00140622">
        <w:rPr>
          <w:sz w:val="24"/>
          <w:szCs w:val="24"/>
          <w:vertAlign w:val="superscript"/>
        </w:rPr>
        <w:t>™</w:t>
      </w:r>
      <w:r w:rsidRPr="00140622">
        <w:rPr>
          <w:sz w:val="24"/>
          <w:szCs w:val="24"/>
        </w:rPr>
        <w:t xml:space="preserve">; Associates of Cape Cod, </w:t>
      </w:r>
      <w:smartTag w:uri="urn:schemas-microsoft-com:office:smarttags" w:element="place">
        <w:smartTag w:uri="urn:schemas-microsoft-com:office:smarttags" w:element="City">
          <w:r w:rsidRPr="00140622">
            <w:rPr>
              <w:sz w:val="24"/>
              <w:szCs w:val="24"/>
            </w:rPr>
            <w:t>Falmouth</w:t>
          </w:r>
        </w:smartTag>
        <w:r w:rsidRPr="00140622">
          <w:rPr>
            <w:sz w:val="24"/>
            <w:szCs w:val="24"/>
          </w:rPr>
          <w:t xml:space="preserve">, </w:t>
        </w:r>
        <w:smartTag w:uri="urn:schemas-microsoft-com:office:smarttags" w:element="State">
          <w:r w:rsidRPr="00140622">
            <w:rPr>
              <w:sz w:val="24"/>
              <w:szCs w:val="24"/>
            </w:rPr>
            <w:t>M</w:t>
          </w:r>
          <w:r w:rsidR="00545387" w:rsidRPr="00140622">
            <w:rPr>
              <w:sz w:val="24"/>
              <w:szCs w:val="24"/>
            </w:rPr>
            <w:t>A</w:t>
          </w:r>
        </w:smartTag>
      </w:smartTag>
      <w:r w:rsidRPr="00140622">
        <w:rPr>
          <w:sz w:val="24"/>
          <w:szCs w:val="24"/>
        </w:rPr>
        <w:t xml:space="preserve">) </w:t>
      </w:r>
      <w:r w:rsidR="00545387" w:rsidRPr="00140622">
        <w:rPr>
          <w:sz w:val="24"/>
          <w:szCs w:val="24"/>
        </w:rPr>
        <w:t xml:space="preserve">is </w:t>
      </w:r>
      <w:r w:rsidRPr="00140622">
        <w:rPr>
          <w:sz w:val="24"/>
          <w:szCs w:val="24"/>
        </w:rPr>
        <w:t xml:space="preserve">FDA </w:t>
      </w:r>
      <w:r w:rsidR="00B475D3" w:rsidRPr="00140622">
        <w:rPr>
          <w:sz w:val="24"/>
          <w:szCs w:val="24"/>
        </w:rPr>
        <w:t>approved as an adjunct to</w:t>
      </w:r>
      <w:r w:rsidRPr="00140622">
        <w:rPr>
          <w:sz w:val="24"/>
          <w:szCs w:val="24"/>
        </w:rPr>
        <w:t xml:space="preserve"> the diagnosis of d</w:t>
      </w:r>
      <w:r w:rsidR="007D6DCA" w:rsidRPr="00140622">
        <w:rPr>
          <w:sz w:val="24"/>
          <w:szCs w:val="24"/>
        </w:rPr>
        <w:t xml:space="preserve">eep-seated mycoses and </w:t>
      </w:r>
      <w:proofErr w:type="spellStart"/>
      <w:r w:rsidR="007D6DCA" w:rsidRPr="00140622">
        <w:rPr>
          <w:sz w:val="24"/>
          <w:szCs w:val="24"/>
        </w:rPr>
        <w:lastRenderedPageBreak/>
        <w:t>fungemia</w:t>
      </w:r>
      <w:proofErr w:type="spellEnd"/>
      <w:r w:rsidR="007D6DCA" w:rsidRPr="00140622">
        <w:rPr>
          <w:sz w:val="24"/>
          <w:szCs w:val="24"/>
        </w:rPr>
        <w:t>.</w:t>
      </w:r>
      <w:r w:rsidRPr="00140622">
        <w:rPr>
          <w:sz w:val="24"/>
          <w:szCs w:val="24"/>
        </w:rPr>
        <w:t xml:space="preserve">  BDG analysis performed on serial serum samples obtained from 283 patients with acute myeloid leukemia or </w:t>
      </w:r>
      <w:proofErr w:type="spellStart"/>
      <w:r w:rsidRPr="00140622">
        <w:rPr>
          <w:sz w:val="24"/>
          <w:szCs w:val="24"/>
        </w:rPr>
        <w:t>myelodysplastic</w:t>
      </w:r>
      <w:proofErr w:type="spellEnd"/>
      <w:r w:rsidRPr="00140622">
        <w:rPr>
          <w:sz w:val="24"/>
          <w:szCs w:val="24"/>
        </w:rPr>
        <w:t xml:space="preserve"> syndrome </w:t>
      </w:r>
      <w:r w:rsidR="00E521A4" w:rsidRPr="00140622">
        <w:rPr>
          <w:sz w:val="24"/>
          <w:szCs w:val="24"/>
        </w:rPr>
        <w:t xml:space="preserve">who were </w:t>
      </w:r>
      <w:r w:rsidRPr="00140622">
        <w:rPr>
          <w:sz w:val="24"/>
          <w:szCs w:val="24"/>
        </w:rPr>
        <w:t xml:space="preserve">receiving antifungal prophylaxis revealed that </w:t>
      </w:r>
      <w:r w:rsidR="00545387" w:rsidRPr="00140622">
        <w:rPr>
          <w:sz w:val="24"/>
          <w:szCs w:val="24"/>
        </w:rPr>
        <w:t xml:space="preserve">the </w:t>
      </w:r>
      <w:r w:rsidRPr="00140622">
        <w:rPr>
          <w:sz w:val="24"/>
          <w:szCs w:val="24"/>
        </w:rPr>
        <w:t>test became positive a median of 10 days before the clinical diagnosis of IFI in 100% of patients</w:t>
      </w:r>
      <w:r w:rsidR="00706A77" w:rsidRPr="00140622">
        <w:rPr>
          <w:sz w:val="24"/>
          <w:szCs w:val="24"/>
        </w:rPr>
        <w:fldChar w:fldCharType="begin"/>
      </w:r>
      <w:r w:rsidR="0053409B">
        <w:rPr>
          <w:sz w:val="24"/>
          <w:szCs w:val="24"/>
        </w:rPr>
        <w:instrText xml:space="preserve"> ADDIN REFMGR.CITE &lt;Refman&gt;&lt;Cite&gt;&lt;Author&gt;Odabasi&lt;/Author&gt;&lt;Year&gt;2004&lt;/Year&gt;&lt;RecNum&gt;32&lt;/RecNum&gt;&lt;IDText&gt;Beta-D-glucan as a diagnostic adjunct for invasive fungal infections: validation, cutoff development, and performance in patients with acute myelogenous leukemia and myelodysplastic syndrome&lt;/IDText&gt;&lt;MDL Ref_Type="Journal"&gt;&lt;Ref_Type&gt;Journal&lt;/Ref_Type&gt;&lt;Ref_ID&gt;32&lt;/Ref_ID&gt;&lt;Title_Primary&gt;Beta-D-glucan as a diagnostic adjunct for invasive fungal infections: validation, cutoff development, and performance in patients with acute myelogenous leukemia and myelodysplastic syndrome&lt;/Title_Primary&gt;&lt;Authors_Primary&gt;Odabasi,Z.&lt;/Authors_Primary&gt;&lt;Authors_Primary&gt;Mattiuzzi,G.&lt;/Authors_Primary&gt;&lt;Authors_Primary&gt;Estey,E.&lt;/Authors_Primary&gt;&lt;Authors_Primary&gt;Kantarjian,H.&lt;/Authors_Primary&gt;&lt;Authors_Primary&gt;Saeki,F.&lt;/Authors_Primary&gt;&lt;Authors_Primary&gt;Ridge,R.J.&lt;/Authors_Primary&gt;&lt;Authors_Primary&gt;Ketchum,P.A.&lt;/Authors_Primary&gt;&lt;Authors_Primary&gt;Finkelman,M.A.&lt;/Authors_Primary&gt;&lt;Authors_Primary&gt;Rex,J.H.&lt;/Authors_Primary&gt;&lt;Authors_Primary&gt;Ostrosky-Zeichner,L.&lt;/Authors_Primary&gt;&lt;Date_Primary&gt;2004/7/15&lt;/Date_Primary&gt;&lt;Keywords&gt;Adult&lt;/Keywords&gt;&lt;Keywords&gt;beta-Glucans&lt;/Keywords&gt;&lt;Keywords&gt;blood&lt;/Keywords&gt;&lt;Keywords&gt;Candidiasis&lt;/Keywords&gt;&lt;Keywords&gt;Comparative Study&lt;/Keywords&gt;&lt;Keywords&gt;complications&lt;/Keywords&gt;&lt;Keywords&gt;diagnosis&lt;/Keywords&gt;&lt;Keywords&gt;Fungemia&lt;/Keywords&gt;&lt;Keywords&gt;Humans&lt;/Keywords&gt;&lt;Keywords&gt;Infection&lt;/Keywords&gt;&lt;Keywords&gt;Leukemia&lt;/Keywords&gt;&lt;Keywords&gt;Leukemia,Myelocytic,Acute&lt;/Keywords&gt;&lt;Keywords&gt;Limulus Test&lt;/Keywords&gt;&lt;Keywords&gt;Mycoses&lt;/Keywords&gt;&lt;Keywords&gt;Myelodysplastic Syndromes&lt;/Keywords&gt;&lt;Keywords&gt;Neutropenia&lt;/Keywords&gt;&lt;Keywords&gt;Polysaccharides&lt;/Keywords&gt;&lt;Keywords&gt;Predictive Value of Tests&lt;/Keywords&gt;&lt;Keywords&gt;Reagent Kits,Diagnostic&lt;/Keywords&gt;&lt;Keywords&gt;Research Support,Non-U.S.Gov&amp;apos;t&lt;/Keywords&gt;&lt;Keywords&gt;Sensitivity and Specificity&lt;/Keywords&gt;&lt;Reprint&gt;Not in File&lt;/Reprint&gt;&lt;Start_Page&gt;199&lt;/Start_Page&gt;&lt;End_Page&gt;205&lt;/End_Page&gt;&lt;Periodical&gt;Clin Infect Dis&lt;/Periodical&gt;&lt;Volume&gt;39&lt;/Volume&gt;&lt;Issue&gt;2&lt;/Issue&gt;&lt;Address&gt;Laboratory of Medical Mycology, University of Texas-Houston Medical School, Houston, TX, USA&lt;/Address&gt;&lt;Web_URL&gt;PM:15307029&lt;/Web_URL&gt;&lt;ZZ_JournalFull&gt;&lt;f name="System"&gt;Clinical Infectious Diseases&lt;/f&gt;&lt;/ZZ_JournalFull&gt;&lt;ZZ_JournalStdAbbrev&gt;&lt;f name="System"&gt;Clin Infect Dis&lt;/f&gt;&lt;/ZZ_JournalStdAbbrev&gt;&lt;ZZ_WorkformID&gt;1&lt;/ZZ_WorkformID&gt;&lt;/MDL&gt;&lt;/Cite&gt;&lt;/Refman&gt;</w:instrText>
      </w:r>
      <w:r w:rsidR="00706A77" w:rsidRPr="00140622">
        <w:rPr>
          <w:sz w:val="24"/>
          <w:szCs w:val="24"/>
        </w:rPr>
        <w:fldChar w:fldCharType="separate"/>
      </w:r>
      <w:r w:rsidR="00080721">
        <w:rPr>
          <w:sz w:val="24"/>
          <w:szCs w:val="24"/>
        </w:rPr>
        <w:t>(13)</w:t>
      </w:r>
      <w:r w:rsidR="00706A77" w:rsidRPr="00140622">
        <w:rPr>
          <w:sz w:val="24"/>
          <w:szCs w:val="24"/>
        </w:rPr>
        <w:fldChar w:fldCharType="end"/>
      </w:r>
      <w:r w:rsidR="00A464A7" w:rsidRPr="00140622">
        <w:rPr>
          <w:sz w:val="24"/>
          <w:szCs w:val="24"/>
        </w:rPr>
        <w:t xml:space="preserve">.  </w:t>
      </w:r>
      <w:r w:rsidRPr="00140622">
        <w:rPr>
          <w:sz w:val="24"/>
          <w:szCs w:val="24"/>
        </w:rPr>
        <w:t>Absence of a positive test result had a 100% neg</w:t>
      </w:r>
      <w:r w:rsidR="00545387" w:rsidRPr="00140622">
        <w:rPr>
          <w:sz w:val="24"/>
          <w:szCs w:val="24"/>
        </w:rPr>
        <w:t>ative predictive value and</w:t>
      </w:r>
      <w:r w:rsidRPr="00140622">
        <w:rPr>
          <w:sz w:val="24"/>
          <w:szCs w:val="24"/>
        </w:rPr>
        <w:t xml:space="preserve"> </w:t>
      </w:r>
      <w:r w:rsidR="00A464A7" w:rsidRPr="00140622">
        <w:rPr>
          <w:sz w:val="24"/>
          <w:szCs w:val="24"/>
        </w:rPr>
        <w:t xml:space="preserve">a single positive test result had </w:t>
      </w:r>
      <w:r w:rsidR="00E521A4" w:rsidRPr="00140622">
        <w:rPr>
          <w:sz w:val="24"/>
          <w:szCs w:val="24"/>
        </w:rPr>
        <w:t>a</w:t>
      </w:r>
      <w:r w:rsidRPr="00140622">
        <w:rPr>
          <w:sz w:val="24"/>
          <w:szCs w:val="24"/>
        </w:rPr>
        <w:t xml:space="preserve"> specificity of 90%</w:t>
      </w:r>
      <w:r w:rsidR="00A464A7" w:rsidRPr="00140622">
        <w:rPr>
          <w:sz w:val="24"/>
          <w:szCs w:val="24"/>
        </w:rPr>
        <w:t>.</w:t>
      </w:r>
    </w:p>
    <w:p w:rsidR="003478CE" w:rsidRPr="00140622" w:rsidRDefault="00287962" w:rsidP="00FC1BDA">
      <w:pPr>
        <w:spacing w:line="480" w:lineRule="auto"/>
        <w:ind w:firstLine="720"/>
        <w:jc w:val="both"/>
        <w:rPr>
          <w:sz w:val="24"/>
          <w:szCs w:val="24"/>
        </w:rPr>
      </w:pPr>
      <w:r w:rsidRPr="00140622">
        <w:rPr>
          <w:sz w:val="24"/>
          <w:szCs w:val="24"/>
        </w:rPr>
        <w:t>Primary p</w:t>
      </w:r>
      <w:r w:rsidR="003478CE" w:rsidRPr="00140622">
        <w:rPr>
          <w:sz w:val="24"/>
          <w:szCs w:val="24"/>
        </w:rPr>
        <w:t>revention s</w:t>
      </w:r>
      <w:r w:rsidR="00726966" w:rsidRPr="00140622">
        <w:rPr>
          <w:sz w:val="24"/>
          <w:szCs w:val="24"/>
        </w:rPr>
        <w:t xml:space="preserve">trategies </w:t>
      </w:r>
      <w:r w:rsidR="003478CE" w:rsidRPr="00140622">
        <w:rPr>
          <w:sz w:val="24"/>
          <w:szCs w:val="24"/>
        </w:rPr>
        <w:t>that incorporate</w:t>
      </w:r>
      <w:r w:rsidR="00726966" w:rsidRPr="00140622">
        <w:rPr>
          <w:sz w:val="24"/>
          <w:szCs w:val="24"/>
        </w:rPr>
        <w:t xml:space="preserve"> serial measurement of fungal biomarker</w:t>
      </w:r>
      <w:r w:rsidR="003478CE" w:rsidRPr="00140622">
        <w:rPr>
          <w:sz w:val="24"/>
          <w:szCs w:val="24"/>
        </w:rPr>
        <w:t xml:space="preserve">s with initiation of antifungal </w:t>
      </w:r>
      <w:r w:rsidR="00726966" w:rsidRPr="00140622">
        <w:rPr>
          <w:sz w:val="24"/>
          <w:szCs w:val="24"/>
        </w:rPr>
        <w:t>therapy in response to a positive test represent an exciti</w:t>
      </w:r>
      <w:r w:rsidR="003965C3">
        <w:rPr>
          <w:sz w:val="24"/>
          <w:szCs w:val="24"/>
        </w:rPr>
        <w:t>ng new approach to IC management</w:t>
      </w:r>
      <w:r w:rsidR="003478CE" w:rsidRPr="00140622">
        <w:rPr>
          <w:sz w:val="24"/>
          <w:szCs w:val="24"/>
        </w:rPr>
        <w:t xml:space="preserve">.  </w:t>
      </w:r>
      <w:r w:rsidR="003965C3" w:rsidRPr="00FE5549">
        <w:rPr>
          <w:sz w:val="24"/>
          <w:szCs w:val="24"/>
        </w:rPr>
        <w:t xml:space="preserve">Early initiation of appropriate antifungal therapy </w:t>
      </w:r>
      <w:r w:rsidR="003965C3">
        <w:rPr>
          <w:sz w:val="24"/>
          <w:szCs w:val="24"/>
        </w:rPr>
        <w:t xml:space="preserve">has been shown to </w:t>
      </w:r>
      <w:r w:rsidR="003965C3" w:rsidRPr="00FE5549">
        <w:rPr>
          <w:sz w:val="24"/>
          <w:szCs w:val="24"/>
        </w:rPr>
        <w:t xml:space="preserve">improve </w:t>
      </w:r>
      <w:r w:rsidR="003965C3">
        <w:rPr>
          <w:sz w:val="24"/>
          <w:szCs w:val="24"/>
        </w:rPr>
        <w:t xml:space="preserve">clinical </w:t>
      </w:r>
      <w:r w:rsidR="003965C3" w:rsidRPr="00FE5549">
        <w:rPr>
          <w:sz w:val="24"/>
          <w:szCs w:val="24"/>
        </w:rPr>
        <w:t xml:space="preserve">outcomes, </w:t>
      </w:r>
      <w:r w:rsidR="003965C3">
        <w:rPr>
          <w:sz w:val="24"/>
          <w:szCs w:val="24"/>
        </w:rPr>
        <w:t>but</w:t>
      </w:r>
      <w:r w:rsidR="003965C3" w:rsidRPr="00140622">
        <w:rPr>
          <w:sz w:val="24"/>
          <w:szCs w:val="24"/>
        </w:rPr>
        <w:t xml:space="preserve"> </w:t>
      </w:r>
      <w:r w:rsidR="003965C3">
        <w:rPr>
          <w:sz w:val="24"/>
          <w:szCs w:val="24"/>
        </w:rPr>
        <w:t>t</w:t>
      </w:r>
      <w:r w:rsidR="003478CE" w:rsidRPr="00140622">
        <w:rPr>
          <w:sz w:val="24"/>
          <w:szCs w:val="24"/>
        </w:rPr>
        <w:t xml:space="preserve">o date, the BDG </w:t>
      </w:r>
      <w:r w:rsidRPr="00140622">
        <w:rPr>
          <w:sz w:val="24"/>
          <w:szCs w:val="24"/>
        </w:rPr>
        <w:t>assay</w:t>
      </w:r>
      <w:r w:rsidR="003478CE" w:rsidRPr="00140622">
        <w:rPr>
          <w:sz w:val="24"/>
          <w:szCs w:val="24"/>
        </w:rPr>
        <w:t xml:space="preserve"> has </w:t>
      </w:r>
      <w:r w:rsidR="00A464A7" w:rsidRPr="00140622">
        <w:rPr>
          <w:sz w:val="24"/>
          <w:szCs w:val="24"/>
        </w:rPr>
        <w:t xml:space="preserve">only been validated for </w:t>
      </w:r>
      <w:r w:rsidR="003478CE" w:rsidRPr="00140622">
        <w:rPr>
          <w:sz w:val="24"/>
          <w:szCs w:val="24"/>
        </w:rPr>
        <w:t xml:space="preserve">patients with </w:t>
      </w:r>
      <w:r w:rsidR="00B640E3" w:rsidRPr="00140622">
        <w:rPr>
          <w:sz w:val="24"/>
          <w:szCs w:val="24"/>
        </w:rPr>
        <w:t>hematological</w:t>
      </w:r>
      <w:r w:rsidR="003478CE" w:rsidRPr="00140622">
        <w:rPr>
          <w:sz w:val="24"/>
          <w:szCs w:val="24"/>
        </w:rPr>
        <w:t xml:space="preserve"> malignancies and</w:t>
      </w:r>
      <w:r w:rsidR="00E521A4" w:rsidRPr="00140622">
        <w:rPr>
          <w:sz w:val="24"/>
          <w:szCs w:val="24"/>
        </w:rPr>
        <w:t>/or</w:t>
      </w:r>
      <w:r w:rsidR="003478CE" w:rsidRPr="00140622">
        <w:rPr>
          <w:sz w:val="24"/>
          <w:szCs w:val="24"/>
        </w:rPr>
        <w:t xml:space="preserve"> f</w:t>
      </w:r>
      <w:r w:rsidR="00C3209B" w:rsidRPr="00140622">
        <w:rPr>
          <w:sz w:val="24"/>
          <w:szCs w:val="24"/>
        </w:rPr>
        <w:t>ollowing transplantation.  The p</w:t>
      </w:r>
      <w:r w:rsidR="00A464A7" w:rsidRPr="00140622">
        <w:rPr>
          <w:sz w:val="24"/>
          <w:szCs w:val="24"/>
        </w:rPr>
        <w:t>erformance of the</w:t>
      </w:r>
      <w:r w:rsidR="003478CE" w:rsidRPr="00140622">
        <w:rPr>
          <w:sz w:val="24"/>
          <w:szCs w:val="24"/>
        </w:rPr>
        <w:t xml:space="preserve"> test in the ICU setting</w:t>
      </w:r>
      <w:r w:rsidR="00E521A4" w:rsidRPr="00140622">
        <w:rPr>
          <w:sz w:val="24"/>
          <w:szCs w:val="24"/>
        </w:rPr>
        <w:t xml:space="preserve"> </w:t>
      </w:r>
      <w:r w:rsidR="003478CE" w:rsidRPr="00140622">
        <w:rPr>
          <w:sz w:val="24"/>
          <w:szCs w:val="24"/>
        </w:rPr>
        <w:t xml:space="preserve">has not been established.  </w:t>
      </w:r>
      <w:r w:rsidR="00C3209B" w:rsidRPr="00140622">
        <w:rPr>
          <w:sz w:val="24"/>
          <w:szCs w:val="24"/>
        </w:rPr>
        <w:t>P</w:t>
      </w:r>
      <w:r w:rsidR="003478CE" w:rsidRPr="00140622">
        <w:rPr>
          <w:sz w:val="24"/>
          <w:szCs w:val="24"/>
        </w:rPr>
        <w:t>oor specimen handling, hemodialysis using certain cellulose membranes, exposure to gauze</w:t>
      </w:r>
      <w:r w:rsidR="0004533F" w:rsidRPr="00140622">
        <w:rPr>
          <w:sz w:val="24"/>
          <w:szCs w:val="24"/>
        </w:rPr>
        <w:t xml:space="preserve"> products</w:t>
      </w:r>
      <w:r w:rsidR="003478CE" w:rsidRPr="00140622">
        <w:rPr>
          <w:sz w:val="24"/>
          <w:szCs w:val="24"/>
        </w:rPr>
        <w:t xml:space="preserve">, </w:t>
      </w:r>
      <w:r w:rsidR="007D6DCA" w:rsidRPr="00140622">
        <w:rPr>
          <w:sz w:val="24"/>
          <w:szCs w:val="24"/>
        </w:rPr>
        <w:t>some</w:t>
      </w:r>
      <w:r w:rsidRPr="00140622">
        <w:rPr>
          <w:sz w:val="24"/>
          <w:szCs w:val="24"/>
        </w:rPr>
        <w:t xml:space="preserve"> antibiotics</w:t>
      </w:r>
      <w:r w:rsidR="003478CE" w:rsidRPr="00140622">
        <w:rPr>
          <w:sz w:val="24"/>
          <w:szCs w:val="24"/>
        </w:rPr>
        <w:t>, and recent receipt of albumin or immunoglobulin products may cause false positive test results</w:t>
      </w:r>
      <w:r w:rsidRPr="00140622">
        <w:rPr>
          <w:sz w:val="24"/>
          <w:szCs w:val="24"/>
        </w:rPr>
        <w:t xml:space="preserve"> in some patients</w:t>
      </w:r>
      <w:r w:rsidR="00706A77" w:rsidRPr="00140622">
        <w:rPr>
          <w:sz w:val="24"/>
          <w:szCs w:val="24"/>
        </w:rPr>
        <w:fldChar w:fldCharType="begin"/>
      </w:r>
      <w:r w:rsidR="0053409B">
        <w:rPr>
          <w:sz w:val="24"/>
          <w:szCs w:val="24"/>
        </w:rPr>
        <w:instrText xml:space="preserve"> ADDIN REFMGR.CITE &lt;Refman&gt;&lt;Cite&gt;&lt;Author&gt;Mennink-Kersten&lt;/Author&gt;&lt;Year&gt;2006&lt;/Year&gt;&lt;RecNum&gt;133&lt;/RecNum&gt;&lt;IDText&gt;1,3-{beta}-D-Glucan in Patients Receiving Intravenous Amoxicillin-Clavulanic Acid&lt;/IDText&gt;&lt;MDL Ref_Type="Journal"&gt;&lt;Ref_Type&gt;Journal&lt;/Ref_Type&gt;&lt;Ref_ID&gt;133&lt;/Ref_ID&gt;&lt;Title_Primary&gt;1,3-{beta}-D-Glucan in Patients Receiving Intravenous Amoxicillin-Clavulanic Acid&lt;/Title_Primary&gt;&lt;Authors_Primary&gt;Mennink-Kersten,Monique A.S.H.&lt;/Authors_Primary&gt;&lt;Authors_Primary&gt;Warris,Adilia&lt;/Authors_Primary&gt;&lt;Authors_Primary&gt;Verweij,Paul E.&lt;/Authors_Primary&gt;&lt;Date_Primary&gt;2006/6/29&lt;/Date_Primary&gt;&lt;Reprint&gt;Not in File&lt;/Reprint&gt;&lt;Start_Page&gt;2834&lt;/Start_Page&gt;&lt;End_Page&gt;2835&lt;/End_Page&gt;&lt;Periodical&gt;N Engl J Med&lt;/Periodical&gt;&lt;Volume&gt;354&lt;/Volume&gt;&lt;Issue&gt;26&lt;/Issue&gt;&lt;Web_URL&gt;http://content.nejm.org&lt;/Web_URL&gt;&lt;ZZ_JournalFull&gt;&lt;f name="System"&gt;The New England Journal of Medicine&lt;/f&gt;&lt;/ZZ_JournalFull&gt;&lt;ZZ_JournalStdAbbrev&gt;&lt;f name="System"&gt;N Engl J Med&lt;/f&gt;&lt;/ZZ_JournalStdAbbrev&gt;&lt;ZZ_WorkformID&gt;1&lt;/ZZ_WorkformID&gt;&lt;/MDL&gt;&lt;/Cite&gt;&lt;Cite&gt;&lt;Author&gt;Kanda&lt;/Author&gt;&lt;Year&gt;2001&lt;/Year&gt;&lt;RecNum&gt;135&lt;/RecNum&gt;&lt;IDText&gt;Influence of various hemodialysis membranes on the plasma (1[rarr]3)-[bgr]-D-glucan level&lt;/IDText&gt;&lt;MDL Ref_Type="Journal"&gt;&lt;Ref_Type&gt;Journal&lt;/Ref_Type&gt;&lt;Ref_ID&gt;135&lt;/Ref_ID&gt;&lt;Title_Primary&gt;Influence of various hemodialysis membranes on the plasma (1[rarr]3)-[bgr]-D-glucan level&lt;/Title_Primary&gt;&lt;Authors_Primary&gt;Kanda,Hiroko&lt;/Authors_Primary&gt;&lt;Authors_Primary&gt;Kubo,Kanae&lt;/Authors_Primary&gt;&lt;Authors_Primary&gt;Hamasaki,Ken&lt;/Authors_Primary&gt;&lt;Authors_Primary&gt;Kanda,Yoshinobu&lt;/Authors_Primary&gt;&lt;Authors_Primary&gt;Nakao,Akihide&lt;/Authors_Primary&gt;&lt;Authors_Primary&gt;Kitamura,Tadaichi&lt;/Authors_Primary&gt;&lt;Authors_Primary&gt;Fujita,Toshiro&lt;/Authors_Primary&gt;&lt;Authors_Primary&gt;Yamamoto,Kazuhiko&lt;/Authors_Primary&gt;&lt;Authors_Primary&gt;Mimura,Toshihide&lt;/Authors_Primary&gt;&lt;Date_Primary&gt;2001/7=print&lt;/Date_Primary&gt;&lt;Reprint&gt;Not in File&lt;/Reprint&gt;&lt;Start_Page&gt;319&lt;/Start_Page&gt;&lt;End_Page&gt;323&lt;/End_Page&gt;&lt;Periodical&gt;Kidney Int&lt;/Periodical&gt;&lt;Volume&gt;60&lt;/Volume&gt;&lt;Issue&gt;1&lt;/Issue&gt;&lt;ISSN_ISBN&gt;0085-2538&lt;/ISSN_ISBN&gt;&lt;Web_URL&gt;http://dx.doi.org/10.1046/j.1523-1755.2001.00802.x&lt;/Web_URL&gt;&lt;ZZ_JournalStdAbbrev&gt;&lt;f name="System"&gt;Kidney Int&lt;/f&gt;&lt;/ZZ_JournalStdAbbrev&gt;&lt;ZZ_WorkformID&gt;1&lt;/ZZ_WorkformID&gt;&lt;/MDL&gt;&lt;/Cite&gt;&lt;Cite&gt;&lt;Author&gt;Ogawa&lt;/Author&gt;&lt;Year&gt;2004&lt;/Year&gt;&lt;RecNum&gt;161&lt;/RecNum&gt;&lt;IDText&gt;False-positive plasma (1--&amp;gt;3)-beta-D-glucan test following immunoglobulin product replacement in an adult bone marrow recipient&lt;/IDText&gt;&lt;MDL Ref_Type="Journal"&gt;&lt;Ref_Type&gt;Journal&lt;/Ref_Type&gt;&lt;Ref_ID&gt;161&lt;/Ref_ID&gt;&lt;Title_Primary&gt;False-positive plasma (1--&amp;gt;3)-beta-D-glucan test following immunoglobulin product replacement in an adult bone marrow recipient&lt;/Title_Primary&gt;&lt;Authors_Primary&gt;Ogawa,M.&lt;/Authors_Primary&gt;&lt;Authors_Primary&gt;Hori,H.&lt;/Authors_Primary&gt;&lt;Authors_Primary&gt;Niiguchi,S.&lt;/Authors_Primary&gt;&lt;Authors_Primary&gt;Azuma,E.&lt;/Authors_Primary&gt;&lt;Authors_Primary&gt;Komada,Y.&lt;/Authors_Primary&gt;&lt;Date_Primary&gt;2004/7&lt;/Date_Primary&gt;&lt;Keywords&gt;administration &amp;amp; dosage&lt;/Keywords&gt;&lt;Keywords&gt;Adult&lt;/Keywords&gt;&lt;Keywords&gt;beta-Glucans&lt;/Keywords&gt;&lt;Keywords&gt;blood&lt;/Keywords&gt;&lt;Keywords&gt;Bone Marrow Transplantation&lt;/Keywords&gt;&lt;Keywords&gt;False Positive Reactions&lt;/Keywords&gt;&lt;Keywords&gt;Glucan&lt;/Keywords&gt;&lt;Keywords&gt;Glucans&lt;/Keywords&gt;&lt;Keywords&gt;Humans&lt;/Keywords&gt;&lt;Keywords&gt;Immunoglobulins&lt;/Keywords&gt;&lt;Keywords&gt;Male&lt;/Keywords&gt;&lt;Keywords&gt;Myelodysplastic Syndromes&lt;/Keywords&gt;&lt;Keywords&gt;therapy&lt;/Keywords&gt;&lt;Reprint&gt;Not in File&lt;/Reprint&gt;&lt;Start_Page&gt;97&lt;/Start_Page&gt;&lt;End_Page&gt;98&lt;/End_Page&gt;&lt;Periodical&gt;Int J Hematol.&lt;/Periodical&gt;&lt;Volume&gt;80&lt;/Volume&gt;&lt;Issue&gt;1&lt;/Issue&gt;&lt;Web_URL&gt;PM:15293578&lt;/Web_URL&gt;&lt;ZZ_JournalFull&gt;&lt;f name="System"&gt;Int J Hematol.&lt;/f&gt;&lt;/ZZ_JournalFull&gt;&lt;ZZ_WorkformID&gt;1&lt;/ZZ_WorkformID&gt;&lt;/MDL&gt;&lt;/Cite&gt;&lt;Cite&gt;&lt;Author&gt;Usami&lt;/Author&gt;&lt;Year&gt;2002&lt;/Year&gt;&lt;RecNum&gt;162&lt;/RecNum&gt;&lt;IDText&gt;Positive (1?3)-beta-d-glucan in blood components and release of (1?3)-beta-d-glucan from depth-type membrane filters for blood processing&lt;/IDText&gt;&lt;MDL Ref_Type="Journal"&gt;&lt;Ref_Type&gt;Journal&lt;/Ref_Type&gt;&lt;Ref_ID&gt;162&lt;/Ref_ID&gt;&lt;Title_Primary&gt;Positive (1?3)-beta-d-glucan in blood components and release of (1?3)-beta-d-glucan from depth-type membrane filters for blood processing&lt;/Title_Primary&gt;&lt;Authors_Primary&gt;Usami,Makoto&lt;/Authors_Primary&gt;&lt;Authors_Primary&gt;Ohata,Atsushi&lt;/Authors_Primary&gt;&lt;Authors_Primary&gt;Horiuchi,Takeshi&lt;/Authors_Primary&gt;&lt;Authors_Primary&gt;Nagasawa,Koichi&lt;/Authors_Primary&gt;&lt;Authors_Primary&gt;Wakabayashi,Toshio&lt;/Authors_Primary&gt;&lt;Authors_Primary&gt;Tanaka,Shigenori&lt;/Authors_Primary&gt;&lt;Date_Primary&gt;2002&lt;/Date_Primary&gt;&lt;Keywords&gt;blood&lt;/Keywords&gt;&lt;Keywords&gt;Blood Coagulation Factors&lt;/Keywords&gt;&lt;Keywords&gt;Cellulose&lt;/Keywords&gt;&lt;Keywords&gt;Filtration&lt;/Keywords&gt;&lt;Keywords&gt;Immunoglobulins&lt;/Keywords&gt;&lt;Keywords&gt;Infection&lt;/Keywords&gt;&lt;Keywords&gt;methods&lt;/Keywords&gt;&lt;Reprint&gt;Not in File&lt;/Reprint&gt;&lt;Start_Page&gt;1189&lt;/Start_Page&gt;&lt;End_Page&gt;1195&lt;/End_Page&gt;&lt;Periodical&gt;Transfusion&lt;/Periodical&gt;&lt;Volume&gt;42&lt;/Volume&gt;&lt;Issue&gt;9&lt;/Issue&gt;&lt;Misc_3&gt;doi:10.1046/j.1537-2995.2002.00162.x&lt;/Misc_3&gt;&lt;Web_URL&gt;http://www.blackwell-synergy.com/doi/abs/10.1046/j.1537-2995.2002.00162.x&lt;/Web_URL&gt;&lt;ZZ_JournalFull&gt;&lt;f name="System"&gt;Transfusion&lt;/f&gt;&lt;/ZZ_JournalFull&gt;&lt;ZZ_WorkformID&gt;1&lt;/ZZ_WorkformID&gt;&lt;/MDL&gt;&lt;/Cite&gt;&lt;Cite&gt;&lt;Author&gt;Marty&lt;/Author&gt;&lt;Year&gt;2006&lt;/Year&gt;&lt;RecNum&gt;164&lt;/RecNum&gt;&lt;IDText&gt;Reactivity of (1-&amp;gt;3)-{beta}-D-Glucan Assay with Commonly Used Intravenous Antimicrobials&lt;/IDText&gt;&lt;MDL Ref_Type="Journal"&gt;&lt;Ref_Type&gt;Journal&lt;/Ref_Type&gt;&lt;Ref_ID&gt;164&lt;/Ref_ID&gt;&lt;Title_Primary&gt;Reactivity of (1-&amp;gt;3)-{beta}-D-Glucan Assay with Commonly Used Intravenous Antimicrobials&lt;/Title_Primary&gt;&lt;Authors_Primary&gt;Marty,Francisco M.&lt;/Authors_Primary&gt;&lt;Authors_Primary&gt;Lowry,Colleen M.&lt;/Authors_Primary&gt;&lt;Authors_Primary&gt;Lempitski,Steven J.&lt;/Authors_Primary&gt;&lt;Authors_Primary&gt;Kubiak,David W.&lt;/Authors_Primary&gt;&lt;Authors_Primary&gt;Finkelman,Malcolm A.&lt;/Authors_Primary&gt;&lt;Authors_Primary&gt;Baden,Lindsey R.&lt;/Authors_Primary&gt;&lt;Date_Primary&gt;2006/10/1&lt;/Date_Primary&gt;&lt;Reprint&gt;Not in File&lt;/Reprint&gt;&lt;Start_Page&gt;3450&lt;/Start_Page&gt;&lt;End_Page&gt;3453&lt;/End_Page&gt;&lt;Periodical&gt;Antimicrob.Agents Chemother.&lt;/Periodical&gt;&lt;Volume&gt;50&lt;/Volume&gt;&lt;Issue&gt;10&lt;/Issue&gt;&lt;Web_URL&gt;http://aac.asm.org/cgi/content/abstract/50/10/3450&lt;/Web_URL&gt;&lt;ZZ_JournalFull&gt;&lt;f name="System"&gt;Antimicrobial Agents and Chemotherapy&lt;/f&gt;&lt;/ZZ_JournalFull&gt;&lt;ZZ_JournalStdAbbrev&gt;&lt;f name="System"&gt;Antimicrob.Agents Chemother.&lt;/f&gt;&lt;/ZZ_JournalStdAbbrev&gt;&lt;ZZ_WorkformID&gt;1&lt;/ZZ_WorkformID&gt;&lt;/MDL&gt;&lt;/Cite&gt;&lt;/Refman&gt;</w:instrText>
      </w:r>
      <w:r w:rsidR="00706A77" w:rsidRPr="00140622">
        <w:rPr>
          <w:sz w:val="24"/>
          <w:szCs w:val="24"/>
        </w:rPr>
        <w:fldChar w:fldCharType="separate"/>
      </w:r>
      <w:r w:rsidR="00080721">
        <w:rPr>
          <w:sz w:val="24"/>
          <w:szCs w:val="24"/>
        </w:rPr>
        <w:t>(14-18)</w:t>
      </w:r>
      <w:r w:rsidR="00706A77" w:rsidRPr="00140622">
        <w:rPr>
          <w:sz w:val="24"/>
          <w:szCs w:val="24"/>
        </w:rPr>
        <w:fldChar w:fldCharType="end"/>
      </w:r>
      <w:r w:rsidRPr="00140622">
        <w:rPr>
          <w:sz w:val="24"/>
          <w:szCs w:val="24"/>
        </w:rPr>
        <w:t xml:space="preserve">.  </w:t>
      </w:r>
      <w:r w:rsidR="003478CE" w:rsidRPr="00140622">
        <w:rPr>
          <w:sz w:val="24"/>
          <w:szCs w:val="24"/>
        </w:rPr>
        <w:t>Since many o</w:t>
      </w:r>
      <w:r w:rsidR="00A464A7" w:rsidRPr="00140622">
        <w:rPr>
          <w:sz w:val="24"/>
          <w:szCs w:val="24"/>
        </w:rPr>
        <w:t>f these potential sources of</w:t>
      </w:r>
      <w:r w:rsidR="00C247E9">
        <w:rPr>
          <w:sz w:val="24"/>
          <w:szCs w:val="24"/>
        </w:rPr>
        <w:t xml:space="preserve"> BDG</w:t>
      </w:r>
      <w:r w:rsidR="00A464A7" w:rsidRPr="00140622">
        <w:rPr>
          <w:sz w:val="24"/>
          <w:szCs w:val="24"/>
        </w:rPr>
        <w:t xml:space="preserve"> cross-reactivity </w:t>
      </w:r>
      <w:r w:rsidR="003478CE" w:rsidRPr="00140622">
        <w:rPr>
          <w:sz w:val="24"/>
          <w:szCs w:val="24"/>
        </w:rPr>
        <w:t>are present in the ICU population</w:t>
      </w:r>
      <w:r w:rsidR="003A0B8B" w:rsidRPr="00140622">
        <w:rPr>
          <w:sz w:val="24"/>
          <w:szCs w:val="24"/>
        </w:rPr>
        <w:t xml:space="preserve"> (</w:t>
      </w:r>
      <w:r w:rsidR="00A941FC" w:rsidRPr="00140622">
        <w:rPr>
          <w:b/>
          <w:sz w:val="24"/>
          <w:szCs w:val="24"/>
        </w:rPr>
        <w:t>T</w:t>
      </w:r>
      <w:r w:rsidR="003A0B8B" w:rsidRPr="00140622">
        <w:rPr>
          <w:b/>
          <w:sz w:val="24"/>
          <w:szCs w:val="24"/>
        </w:rPr>
        <w:t>able 2</w:t>
      </w:r>
      <w:r w:rsidR="003A0B8B" w:rsidRPr="00140622">
        <w:rPr>
          <w:sz w:val="24"/>
          <w:szCs w:val="24"/>
        </w:rPr>
        <w:t>)</w:t>
      </w:r>
      <w:r w:rsidR="003478CE" w:rsidRPr="00140622">
        <w:rPr>
          <w:sz w:val="24"/>
          <w:szCs w:val="24"/>
        </w:rPr>
        <w:t>, further investigation of the assay is warranted</w:t>
      </w:r>
      <w:r w:rsidR="00C247E9">
        <w:rPr>
          <w:sz w:val="24"/>
          <w:szCs w:val="24"/>
        </w:rPr>
        <w:t xml:space="preserve"> in this setting</w:t>
      </w:r>
      <w:r w:rsidR="003478CE" w:rsidRPr="00140622">
        <w:rPr>
          <w:sz w:val="24"/>
          <w:szCs w:val="24"/>
        </w:rPr>
        <w:t xml:space="preserve">.  </w:t>
      </w:r>
    </w:p>
    <w:p w:rsidR="008F4332" w:rsidRPr="00140622" w:rsidRDefault="008F4332" w:rsidP="00FC1BDA">
      <w:pPr>
        <w:spacing w:before="0" w:after="0" w:line="480" w:lineRule="auto"/>
        <w:jc w:val="both"/>
        <w:rPr>
          <w:b/>
          <w:i/>
          <w:sz w:val="24"/>
          <w:szCs w:val="24"/>
        </w:rPr>
      </w:pPr>
      <w:bookmarkStart w:id="1" w:name="_Toc57126348"/>
    </w:p>
    <w:p w:rsidR="008F4332" w:rsidRPr="00140622" w:rsidRDefault="003478CE" w:rsidP="00FC1BDA">
      <w:pPr>
        <w:spacing w:before="0" w:after="0" w:line="480" w:lineRule="auto"/>
        <w:jc w:val="both"/>
        <w:rPr>
          <w:b/>
          <w:sz w:val="24"/>
          <w:szCs w:val="24"/>
        </w:rPr>
      </w:pPr>
      <w:proofErr w:type="spellStart"/>
      <w:r w:rsidRPr="00140622">
        <w:rPr>
          <w:b/>
          <w:sz w:val="24"/>
          <w:szCs w:val="24"/>
        </w:rPr>
        <w:t>Anidulafungin</w:t>
      </w:r>
      <w:proofErr w:type="spellEnd"/>
    </w:p>
    <w:p w:rsidR="0081436C" w:rsidRPr="00140622" w:rsidRDefault="006F6E65" w:rsidP="00FC1BDA">
      <w:pPr>
        <w:spacing w:before="0" w:after="0" w:line="480" w:lineRule="auto"/>
        <w:jc w:val="both"/>
        <w:rPr>
          <w:sz w:val="24"/>
          <w:szCs w:val="24"/>
        </w:rPr>
      </w:pPr>
      <w:r w:rsidRPr="00140622">
        <w:rPr>
          <w:b/>
          <w:sz w:val="24"/>
          <w:szCs w:val="24"/>
        </w:rPr>
        <w:tab/>
      </w:r>
      <w:r w:rsidR="007D6DCA" w:rsidRPr="00140622">
        <w:rPr>
          <w:sz w:val="24"/>
          <w:szCs w:val="24"/>
        </w:rPr>
        <w:t>Until recently,</w:t>
      </w:r>
      <w:r w:rsidR="00E521A4" w:rsidRPr="00140622">
        <w:rPr>
          <w:sz w:val="24"/>
          <w:szCs w:val="24"/>
        </w:rPr>
        <w:t xml:space="preserve"> </w:t>
      </w:r>
      <w:r w:rsidR="007D6DCA" w:rsidRPr="00140622">
        <w:rPr>
          <w:sz w:val="24"/>
          <w:szCs w:val="24"/>
        </w:rPr>
        <w:t xml:space="preserve">the treatments available </w:t>
      </w:r>
      <w:r w:rsidR="00E521A4" w:rsidRPr="00140622">
        <w:rPr>
          <w:sz w:val="24"/>
          <w:szCs w:val="24"/>
        </w:rPr>
        <w:t>for serious fungal</w:t>
      </w:r>
      <w:r w:rsidR="007D6DCA" w:rsidRPr="00140622">
        <w:rPr>
          <w:sz w:val="24"/>
          <w:szCs w:val="24"/>
        </w:rPr>
        <w:t xml:space="preserve"> infections were</w:t>
      </w:r>
      <w:r w:rsidR="00E521A4" w:rsidRPr="00140622">
        <w:rPr>
          <w:sz w:val="24"/>
          <w:szCs w:val="24"/>
        </w:rPr>
        <w:t xml:space="preserve"> </w:t>
      </w:r>
      <w:r w:rsidR="007D6DCA" w:rsidRPr="00140622">
        <w:rPr>
          <w:sz w:val="24"/>
          <w:szCs w:val="24"/>
        </w:rPr>
        <w:t xml:space="preserve">limited to either </w:t>
      </w:r>
      <w:r w:rsidR="00E521A4" w:rsidRPr="00140622">
        <w:rPr>
          <w:sz w:val="24"/>
          <w:szCs w:val="24"/>
        </w:rPr>
        <w:t>amphotericin products</w:t>
      </w:r>
      <w:r w:rsidR="00C247E9">
        <w:rPr>
          <w:sz w:val="24"/>
          <w:szCs w:val="24"/>
        </w:rPr>
        <w:t xml:space="preserve"> (</w:t>
      </w:r>
      <w:proofErr w:type="spellStart"/>
      <w:r w:rsidR="00C247E9">
        <w:rPr>
          <w:sz w:val="24"/>
          <w:szCs w:val="24"/>
        </w:rPr>
        <w:t>polyenes</w:t>
      </w:r>
      <w:proofErr w:type="spellEnd"/>
      <w:r w:rsidR="00C247E9">
        <w:rPr>
          <w:sz w:val="24"/>
          <w:szCs w:val="24"/>
        </w:rPr>
        <w:t>) or the azoles.  E</w:t>
      </w:r>
      <w:r w:rsidR="00E521A4" w:rsidRPr="00140622">
        <w:rPr>
          <w:sz w:val="24"/>
          <w:szCs w:val="24"/>
        </w:rPr>
        <w:t>ach class demonstrated significant limi</w:t>
      </w:r>
      <w:r w:rsidR="00FC1BDA">
        <w:rPr>
          <w:sz w:val="24"/>
          <w:szCs w:val="24"/>
        </w:rPr>
        <w:t xml:space="preserve">tations.  The </w:t>
      </w:r>
      <w:proofErr w:type="spellStart"/>
      <w:r w:rsidR="00FC1BDA">
        <w:rPr>
          <w:sz w:val="24"/>
          <w:szCs w:val="24"/>
        </w:rPr>
        <w:t>echi</w:t>
      </w:r>
      <w:r w:rsidR="00E521A4" w:rsidRPr="00140622">
        <w:rPr>
          <w:sz w:val="24"/>
          <w:szCs w:val="24"/>
        </w:rPr>
        <w:t>nocandins</w:t>
      </w:r>
      <w:proofErr w:type="spellEnd"/>
      <w:r w:rsidR="00E521A4" w:rsidRPr="00140622">
        <w:rPr>
          <w:sz w:val="24"/>
          <w:szCs w:val="24"/>
        </w:rPr>
        <w:t xml:space="preserve"> are a new class of </w:t>
      </w:r>
      <w:r w:rsidR="0081436C" w:rsidRPr="00140622">
        <w:rPr>
          <w:sz w:val="24"/>
          <w:szCs w:val="24"/>
        </w:rPr>
        <w:t xml:space="preserve">antifungal agents </w:t>
      </w:r>
      <w:r w:rsidR="00E521A4" w:rsidRPr="00140622">
        <w:rPr>
          <w:sz w:val="24"/>
          <w:szCs w:val="24"/>
        </w:rPr>
        <w:t xml:space="preserve">that appear to have several advantages over existing </w:t>
      </w:r>
      <w:r w:rsidR="0081436C" w:rsidRPr="00140622">
        <w:rPr>
          <w:sz w:val="24"/>
          <w:szCs w:val="24"/>
        </w:rPr>
        <w:t>drugs</w:t>
      </w:r>
      <w:r w:rsidR="00E521A4" w:rsidRPr="00140622">
        <w:rPr>
          <w:sz w:val="24"/>
          <w:szCs w:val="24"/>
        </w:rPr>
        <w:t xml:space="preserve">.  </w:t>
      </w:r>
      <w:r w:rsidR="0081436C" w:rsidRPr="00140622">
        <w:rPr>
          <w:sz w:val="24"/>
          <w:szCs w:val="24"/>
        </w:rPr>
        <w:t xml:space="preserve">The </w:t>
      </w:r>
      <w:proofErr w:type="spellStart"/>
      <w:r w:rsidR="0081436C" w:rsidRPr="00140622">
        <w:rPr>
          <w:sz w:val="24"/>
          <w:szCs w:val="24"/>
        </w:rPr>
        <w:t>echinocandins</w:t>
      </w:r>
      <w:proofErr w:type="spellEnd"/>
      <w:r w:rsidR="0081436C" w:rsidRPr="00140622">
        <w:rPr>
          <w:sz w:val="24"/>
          <w:szCs w:val="24"/>
        </w:rPr>
        <w:t xml:space="preserve"> include 3 comp</w:t>
      </w:r>
      <w:r w:rsidR="00941DD9">
        <w:rPr>
          <w:sz w:val="24"/>
          <w:szCs w:val="24"/>
        </w:rPr>
        <w:t>o</w:t>
      </w:r>
      <w:r w:rsidR="0081436C" w:rsidRPr="00140622">
        <w:rPr>
          <w:sz w:val="24"/>
          <w:szCs w:val="24"/>
        </w:rPr>
        <w:t xml:space="preserve">unds: </w:t>
      </w:r>
      <w:proofErr w:type="spellStart"/>
      <w:r w:rsidR="0081436C" w:rsidRPr="00140622">
        <w:rPr>
          <w:sz w:val="24"/>
          <w:szCs w:val="24"/>
        </w:rPr>
        <w:t>caspofungin</w:t>
      </w:r>
      <w:proofErr w:type="spellEnd"/>
      <w:r w:rsidR="0081436C" w:rsidRPr="00140622">
        <w:rPr>
          <w:sz w:val="24"/>
          <w:szCs w:val="24"/>
        </w:rPr>
        <w:t xml:space="preserve">, </w:t>
      </w:r>
      <w:proofErr w:type="spellStart"/>
      <w:r w:rsidR="0081436C" w:rsidRPr="00140622">
        <w:rPr>
          <w:sz w:val="24"/>
          <w:szCs w:val="24"/>
        </w:rPr>
        <w:t>micafungin</w:t>
      </w:r>
      <w:proofErr w:type="spellEnd"/>
      <w:r w:rsidR="0081436C" w:rsidRPr="00140622">
        <w:rPr>
          <w:sz w:val="24"/>
          <w:szCs w:val="24"/>
        </w:rPr>
        <w:t xml:space="preserve">, and </w:t>
      </w:r>
      <w:proofErr w:type="spellStart"/>
      <w:r w:rsidR="0081436C" w:rsidRPr="00140622">
        <w:rPr>
          <w:sz w:val="24"/>
          <w:szCs w:val="24"/>
        </w:rPr>
        <w:t>anidulafungin</w:t>
      </w:r>
      <w:proofErr w:type="spellEnd"/>
      <w:r w:rsidR="0081436C" w:rsidRPr="00140622">
        <w:rPr>
          <w:sz w:val="24"/>
          <w:szCs w:val="24"/>
        </w:rPr>
        <w:t xml:space="preserve">.  Current evidence suggests that the three drugs are equivalent with regard to spectrum of activity, pharmacokinetics, drug interactions, and side effects.  </w:t>
      </w:r>
      <w:r w:rsidR="00E521A4" w:rsidRPr="00140622">
        <w:rPr>
          <w:sz w:val="24"/>
          <w:szCs w:val="24"/>
        </w:rPr>
        <w:t xml:space="preserve">As a class, the </w:t>
      </w:r>
      <w:proofErr w:type="spellStart"/>
      <w:r w:rsidR="00E521A4" w:rsidRPr="00140622">
        <w:rPr>
          <w:sz w:val="24"/>
          <w:szCs w:val="24"/>
        </w:rPr>
        <w:t>echinocandins</w:t>
      </w:r>
      <w:proofErr w:type="spellEnd"/>
      <w:r w:rsidR="00E521A4" w:rsidRPr="00140622">
        <w:rPr>
          <w:sz w:val="24"/>
          <w:szCs w:val="24"/>
        </w:rPr>
        <w:t xml:space="preserve"> are </w:t>
      </w:r>
      <w:r w:rsidR="00E521A4" w:rsidRPr="00140622">
        <w:rPr>
          <w:sz w:val="24"/>
          <w:szCs w:val="24"/>
        </w:rPr>
        <w:lastRenderedPageBreak/>
        <w:t xml:space="preserve">active against </w:t>
      </w:r>
      <w:r w:rsidR="00E521A4" w:rsidRPr="00140622">
        <w:rPr>
          <w:i/>
          <w:sz w:val="24"/>
          <w:szCs w:val="24"/>
        </w:rPr>
        <w:t xml:space="preserve">Candida </w:t>
      </w:r>
      <w:r w:rsidR="00E521A4" w:rsidRPr="00140622">
        <w:rPr>
          <w:sz w:val="24"/>
          <w:szCs w:val="24"/>
        </w:rPr>
        <w:t xml:space="preserve">and </w:t>
      </w:r>
      <w:proofErr w:type="spellStart"/>
      <w:r w:rsidR="00E521A4" w:rsidRPr="00140622">
        <w:rPr>
          <w:i/>
          <w:sz w:val="24"/>
          <w:szCs w:val="24"/>
        </w:rPr>
        <w:t>Aspergillus</w:t>
      </w:r>
      <w:proofErr w:type="spellEnd"/>
      <w:r w:rsidR="00E521A4" w:rsidRPr="00140622">
        <w:rPr>
          <w:i/>
          <w:sz w:val="24"/>
          <w:szCs w:val="24"/>
        </w:rPr>
        <w:t xml:space="preserve">, </w:t>
      </w:r>
      <w:r w:rsidR="00E521A4" w:rsidRPr="00140622">
        <w:rPr>
          <w:sz w:val="24"/>
          <w:szCs w:val="24"/>
        </w:rPr>
        <w:t>including species that are resistant to traditional antifungal agents</w:t>
      </w:r>
      <w:r w:rsidR="007D6DCA" w:rsidRPr="00140622">
        <w:rPr>
          <w:sz w:val="24"/>
          <w:szCs w:val="24"/>
        </w:rPr>
        <w:t xml:space="preserve">. </w:t>
      </w:r>
      <w:r w:rsidR="00941DD9">
        <w:rPr>
          <w:sz w:val="24"/>
          <w:szCs w:val="24"/>
        </w:rPr>
        <w:t xml:space="preserve"> </w:t>
      </w:r>
      <w:r w:rsidR="007D6DCA" w:rsidRPr="00140622">
        <w:rPr>
          <w:sz w:val="24"/>
          <w:szCs w:val="24"/>
        </w:rPr>
        <w:t xml:space="preserve">Primary or secondary drug resistance to the </w:t>
      </w:r>
      <w:proofErr w:type="spellStart"/>
      <w:r w:rsidR="007D6DCA" w:rsidRPr="00140622">
        <w:rPr>
          <w:sz w:val="24"/>
          <w:szCs w:val="24"/>
        </w:rPr>
        <w:t>echinocandins</w:t>
      </w:r>
      <w:proofErr w:type="spellEnd"/>
      <w:r w:rsidR="007D6DCA" w:rsidRPr="00140622">
        <w:rPr>
          <w:sz w:val="24"/>
          <w:szCs w:val="24"/>
        </w:rPr>
        <w:t xml:space="preserve"> is exceedingly rare.  </w:t>
      </w:r>
      <w:r w:rsidR="0081436C" w:rsidRPr="00140622">
        <w:rPr>
          <w:sz w:val="24"/>
          <w:szCs w:val="24"/>
        </w:rPr>
        <w:t xml:space="preserve">In addition, these compounds </w:t>
      </w:r>
      <w:r w:rsidR="00E521A4" w:rsidRPr="00140622">
        <w:rPr>
          <w:sz w:val="24"/>
          <w:szCs w:val="24"/>
        </w:rPr>
        <w:t>have demonstrated excellent clinical safety and efficacy</w:t>
      </w:r>
      <w:r w:rsidR="0081436C" w:rsidRPr="00140622">
        <w:rPr>
          <w:sz w:val="24"/>
          <w:szCs w:val="24"/>
        </w:rPr>
        <w:t xml:space="preserve"> as well as</w:t>
      </w:r>
      <w:r w:rsidR="00E521A4" w:rsidRPr="00140622">
        <w:rPr>
          <w:sz w:val="24"/>
          <w:szCs w:val="24"/>
        </w:rPr>
        <w:t xml:space="preserve"> a more favorable toxicity profile</w:t>
      </w:r>
      <w:r w:rsidR="0081436C" w:rsidRPr="00140622">
        <w:rPr>
          <w:sz w:val="24"/>
          <w:szCs w:val="24"/>
        </w:rPr>
        <w:t xml:space="preserve"> than </w:t>
      </w:r>
      <w:r w:rsidR="00C247E9">
        <w:rPr>
          <w:sz w:val="24"/>
          <w:szCs w:val="24"/>
        </w:rPr>
        <w:t xml:space="preserve">either </w:t>
      </w:r>
      <w:r w:rsidR="0081436C" w:rsidRPr="00140622">
        <w:rPr>
          <w:sz w:val="24"/>
          <w:szCs w:val="24"/>
        </w:rPr>
        <w:t xml:space="preserve">amphotericin </w:t>
      </w:r>
      <w:r w:rsidR="00FC1BDA">
        <w:rPr>
          <w:sz w:val="24"/>
          <w:szCs w:val="24"/>
        </w:rPr>
        <w:t xml:space="preserve">based products </w:t>
      </w:r>
      <w:r w:rsidR="0081436C" w:rsidRPr="00140622">
        <w:rPr>
          <w:sz w:val="24"/>
          <w:szCs w:val="24"/>
        </w:rPr>
        <w:t>or the azoles</w:t>
      </w:r>
      <w:r w:rsidR="00706A77" w:rsidRPr="00140622">
        <w:rPr>
          <w:sz w:val="24"/>
          <w:szCs w:val="24"/>
        </w:rPr>
        <w:fldChar w:fldCharType="begin"/>
      </w:r>
      <w:r w:rsidR="0053409B">
        <w:rPr>
          <w:sz w:val="24"/>
          <w:szCs w:val="24"/>
        </w:rPr>
        <w:instrText xml:space="preserve"> ADDIN REFMGR.CITE &lt;Refman&gt;&lt;Cite&gt;&lt;Author&gt;Sobel&lt;/Author&gt;&lt;Year&gt;2007&lt;/Year&gt;&lt;RecNum&gt;170&lt;/RecNum&gt;&lt;IDText&gt;Echinocandins -- First-Choice or First-Line Therapy for Invasive Candidiasis?&lt;/IDText&gt;&lt;MDL Ref_Type="Journal"&gt;&lt;Ref_Type&gt;Journal&lt;/Ref_Type&gt;&lt;Ref_ID&gt;170&lt;/Ref_ID&gt;&lt;Title_Primary&gt;Echinocandins -- First-Choice or First-Line Therapy for Invasive Candidiasis?&lt;/Title_Primary&gt;&lt;Authors_Primary&gt;Sobel,Jack D.&lt;/Authors_Primary&gt;&lt;Authors_Primary&gt;Revankar,Sanjay G.&lt;/Authors_Primary&gt;&lt;Date_Primary&gt;2007/6/14&lt;/Date_Primary&gt;&lt;Keywords&gt;Candidiasis&lt;/Keywords&gt;&lt;Keywords&gt;therapy&lt;/Keywords&gt;&lt;Reprint&gt;Not in File&lt;/Reprint&gt;&lt;Start_Page&gt;2525&lt;/Start_Page&gt;&lt;End_Page&gt;2526&lt;/End_Page&gt;&lt;Periodical&gt;N Engl J Med&lt;/Periodical&gt;&lt;Volume&gt;356&lt;/Volume&gt;&lt;Issue&gt;24&lt;/Issue&gt;&lt;Web_URL&gt;http://content.nejm.org&lt;/Web_URL&gt;&lt;ZZ_JournalFull&gt;&lt;f name="System"&gt;The New England Journal of Medicine&lt;/f&gt;&lt;/ZZ_JournalFull&gt;&lt;ZZ_JournalStdAbbrev&gt;&lt;f name="System"&gt;N Engl J Med&lt;/f&gt;&lt;/ZZ_JournalStdAbbrev&gt;&lt;ZZ_WorkformID&gt;1&lt;/ZZ_WorkformID&gt;&lt;/MDL&gt;&lt;/Cite&gt;&lt;/Refman&gt;</w:instrText>
      </w:r>
      <w:r w:rsidR="00706A77" w:rsidRPr="00140622">
        <w:rPr>
          <w:sz w:val="24"/>
          <w:szCs w:val="24"/>
        </w:rPr>
        <w:fldChar w:fldCharType="separate"/>
      </w:r>
      <w:r w:rsidR="008A4052" w:rsidRPr="00140622">
        <w:rPr>
          <w:sz w:val="24"/>
          <w:szCs w:val="24"/>
        </w:rPr>
        <w:t>(19)</w:t>
      </w:r>
      <w:r w:rsidR="00706A77" w:rsidRPr="00140622">
        <w:rPr>
          <w:sz w:val="24"/>
          <w:szCs w:val="24"/>
        </w:rPr>
        <w:fldChar w:fldCharType="end"/>
      </w:r>
      <w:r w:rsidR="00E521A4" w:rsidRPr="00140622">
        <w:rPr>
          <w:sz w:val="24"/>
          <w:szCs w:val="24"/>
        </w:rPr>
        <w:t xml:space="preserve">.  </w:t>
      </w:r>
    </w:p>
    <w:p w:rsidR="008E0536" w:rsidRPr="00140622" w:rsidRDefault="00E521A4" w:rsidP="00FC1BDA">
      <w:pPr>
        <w:spacing w:before="0" w:after="0" w:line="480" w:lineRule="auto"/>
        <w:ind w:firstLine="720"/>
        <w:jc w:val="both"/>
        <w:rPr>
          <w:sz w:val="24"/>
          <w:szCs w:val="24"/>
        </w:rPr>
      </w:pPr>
      <w:proofErr w:type="spellStart"/>
      <w:r w:rsidRPr="00140622">
        <w:rPr>
          <w:sz w:val="24"/>
          <w:szCs w:val="24"/>
        </w:rPr>
        <w:t>Anidulafungin</w:t>
      </w:r>
      <w:proofErr w:type="spellEnd"/>
      <w:r w:rsidRPr="00140622">
        <w:rPr>
          <w:sz w:val="24"/>
          <w:szCs w:val="24"/>
        </w:rPr>
        <w:t xml:space="preserve"> (</w:t>
      </w:r>
      <w:proofErr w:type="spellStart"/>
      <w:r w:rsidRPr="00140622">
        <w:rPr>
          <w:sz w:val="24"/>
          <w:szCs w:val="24"/>
        </w:rPr>
        <w:t>Eraxis</w:t>
      </w:r>
      <w:proofErr w:type="spellEnd"/>
      <w:r w:rsidRPr="00140622">
        <w:rPr>
          <w:sz w:val="24"/>
          <w:szCs w:val="24"/>
        </w:rPr>
        <w:t xml:space="preserve">™, Pfizer) is the newest </w:t>
      </w:r>
      <w:proofErr w:type="spellStart"/>
      <w:r w:rsidRPr="00140622">
        <w:rPr>
          <w:sz w:val="24"/>
          <w:szCs w:val="24"/>
        </w:rPr>
        <w:t>echinocandin</w:t>
      </w:r>
      <w:proofErr w:type="spellEnd"/>
      <w:r w:rsidRPr="00140622">
        <w:rPr>
          <w:sz w:val="24"/>
          <w:szCs w:val="24"/>
        </w:rPr>
        <w:t xml:space="preserve"> to be approved by the FDA </w:t>
      </w:r>
      <w:r w:rsidR="0081436C" w:rsidRPr="00140622">
        <w:rPr>
          <w:sz w:val="24"/>
          <w:szCs w:val="24"/>
        </w:rPr>
        <w:t xml:space="preserve">and has been studied for </w:t>
      </w:r>
      <w:r w:rsidRPr="00140622">
        <w:rPr>
          <w:sz w:val="24"/>
          <w:szCs w:val="24"/>
        </w:rPr>
        <w:t xml:space="preserve">the treatment of esophageal candidiasis, </w:t>
      </w:r>
      <w:proofErr w:type="spellStart"/>
      <w:r w:rsidRPr="00140622">
        <w:rPr>
          <w:sz w:val="24"/>
          <w:szCs w:val="24"/>
        </w:rPr>
        <w:t>candidemia</w:t>
      </w:r>
      <w:proofErr w:type="spellEnd"/>
      <w:r w:rsidRPr="00140622">
        <w:rPr>
          <w:sz w:val="24"/>
          <w:szCs w:val="24"/>
        </w:rPr>
        <w:t>, and deep-tissue IC.</w:t>
      </w:r>
      <w:r w:rsidR="0081436C" w:rsidRPr="00140622">
        <w:rPr>
          <w:sz w:val="24"/>
          <w:szCs w:val="24"/>
        </w:rPr>
        <w:t xml:space="preserve">  The drug works through the noncompetitive inhibition of (1,3)-β-D-</w:t>
      </w:r>
      <w:proofErr w:type="spellStart"/>
      <w:r w:rsidR="0081436C" w:rsidRPr="00140622">
        <w:rPr>
          <w:sz w:val="24"/>
          <w:szCs w:val="24"/>
        </w:rPr>
        <w:t>glucan</w:t>
      </w:r>
      <w:proofErr w:type="spellEnd"/>
      <w:r w:rsidR="0081436C" w:rsidRPr="00140622">
        <w:rPr>
          <w:sz w:val="24"/>
          <w:szCs w:val="24"/>
        </w:rPr>
        <w:t xml:space="preserve"> synthase</w:t>
      </w:r>
      <w:r w:rsidR="00706A77" w:rsidRPr="00140622">
        <w:rPr>
          <w:sz w:val="24"/>
          <w:szCs w:val="24"/>
        </w:rPr>
        <w:fldChar w:fldCharType="begin"/>
      </w:r>
      <w:r w:rsidR="0053409B">
        <w:rPr>
          <w:sz w:val="24"/>
          <w:szCs w:val="24"/>
        </w:rPr>
        <w:instrText xml:space="preserve"> ADDIN REFMGR.CITE &lt;Refman&gt;&lt;Cite&gt;&lt;Author&gt;Vazquez&lt;/Author&gt;&lt;Year&gt;2006&lt;/Year&gt;&lt;RecNum&gt;173&lt;/RecNum&gt;&lt;IDText&gt;Anidulafungin: A Novel Echinocandin&lt;/IDText&gt;&lt;MDL Ref_Type="Journal"&gt;&lt;Ref_Type&gt;Journal&lt;/Ref_Type&gt;&lt;Ref_ID&gt;173&lt;/Ref_ID&gt;&lt;Title_Primary&gt;Anidulafungin: A Novel Echinocandin&lt;/Title_Primary&gt;&lt;Authors_Primary&gt;Vazquez,Jose A.&lt;/Authors_Primary&gt;&lt;Authors_Primary&gt;Sobel,Jack D.&lt;/Authors_Primary&gt;&lt;Date_Primary&gt;2006/7/15&lt;/Date_Primary&gt;&lt;Keywords&gt;Amphotericin B&lt;/Keywords&gt;&lt;Keywords&gt;Candida&lt;/Keywords&gt;&lt;Keywords&gt;Candidiasis&lt;/Keywords&gt;&lt;Keywords&gt;Clinical Trials&lt;/Keywords&gt;&lt;Keywords&gt;Fluconazole&lt;/Keywords&gt;&lt;Keywords&gt;Humans&lt;/Keywords&gt;&lt;Keywords&gt;Infection&lt;/Keywords&gt;&lt;Reprint&gt;Not in File&lt;/Reprint&gt;&lt;Start_Page&gt;215&lt;/Start_Page&gt;&lt;End_Page&gt;222&lt;/End_Page&gt;&lt;Periodical&gt;Clin Infect Dis&lt;/Periodical&gt;&lt;Volume&gt;43&lt;/Volume&gt;&lt;Issue&gt;2&lt;/Issue&gt;&lt;Web_URL&gt;http://www.journals.uchicago.edu/cgi-bin/resolve?CID35012&lt;/Web_URL&gt;&lt;ZZ_JournalFull&gt;&lt;f name="System"&gt;Clinical Infectious Diseases&lt;/f&gt;&lt;/ZZ_JournalFull&gt;&lt;ZZ_JournalStdAbbrev&gt;&lt;f name="System"&gt;Clin Infect Dis&lt;/f&gt;&lt;/ZZ_JournalStdAbbrev&gt;&lt;ZZ_WorkformID&gt;1&lt;/ZZ_WorkformID&gt;&lt;/MDL&gt;&lt;/Cite&gt;&lt;/Refman&gt;</w:instrText>
      </w:r>
      <w:r w:rsidR="00706A77" w:rsidRPr="00140622">
        <w:rPr>
          <w:sz w:val="24"/>
          <w:szCs w:val="24"/>
        </w:rPr>
        <w:fldChar w:fldCharType="separate"/>
      </w:r>
      <w:r w:rsidR="008A4052" w:rsidRPr="00140622">
        <w:rPr>
          <w:sz w:val="24"/>
          <w:szCs w:val="24"/>
        </w:rPr>
        <w:t>(20)</w:t>
      </w:r>
      <w:r w:rsidR="00706A77" w:rsidRPr="00140622">
        <w:rPr>
          <w:sz w:val="24"/>
          <w:szCs w:val="24"/>
        </w:rPr>
        <w:fldChar w:fldCharType="end"/>
      </w:r>
      <w:r w:rsidR="0081436C" w:rsidRPr="00140622">
        <w:rPr>
          <w:sz w:val="24"/>
          <w:szCs w:val="24"/>
        </w:rPr>
        <w:t>, does not require dose adjustments in subjects with hepatic or renal impairment</w:t>
      </w:r>
      <w:r w:rsidR="00706A77" w:rsidRPr="00140622">
        <w:rPr>
          <w:sz w:val="24"/>
          <w:szCs w:val="24"/>
        </w:rPr>
        <w:fldChar w:fldCharType="begin"/>
      </w:r>
      <w:r w:rsidR="0053409B">
        <w:rPr>
          <w:sz w:val="24"/>
          <w:szCs w:val="24"/>
        </w:rPr>
        <w:instrText xml:space="preserve"> ADDIN REFMGR.CITE &lt;Refman&gt;&lt;Cite&gt;&lt;Author&gt;Dowell&lt;/Author&gt;&lt;Year&gt;2007&lt;/Year&gt;&lt;RecNum&gt;172&lt;/RecNum&gt;&lt;IDText&gt;Anidulafungin Does Not Require Dosage Adjustment in Subjects With Varying Degrees of Hepatic or Renal Impairment&lt;/IDText&gt;&lt;MDL Ref_Type="Journal"&gt;&lt;Ref_Type&gt;Journal&lt;/Ref_Type&gt;&lt;Ref_ID&gt;172&lt;/Ref_ID&gt;&lt;Title_Primary&gt;Anidulafungin Does Not Require Dosage Adjustment in Subjects With Varying Degrees of Hepatic or Renal Impairment&lt;/Title_Primary&gt;&lt;Authors_Primary&gt;Dowell,James A.&lt;/Authors_Primary&gt;&lt;Authors_Primary&gt;Stogniew,Martin&lt;/Authors_Primary&gt;&lt;Authors_Primary&gt;Krause,David&lt;/Authors_Primary&gt;&lt;Authors_Primary&gt;Damle,Bharat&lt;/Authors_Primary&gt;&lt;Date_Primary&gt;2007/4/1&lt;/Date_Primary&gt;&lt;Reprint&gt;Not in File&lt;/Reprint&gt;&lt;Start_Page&gt;461&lt;/Start_Page&gt;&lt;End_Page&gt;470&lt;/End_Page&gt;&lt;Periodical&gt;J Clin Pharmacol&lt;/Periodical&gt;&lt;Volume&gt;47&lt;/Volume&gt;&lt;Issue&gt;4&lt;/Issue&gt;&lt;Web_URL&gt;http://jcp.sagepub.com/cgi/content/abstract/47/4/461&lt;/Web_URL&gt;&lt;ZZ_JournalFull&gt;&lt;f name="System"&gt;The Journal of Clinical Pharmacology&lt;/f&gt;&lt;/ZZ_JournalFull&gt;&lt;ZZ_JournalStdAbbrev&gt;&lt;f name="System"&gt;J Clin Pharmacol&lt;/f&gt;&lt;/ZZ_JournalStdAbbrev&gt;&lt;ZZ_WorkformID&gt;1&lt;/ZZ_WorkformID&gt;&lt;/MDL&gt;&lt;/Cite&gt;&lt;/Refman&gt;</w:instrText>
      </w:r>
      <w:r w:rsidR="00706A77" w:rsidRPr="00140622">
        <w:rPr>
          <w:sz w:val="24"/>
          <w:szCs w:val="24"/>
        </w:rPr>
        <w:fldChar w:fldCharType="separate"/>
      </w:r>
      <w:r w:rsidR="008A4052" w:rsidRPr="00140622">
        <w:rPr>
          <w:sz w:val="24"/>
          <w:szCs w:val="24"/>
        </w:rPr>
        <w:t>(21)</w:t>
      </w:r>
      <w:r w:rsidR="00706A77" w:rsidRPr="00140622">
        <w:rPr>
          <w:sz w:val="24"/>
          <w:szCs w:val="24"/>
        </w:rPr>
        <w:fldChar w:fldCharType="end"/>
      </w:r>
      <w:r w:rsidR="0081436C" w:rsidRPr="00140622">
        <w:rPr>
          <w:sz w:val="24"/>
          <w:szCs w:val="24"/>
        </w:rPr>
        <w:t xml:space="preserve">, and has demonstrated a low rate of adverse events in </w:t>
      </w:r>
      <w:r w:rsidR="00C247E9">
        <w:rPr>
          <w:sz w:val="24"/>
          <w:szCs w:val="24"/>
        </w:rPr>
        <w:t xml:space="preserve">the </w:t>
      </w:r>
      <w:r w:rsidR="0081436C" w:rsidRPr="00140622">
        <w:rPr>
          <w:sz w:val="24"/>
          <w:szCs w:val="24"/>
        </w:rPr>
        <w:t xml:space="preserve">phase 2/3 trials conducted to date.  </w:t>
      </w:r>
      <w:r w:rsidR="009E346E" w:rsidRPr="00140622">
        <w:rPr>
          <w:sz w:val="24"/>
          <w:szCs w:val="24"/>
        </w:rPr>
        <w:t>The drug is not a su</w:t>
      </w:r>
      <w:r w:rsidR="0039158D" w:rsidRPr="00140622">
        <w:rPr>
          <w:sz w:val="24"/>
          <w:szCs w:val="24"/>
        </w:rPr>
        <w:t>b</w:t>
      </w:r>
      <w:r w:rsidR="009E346E" w:rsidRPr="00140622">
        <w:rPr>
          <w:sz w:val="24"/>
          <w:szCs w:val="24"/>
        </w:rPr>
        <w:t xml:space="preserve">strate, inducer, or inhibitor of </w:t>
      </w:r>
      <w:r w:rsidR="0039158D" w:rsidRPr="00140622">
        <w:rPr>
          <w:sz w:val="24"/>
          <w:szCs w:val="24"/>
        </w:rPr>
        <w:t>cytochrome P45</w:t>
      </w:r>
      <w:r w:rsidR="00941DD9">
        <w:rPr>
          <w:sz w:val="24"/>
          <w:szCs w:val="24"/>
        </w:rPr>
        <w:t>0 and is therefore unlikely to a</w:t>
      </w:r>
      <w:r w:rsidR="0039158D" w:rsidRPr="00140622">
        <w:rPr>
          <w:sz w:val="24"/>
          <w:szCs w:val="24"/>
        </w:rPr>
        <w:t>ffect the metabolism of other drugs that u</w:t>
      </w:r>
      <w:r w:rsidR="00C247E9">
        <w:rPr>
          <w:sz w:val="24"/>
          <w:szCs w:val="24"/>
        </w:rPr>
        <w:t xml:space="preserve">se these </w:t>
      </w:r>
      <w:proofErr w:type="spellStart"/>
      <w:r w:rsidR="00C247E9">
        <w:rPr>
          <w:sz w:val="24"/>
          <w:szCs w:val="24"/>
        </w:rPr>
        <w:t>isoenzymes</w:t>
      </w:r>
      <w:proofErr w:type="spellEnd"/>
      <w:r w:rsidR="00C247E9">
        <w:rPr>
          <w:sz w:val="24"/>
          <w:szCs w:val="24"/>
        </w:rPr>
        <w:t>.  H</w:t>
      </w:r>
      <w:r w:rsidR="0039158D" w:rsidRPr="00140622">
        <w:rPr>
          <w:sz w:val="24"/>
          <w:szCs w:val="24"/>
        </w:rPr>
        <w:t xml:space="preserve">istamine-mediated symptoms </w:t>
      </w:r>
      <w:r w:rsidR="008E0536" w:rsidRPr="00140622">
        <w:rPr>
          <w:sz w:val="24"/>
          <w:szCs w:val="24"/>
        </w:rPr>
        <w:t xml:space="preserve">have </w:t>
      </w:r>
      <w:r w:rsidR="00C247E9">
        <w:rPr>
          <w:sz w:val="24"/>
          <w:szCs w:val="24"/>
        </w:rPr>
        <w:t xml:space="preserve">been </w:t>
      </w:r>
      <w:r w:rsidR="008E0536" w:rsidRPr="00140622">
        <w:rPr>
          <w:sz w:val="24"/>
          <w:szCs w:val="24"/>
        </w:rPr>
        <w:t xml:space="preserve">reported </w:t>
      </w:r>
      <w:r w:rsidR="00C247E9">
        <w:rPr>
          <w:sz w:val="24"/>
          <w:szCs w:val="24"/>
        </w:rPr>
        <w:t xml:space="preserve">during </w:t>
      </w:r>
      <w:proofErr w:type="spellStart"/>
      <w:r w:rsidR="00C247E9">
        <w:rPr>
          <w:sz w:val="24"/>
          <w:szCs w:val="24"/>
        </w:rPr>
        <w:t>anidulafungin</w:t>
      </w:r>
      <w:proofErr w:type="spellEnd"/>
      <w:r w:rsidR="00C247E9">
        <w:rPr>
          <w:sz w:val="24"/>
          <w:szCs w:val="24"/>
        </w:rPr>
        <w:t xml:space="preserve"> infusion </w:t>
      </w:r>
      <w:r w:rsidR="008E0536" w:rsidRPr="00140622">
        <w:rPr>
          <w:sz w:val="24"/>
          <w:szCs w:val="24"/>
        </w:rPr>
        <w:t>including ra</w:t>
      </w:r>
      <w:r w:rsidR="00941DD9">
        <w:rPr>
          <w:sz w:val="24"/>
          <w:szCs w:val="24"/>
        </w:rPr>
        <w:t xml:space="preserve">sh, urticaria, flushing, </w:t>
      </w:r>
      <w:proofErr w:type="spellStart"/>
      <w:r w:rsidR="00941DD9">
        <w:rPr>
          <w:sz w:val="24"/>
          <w:szCs w:val="24"/>
        </w:rPr>
        <w:t>puritis</w:t>
      </w:r>
      <w:proofErr w:type="spellEnd"/>
      <w:r w:rsidR="008E0536" w:rsidRPr="00140622">
        <w:rPr>
          <w:sz w:val="24"/>
          <w:szCs w:val="24"/>
        </w:rPr>
        <w:t xml:space="preserve">, dyspnea, and hypotension, but are infrequent when the rate of infusion does not exceed 1.1 mg/minute.  </w:t>
      </w:r>
      <w:r w:rsidR="00910C16" w:rsidRPr="00140622">
        <w:rPr>
          <w:sz w:val="24"/>
          <w:szCs w:val="24"/>
        </w:rPr>
        <w:t xml:space="preserve">Laboratory abnormalities in liver function tests (LFTs) have </w:t>
      </w:r>
      <w:r w:rsidR="008E0536" w:rsidRPr="00140622">
        <w:rPr>
          <w:sz w:val="24"/>
          <w:szCs w:val="24"/>
        </w:rPr>
        <w:t xml:space="preserve">also </w:t>
      </w:r>
      <w:r w:rsidR="00910C16" w:rsidRPr="00140622">
        <w:rPr>
          <w:sz w:val="24"/>
          <w:szCs w:val="24"/>
        </w:rPr>
        <w:t xml:space="preserve">been seen in patients treated with </w:t>
      </w:r>
      <w:proofErr w:type="spellStart"/>
      <w:r w:rsidR="00910C16" w:rsidRPr="00140622">
        <w:rPr>
          <w:sz w:val="24"/>
          <w:szCs w:val="24"/>
        </w:rPr>
        <w:t>anidulafungin</w:t>
      </w:r>
      <w:proofErr w:type="spellEnd"/>
      <w:r w:rsidR="00910C16" w:rsidRPr="00140622">
        <w:rPr>
          <w:sz w:val="24"/>
          <w:szCs w:val="24"/>
        </w:rPr>
        <w:t xml:space="preserve">, but the clinical significance of this observation is uncertain.  Hepatic metabolism of </w:t>
      </w:r>
      <w:proofErr w:type="spellStart"/>
      <w:r w:rsidR="00910C16" w:rsidRPr="00140622">
        <w:rPr>
          <w:sz w:val="24"/>
          <w:szCs w:val="24"/>
        </w:rPr>
        <w:t>anidulafungin</w:t>
      </w:r>
      <w:proofErr w:type="spellEnd"/>
      <w:r w:rsidR="00910C16" w:rsidRPr="00140622">
        <w:rPr>
          <w:sz w:val="24"/>
          <w:szCs w:val="24"/>
        </w:rPr>
        <w:t xml:space="preserve"> </w:t>
      </w:r>
      <w:r w:rsidR="00C247E9">
        <w:rPr>
          <w:sz w:val="24"/>
          <w:szCs w:val="24"/>
        </w:rPr>
        <w:t>has not been observed.  Rather, t</w:t>
      </w:r>
      <w:r w:rsidR="009E346E" w:rsidRPr="00140622">
        <w:rPr>
          <w:sz w:val="24"/>
          <w:szCs w:val="24"/>
        </w:rPr>
        <w:t>he d</w:t>
      </w:r>
      <w:r w:rsidR="00910C16" w:rsidRPr="00140622">
        <w:rPr>
          <w:sz w:val="24"/>
          <w:szCs w:val="24"/>
        </w:rPr>
        <w:t xml:space="preserve">rug </w:t>
      </w:r>
      <w:r w:rsidR="009E346E" w:rsidRPr="00140622">
        <w:rPr>
          <w:sz w:val="24"/>
          <w:szCs w:val="24"/>
        </w:rPr>
        <w:t xml:space="preserve">undergoes slow chemical degradation and is </w:t>
      </w:r>
      <w:r w:rsidR="00910C16" w:rsidRPr="00140622">
        <w:rPr>
          <w:sz w:val="24"/>
          <w:szCs w:val="24"/>
        </w:rPr>
        <w:t>excreted primarily in feces</w:t>
      </w:r>
      <w:r w:rsidR="00706A77" w:rsidRPr="00140622">
        <w:rPr>
          <w:sz w:val="24"/>
          <w:szCs w:val="24"/>
        </w:rPr>
        <w:fldChar w:fldCharType="begin"/>
      </w:r>
      <w:r w:rsidR="0053409B">
        <w:rPr>
          <w:sz w:val="24"/>
          <w:szCs w:val="24"/>
        </w:rPr>
        <w:instrText xml:space="preserve"> ADDIN REFMGR.CITE &lt;Refman&gt;&lt;Cite&gt;&lt;Author&gt;Pfizer&lt;/Author&gt;&lt;Year&gt;2007&lt;/Year&gt;&lt;RecNum&gt;174&lt;/RecNum&gt;&lt;IDText&gt;Eraxis Package Insert&lt;/IDText&gt;&lt;MDL Ref_Type="Generic"&gt;&lt;Ref_Type&gt;Generic&lt;/Ref_Type&gt;&lt;Ref_ID&gt;174&lt;/Ref_ID&gt;&lt;Title_Primary&gt;Eraxis Package Insert&lt;/Title_Primary&gt;&lt;Authors_Primary&gt;Pfizer,INC&lt;/Authors_Primary&gt;&lt;Date_Primary&gt;2007&lt;/Date_Primary&gt;&lt;Reprint&gt;Not in File&lt;/Reprint&gt;&lt;ZZ_WorkformID&gt;33&lt;/ZZ_WorkformID&gt;&lt;/MDL&gt;&lt;/Cite&gt;&lt;/Refman&gt;</w:instrText>
      </w:r>
      <w:r w:rsidR="00706A77" w:rsidRPr="00140622">
        <w:rPr>
          <w:sz w:val="24"/>
          <w:szCs w:val="24"/>
        </w:rPr>
        <w:fldChar w:fldCharType="separate"/>
      </w:r>
      <w:r w:rsidR="008A4052" w:rsidRPr="00140622">
        <w:rPr>
          <w:sz w:val="24"/>
          <w:szCs w:val="24"/>
        </w:rPr>
        <w:t>(22)</w:t>
      </w:r>
      <w:r w:rsidR="00706A77" w:rsidRPr="00140622">
        <w:rPr>
          <w:sz w:val="24"/>
          <w:szCs w:val="24"/>
        </w:rPr>
        <w:fldChar w:fldCharType="end"/>
      </w:r>
      <w:r w:rsidR="00910C16" w:rsidRPr="00140622">
        <w:rPr>
          <w:sz w:val="24"/>
          <w:szCs w:val="24"/>
        </w:rPr>
        <w:t xml:space="preserve">.  </w:t>
      </w:r>
    </w:p>
    <w:p w:rsidR="006F6E65" w:rsidRPr="00140622" w:rsidRDefault="008E0536" w:rsidP="00FC1BDA">
      <w:pPr>
        <w:spacing w:before="0" w:after="0" w:line="480" w:lineRule="auto"/>
        <w:ind w:firstLine="720"/>
        <w:jc w:val="both"/>
        <w:rPr>
          <w:sz w:val="24"/>
          <w:szCs w:val="24"/>
        </w:rPr>
      </w:pPr>
      <w:r w:rsidRPr="00140622">
        <w:rPr>
          <w:sz w:val="24"/>
          <w:szCs w:val="24"/>
        </w:rPr>
        <w:t xml:space="preserve">Of the </w:t>
      </w:r>
      <w:proofErr w:type="spellStart"/>
      <w:r w:rsidRPr="00140622">
        <w:rPr>
          <w:sz w:val="24"/>
          <w:szCs w:val="24"/>
        </w:rPr>
        <w:t>echinocandins</w:t>
      </w:r>
      <w:proofErr w:type="spellEnd"/>
      <w:r w:rsidRPr="00140622">
        <w:rPr>
          <w:sz w:val="24"/>
          <w:szCs w:val="24"/>
        </w:rPr>
        <w:t>, o</w:t>
      </w:r>
      <w:r w:rsidR="0081436C" w:rsidRPr="00140622">
        <w:rPr>
          <w:sz w:val="24"/>
          <w:szCs w:val="24"/>
        </w:rPr>
        <w:t xml:space="preserve">nly </w:t>
      </w:r>
      <w:proofErr w:type="spellStart"/>
      <w:r w:rsidR="0081436C" w:rsidRPr="00140622">
        <w:rPr>
          <w:sz w:val="24"/>
          <w:szCs w:val="24"/>
        </w:rPr>
        <w:t>micafungin</w:t>
      </w:r>
      <w:proofErr w:type="spellEnd"/>
      <w:r w:rsidR="0081436C" w:rsidRPr="00140622">
        <w:rPr>
          <w:sz w:val="24"/>
          <w:szCs w:val="24"/>
        </w:rPr>
        <w:t xml:space="preserve"> has b</w:t>
      </w:r>
      <w:r w:rsidR="00FC1BDA">
        <w:rPr>
          <w:sz w:val="24"/>
          <w:szCs w:val="24"/>
        </w:rPr>
        <w:t>een studied</w:t>
      </w:r>
      <w:r w:rsidR="0081436C" w:rsidRPr="00140622">
        <w:rPr>
          <w:sz w:val="24"/>
          <w:szCs w:val="24"/>
        </w:rPr>
        <w:t xml:space="preserve"> as IFI </w:t>
      </w:r>
      <w:r w:rsidR="00B640E3" w:rsidRPr="00140622">
        <w:rPr>
          <w:sz w:val="24"/>
          <w:szCs w:val="24"/>
        </w:rPr>
        <w:t>prophylaxis</w:t>
      </w:r>
      <w:r w:rsidR="00706A77" w:rsidRPr="00140622">
        <w:rPr>
          <w:sz w:val="24"/>
          <w:szCs w:val="24"/>
        </w:rPr>
        <w:fldChar w:fldCharType="begin"/>
      </w:r>
      <w:r w:rsidR="0053409B">
        <w:rPr>
          <w:sz w:val="24"/>
          <w:szCs w:val="24"/>
        </w:rPr>
        <w:instrText xml:space="preserve"> ADDIN REFMGR.CITE &lt;Refman&gt;&lt;Cite&gt;&lt;Author&gt;van Burik&lt;/Author&gt;&lt;Year&gt;2004&lt;/Year&gt;&lt;RecNum&gt;16&lt;/RecNum&gt;&lt;IDText&gt;Micafungin versus fluconazole for prophylaxis against invasive fungal infections during neutropenia in patients undergoing hematopoietic stem cell transplantation&lt;/IDText&gt;&lt;MDL Ref_Type="Journal"&gt;&lt;Ref_Type&gt;Journal&lt;/Ref_Type&gt;&lt;Ref_ID&gt;16&lt;/Ref_ID&gt;&lt;Title_Primary&gt;Micafungin versus fluconazole for prophylaxis against invasive fungal infections during neutropenia in patients undergoing hematopoietic stem cell transplantation&lt;/Title_Primary&gt;&lt;Authors_Primary&gt;van Burik,J.A.&lt;/Authors_Primary&gt;&lt;Authors_Primary&gt;Ratanatharathorn,V.&lt;/Authors_Primary&gt;&lt;Authors_Primary&gt;Stepan,D.E.&lt;/Authors_Primary&gt;&lt;Authors_Primary&gt;Miller,C.B.&lt;/Authors_Primary&gt;&lt;Authors_Primary&gt;Lipton,J.H.&lt;/Authors_Primary&gt;&lt;Authors_Primary&gt;Vesole,D.H.&lt;/Authors_Primary&gt;&lt;Authors_Primary&gt;Bunin,N.&lt;/Authors_Primary&gt;&lt;Authors_Primary&gt;Wall,D.A.&lt;/Authors_Primary&gt;&lt;Authors_Primary&gt;Hiemenz,J.W.&lt;/Authors_Primary&gt;&lt;Authors_Primary&gt;Satoi,Y.&lt;/Authors_Primary&gt;&lt;Authors_Primary&gt;Lee,J.M.&lt;/Authors_Primary&gt;&lt;Authors_Primary&gt;Walsh,T.J.&lt;/Authors_Primary&gt;&lt;Date_Primary&gt;2004/11/15&lt;/Date_Primary&gt;&lt;Keywords&gt;Adolescent&lt;/Keywords&gt;&lt;Keywords&gt;Adult&lt;/Keywords&gt;&lt;Keywords&gt;adverse effects&lt;/Keywords&gt;&lt;Keywords&gt;Aged&lt;/Keywords&gt;&lt;Keywords&gt;Child&lt;/Keywords&gt;&lt;Keywords&gt;Child,Preschool&lt;/Keywords&gt;&lt;Keywords&gt;complications&lt;/Keywords&gt;&lt;Keywords&gt;Double-Blind Method&lt;/Keywords&gt;&lt;Keywords&gt;etiology&lt;/Keywords&gt;&lt;Keywords&gt;Female&lt;/Keywords&gt;&lt;Keywords&gt;Fluconazole&lt;/Keywords&gt;&lt;Keywords&gt;Hematopoietic Stem Cell Transplantation&lt;/Keywords&gt;&lt;Keywords&gt;Humans&lt;/Keywords&gt;&lt;Keywords&gt;Infant&lt;/Keywords&gt;&lt;Keywords&gt;Lipoproteins&lt;/Keywords&gt;&lt;Keywords&gt;Male&lt;/Keywords&gt;&lt;Keywords&gt;Middle Aged&lt;/Keywords&gt;&lt;Keywords&gt;Mycoses&lt;/Keywords&gt;&lt;Keywords&gt;Neutropenia&lt;/Keywords&gt;&lt;Keywords&gt;Peptides,Cyclic&lt;/Keywords&gt;&lt;Keywords&gt;prevention &amp;amp; control&lt;/Keywords&gt;&lt;Keywords&gt;therapeutic use&lt;/Keywords&gt;&lt;Reprint&gt;Not in File&lt;/Reprint&gt;&lt;Start_Page&gt;1407&lt;/Start_Page&gt;&lt;End_Page&gt;1416&lt;/End_Page&gt;&lt;Periodical&gt;Clin Infect Dis&lt;/Periodical&gt;&lt;Volume&gt;39&lt;/Volume&gt;&lt;Issue&gt;10&lt;/Issue&gt;&lt;Address&gt;University of Minnesota, Minneapolis, MN, USA&lt;/Address&gt;&lt;Web_URL&gt;PM:15546073&lt;/Web_URL&gt;&lt;ZZ_JournalFull&gt;&lt;f name="System"&gt;Clinical Infectious Diseases&lt;/f&gt;&lt;/ZZ_JournalFull&gt;&lt;ZZ_JournalStdAbbrev&gt;&lt;f name="System"&gt;Clin Infect Dis&lt;/f&gt;&lt;/ZZ_JournalStdAbbrev&gt;&lt;ZZ_WorkformID&gt;1&lt;/ZZ_WorkformID&gt;&lt;/MDL&gt;&lt;/Cite&gt;&lt;/Refman&gt;</w:instrText>
      </w:r>
      <w:r w:rsidR="00706A77" w:rsidRPr="00140622">
        <w:rPr>
          <w:sz w:val="24"/>
          <w:szCs w:val="24"/>
        </w:rPr>
        <w:fldChar w:fldCharType="separate"/>
      </w:r>
      <w:r w:rsidR="00080721">
        <w:rPr>
          <w:sz w:val="24"/>
          <w:szCs w:val="24"/>
        </w:rPr>
        <w:t>(12)</w:t>
      </w:r>
      <w:r w:rsidR="00706A77" w:rsidRPr="00140622">
        <w:rPr>
          <w:sz w:val="24"/>
          <w:szCs w:val="24"/>
        </w:rPr>
        <w:fldChar w:fldCharType="end"/>
      </w:r>
      <w:r w:rsidR="0081436C" w:rsidRPr="00140622">
        <w:rPr>
          <w:sz w:val="24"/>
          <w:szCs w:val="24"/>
        </w:rPr>
        <w:t>.  In a multi-cen</w:t>
      </w:r>
      <w:r w:rsidRPr="00140622">
        <w:rPr>
          <w:sz w:val="24"/>
          <w:szCs w:val="24"/>
        </w:rPr>
        <w:t>ter randomized trial, this agent</w:t>
      </w:r>
      <w:r w:rsidR="0081436C" w:rsidRPr="00140622">
        <w:rPr>
          <w:sz w:val="24"/>
          <w:szCs w:val="24"/>
        </w:rPr>
        <w:t xml:space="preserve"> was more effective than fluconazole (difference 6.5%, 95% CI: 0.9 – 12%) for the prevention of suspected, proven, or probable IFI during the </w:t>
      </w:r>
      <w:r w:rsidR="00B640E3" w:rsidRPr="00140622">
        <w:rPr>
          <w:sz w:val="24"/>
          <w:szCs w:val="24"/>
        </w:rPr>
        <w:t>Neutrogena</w:t>
      </w:r>
      <w:r w:rsidR="0081436C" w:rsidRPr="00140622">
        <w:rPr>
          <w:sz w:val="24"/>
          <w:szCs w:val="24"/>
        </w:rPr>
        <w:t xml:space="preserve"> period following hematopoietic stem cell transplant (HSCT)</w:t>
      </w:r>
      <w:r w:rsidR="00706A77" w:rsidRPr="00140622">
        <w:rPr>
          <w:sz w:val="24"/>
          <w:szCs w:val="24"/>
        </w:rPr>
        <w:fldChar w:fldCharType="begin"/>
      </w:r>
      <w:r w:rsidR="0053409B">
        <w:rPr>
          <w:sz w:val="24"/>
          <w:szCs w:val="24"/>
        </w:rPr>
        <w:instrText xml:space="preserve"> ADDIN REFMGR.CITE &lt;Refman&gt;&lt;Cite&gt;&lt;Author&gt;van Burik&lt;/Author&gt;&lt;Year&gt;2004&lt;/Year&gt;&lt;RecNum&gt;16&lt;/RecNum&gt;&lt;IDText&gt;Micafungin versus fluconazole for prophylaxis against invasive fungal infections during neutropenia in patients undergoing hematopoietic stem cell transplantation&lt;/IDText&gt;&lt;MDL Ref_Type="Journal"&gt;&lt;Ref_Type&gt;Journal&lt;/Ref_Type&gt;&lt;Ref_ID&gt;16&lt;/Ref_ID&gt;&lt;Title_Primary&gt;Micafungin versus fluconazole for prophylaxis against invasive fungal infections during neutropenia in patients undergoing hematopoietic stem cell transplantation&lt;/Title_Primary&gt;&lt;Authors_Primary&gt;van Burik,J.A.&lt;/Authors_Primary&gt;&lt;Authors_Primary&gt;Ratanatharathorn,V.&lt;/Authors_Primary&gt;&lt;Authors_Primary&gt;Stepan,D.E.&lt;/Authors_Primary&gt;&lt;Authors_Primary&gt;Miller,C.B.&lt;/Authors_Primary&gt;&lt;Authors_Primary&gt;Lipton,J.H.&lt;/Authors_Primary&gt;&lt;Authors_Primary&gt;Vesole,D.H.&lt;/Authors_Primary&gt;&lt;Authors_Primary&gt;Bunin,N.&lt;/Authors_Primary&gt;&lt;Authors_Primary&gt;Wall,D.A.&lt;/Authors_Primary&gt;&lt;Authors_Primary&gt;Hiemenz,J.W.&lt;/Authors_Primary&gt;&lt;Authors_Primary&gt;Satoi,Y.&lt;/Authors_Primary&gt;&lt;Authors_Primary&gt;Lee,J.M.&lt;/Authors_Primary&gt;&lt;Authors_Primary&gt;Walsh,T.J.&lt;/Authors_Primary&gt;&lt;Date_Primary&gt;2004/11/15&lt;/Date_Primary&gt;&lt;Keywords&gt;Adolescent&lt;/Keywords&gt;&lt;Keywords&gt;Adult&lt;/Keywords&gt;&lt;Keywords&gt;adverse effects&lt;/Keywords&gt;&lt;Keywords&gt;Aged&lt;/Keywords&gt;&lt;Keywords&gt;Child&lt;/Keywords&gt;&lt;Keywords&gt;Child,Preschool&lt;/Keywords&gt;&lt;Keywords&gt;complications&lt;/Keywords&gt;&lt;Keywords&gt;Double-Blind Method&lt;/Keywords&gt;&lt;Keywords&gt;etiology&lt;/Keywords&gt;&lt;Keywords&gt;Female&lt;/Keywords&gt;&lt;Keywords&gt;Fluconazole&lt;/Keywords&gt;&lt;Keywords&gt;Hematopoietic Stem Cell Transplantation&lt;/Keywords&gt;&lt;Keywords&gt;Humans&lt;/Keywords&gt;&lt;Keywords&gt;Infant&lt;/Keywords&gt;&lt;Keywords&gt;Lipoproteins&lt;/Keywords&gt;&lt;Keywords&gt;Male&lt;/Keywords&gt;&lt;Keywords&gt;Middle Aged&lt;/Keywords&gt;&lt;Keywords&gt;Mycoses&lt;/Keywords&gt;&lt;Keywords&gt;Neutropenia&lt;/Keywords&gt;&lt;Keywords&gt;Peptides,Cyclic&lt;/Keywords&gt;&lt;Keywords&gt;prevention &amp;amp; control&lt;/Keywords&gt;&lt;Keywords&gt;therapeutic use&lt;/Keywords&gt;&lt;Reprint&gt;Not in File&lt;/Reprint&gt;&lt;Start_Page&gt;1407&lt;/Start_Page&gt;&lt;End_Page&gt;1416&lt;/End_Page&gt;&lt;Periodical&gt;Clin Infect Dis&lt;/Periodical&gt;&lt;Volume&gt;39&lt;/Volume&gt;&lt;Issue&gt;10&lt;/Issue&gt;&lt;Address&gt;University of Minnesota, Minneapolis, MN, USA&lt;/Address&gt;&lt;Web_URL&gt;PM:15546073&lt;/Web_URL&gt;&lt;ZZ_JournalFull&gt;&lt;f name="System"&gt;Clinical Infectious Diseases&lt;/f&gt;&lt;/ZZ_JournalFull&gt;&lt;ZZ_JournalStdAbbrev&gt;&lt;f name="System"&gt;Clin Infect Dis&lt;/f&gt;&lt;/ZZ_JournalStdAbbrev&gt;&lt;ZZ_WorkformID&gt;1&lt;/ZZ_WorkformID&gt;&lt;/MDL&gt;&lt;/Cite&gt;&lt;/Refman&gt;</w:instrText>
      </w:r>
      <w:r w:rsidR="00706A77" w:rsidRPr="00140622">
        <w:rPr>
          <w:sz w:val="24"/>
          <w:szCs w:val="24"/>
        </w:rPr>
        <w:fldChar w:fldCharType="separate"/>
      </w:r>
      <w:r w:rsidR="00080721">
        <w:rPr>
          <w:sz w:val="24"/>
          <w:szCs w:val="24"/>
        </w:rPr>
        <w:t>(12)</w:t>
      </w:r>
      <w:r w:rsidR="00706A77" w:rsidRPr="00140622">
        <w:rPr>
          <w:sz w:val="24"/>
          <w:szCs w:val="24"/>
        </w:rPr>
        <w:fldChar w:fldCharType="end"/>
      </w:r>
      <w:r w:rsidR="0081436C" w:rsidRPr="00140622">
        <w:rPr>
          <w:sz w:val="24"/>
          <w:szCs w:val="24"/>
        </w:rPr>
        <w:t>.</w:t>
      </w:r>
      <w:r w:rsidR="00C247E9">
        <w:rPr>
          <w:sz w:val="24"/>
          <w:szCs w:val="24"/>
        </w:rPr>
        <w:t xml:space="preserve">  The drug was </w:t>
      </w:r>
      <w:r w:rsidR="00941DD9">
        <w:rPr>
          <w:sz w:val="24"/>
          <w:szCs w:val="24"/>
        </w:rPr>
        <w:t xml:space="preserve">safe and </w:t>
      </w:r>
      <w:r w:rsidRPr="00140622">
        <w:rPr>
          <w:sz w:val="24"/>
          <w:szCs w:val="24"/>
        </w:rPr>
        <w:t>well tolerated as prophylaxis</w:t>
      </w:r>
      <w:r w:rsidR="00C247E9">
        <w:rPr>
          <w:sz w:val="24"/>
          <w:szCs w:val="24"/>
        </w:rPr>
        <w:t xml:space="preserve"> in this trial</w:t>
      </w:r>
      <w:r w:rsidRPr="00140622">
        <w:rPr>
          <w:sz w:val="24"/>
          <w:szCs w:val="24"/>
        </w:rPr>
        <w:t>.</w:t>
      </w:r>
    </w:p>
    <w:p w:rsidR="00BD5BDF" w:rsidRDefault="00BD5BDF" w:rsidP="00FC1BDA">
      <w:pPr>
        <w:spacing w:line="480" w:lineRule="auto"/>
        <w:jc w:val="both"/>
        <w:rPr>
          <w:b/>
          <w:sz w:val="24"/>
          <w:szCs w:val="24"/>
        </w:rPr>
      </w:pPr>
      <w:bookmarkStart w:id="2" w:name="_Toc57126349"/>
      <w:bookmarkEnd w:id="1"/>
    </w:p>
    <w:p w:rsidR="00BD5BDF" w:rsidRDefault="007D4A19" w:rsidP="00FC1BDA">
      <w:pPr>
        <w:spacing w:line="480" w:lineRule="auto"/>
        <w:jc w:val="both"/>
        <w:rPr>
          <w:b/>
          <w:sz w:val="24"/>
          <w:szCs w:val="24"/>
        </w:rPr>
      </w:pPr>
      <w:r w:rsidRPr="00140622">
        <w:rPr>
          <w:b/>
          <w:sz w:val="24"/>
          <w:szCs w:val="24"/>
        </w:rPr>
        <w:t xml:space="preserve">Gene Expression Profiling </w:t>
      </w:r>
      <w:r w:rsidR="000F74EC">
        <w:rPr>
          <w:b/>
          <w:sz w:val="24"/>
          <w:szCs w:val="24"/>
        </w:rPr>
        <w:t>to Diagnose Infectious Diseases</w:t>
      </w:r>
    </w:p>
    <w:p w:rsidR="007D4A19" w:rsidRPr="00140622" w:rsidRDefault="007D4A19" w:rsidP="00FC1BDA">
      <w:pPr>
        <w:spacing w:line="480" w:lineRule="auto"/>
        <w:ind w:firstLine="720"/>
        <w:jc w:val="both"/>
        <w:rPr>
          <w:sz w:val="24"/>
          <w:szCs w:val="24"/>
        </w:rPr>
      </w:pPr>
      <w:r w:rsidRPr="00140622">
        <w:rPr>
          <w:sz w:val="24"/>
          <w:szCs w:val="24"/>
        </w:rPr>
        <w:lastRenderedPageBreak/>
        <w:t xml:space="preserve">The challenge for clinicians in diagnosing </w:t>
      </w:r>
      <w:r w:rsidR="00BD5BDF">
        <w:rPr>
          <w:sz w:val="24"/>
          <w:szCs w:val="24"/>
        </w:rPr>
        <w:t xml:space="preserve">IC </w:t>
      </w:r>
      <w:r w:rsidRPr="00140622">
        <w:rPr>
          <w:sz w:val="24"/>
          <w:szCs w:val="24"/>
        </w:rPr>
        <w:t>is both the delay in culture positivity as well as t</w:t>
      </w:r>
      <w:r w:rsidR="000F74EC">
        <w:rPr>
          <w:sz w:val="24"/>
          <w:szCs w:val="24"/>
        </w:rPr>
        <w:t>he relative</w:t>
      </w:r>
      <w:r w:rsidR="00BD5BDF">
        <w:rPr>
          <w:sz w:val="24"/>
          <w:szCs w:val="24"/>
        </w:rPr>
        <w:t xml:space="preserve"> insensitivity of blood cultures</w:t>
      </w:r>
      <w:r w:rsidRPr="00140622">
        <w:rPr>
          <w:sz w:val="24"/>
          <w:szCs w:val="24"/>
        </w:rPr>
        <w:t xml:space="preserve">. </w:t>
      </w:r>
      <w:r w:rsidR="00BD5BDF">
        <w:rPr>
          <w:sz w:val="24"/>
          <w:szCs w:val="24"/>
        </w:rPr>
        <w:t xml:space="preserve"> </w:t>
      </w:r>
      <w:r w:rsidRPr="00140622">
        <w:rPr>
          <w:sz w:val="24"/>
          <w:szCs w:val="24"/>
        </w:rPr>
        <w:t>The use of microarray technology to establish gene expression signatures unique to pathogens in parallel with est</w:t>
      </w:r>
      <w:r w:rsidR="00E85768">
        <w:rPr>
          <w:sz w:val="24"/>
          <w:szCs w:val="24"/>
        </w:rPr>
        <w:t xml:space="preserve">ablished techniques may help </w:t>
      </w:r>
      <w:r w:rsidR="004B4228">
        <w:rPr>
          <w:sz w:val="24"/>
          <w:szCs w:val="24"/>
        </w:rPr>
        <w:t>quickly</w:t>
      </w:r>
      <w:r w:rsidRPr="00140622">
        <w:rPr>
          <w:sz w:val="24"/>
          <w:szCs w:val="24"/>
        </w:rPr>
        <w:t xml:space="preserve"> classify the cause of patient illness. </w:t>
      </w:r>
      <w:r w:rsidR="00BD5BDF">
        <w:rPr>
          <w:sz w:val="24"/>
          <w:szCs w:val="24"/>
        </w:rPr>
        <w:t xml:space="preserve"> </w:t>
      </w:r>
      <w:r w:rsidRPr="00140622">
        <w:rPr>
          <w:sz w:val="24"/>
          <w:szCs w:val="24"/>
        </w:rPr>
        <w:t xml:space="preserve">Once the gene expression signatures are established, a rapid assay can be developed using multiplex PCR technologies. </w:t>
      </w:r>
      <w:r w:rsidR="00BD5BDF">
        <w:rPr>
          <w:sz w:val="24"/>
          <w:szCs w:val="24"/>
        </w:rPr>
        <w:t xml:space="preserve"> </w:t>
      </w:r>
      <w:r w:rsidRPr="00140622">
        <w:rPr>
          <w:sz w:val="24"/>
          <w:szCs w:val="24"/>
        </w:rPr>
        <w:t xml:space="preserve">Such an assay would be used to target antimicrobial therapy and could be a valuable adjunct to pathogen based tests such as the </w:t>
      </w:r>
      <w:r w:rsidR="00BD5BDF">
        <w:rPr>
          <w:sz w:val="24"/>
          <w:szCs w:val="24"/>
        </w:rPr>
        <w:t xml:space="preserve">BDG </w:t>
      </w:r>
      <w:r w:rsidRPr="00140622">
        <w:rPr>
          <w:sz w:val="24"/>
          <w:szCs w:val="24"/>
        </w:rPr>
        <w:t>assay.</w:t>
      </w:r>
    </w:p>
    <w:p w:rsidR="007D4A19" w:rsidRPr="00140622" w:rsidRDefault="007D4A19" w:rsidP="00FC1BDA">
      <w:pPr>
        <w:spacing w:line="480" w:lineRule="auto"/>
        <w:ind w:firstLine="720"/>
        <w:jc w:val="both"/>
        <w:rPr>
          <w:sz w:val="24"/>
          <w:szCs w:val="24"/>
        </w:rPr>
      </w:pPr>
      <w:r w:rsidRPr="00140622">
        <w:rPr>
          <w:sz w:val="24"/>
          <w:szCs w:val="24"/>
        </w:rPr>
        <w:t xml:space="preserve">There is substantial evidence that different infectious agents trigger unique gene expression </w:t>
      </w:r>
      <w:r w:rsidRPr="00140622" w:rsidDel="00D14AC0">
        <w:rPr>
          <w:sz w:val="24"/>
          <w:szCs w:val="24"/>
        </w:rPr>
        <w:t xml:space="preserve">signatures in host immune effector cells </w:t>
      </w:r>
      <w:r w:rsidR="000F74EC">
        <w:rPr>
          <w:sz w:val="24"/>
          <w:szCs w:val="24"/>
        </w:rPr>
        <w:t xml:space="preserve">both </w:t>
      </w:r>
      <w:r w:rsidRPr="00140622" w:rsidDel="00D14AC0">
        <w:rPr>
          <w:sz w:val="24"/>
          <w:szCs w:val="24"/>
        </w:rPr>
        <w:t xml:space="preserve">in vitro and in vivo. </w:t>
      </w:r>
      <w:r w:rsidRPr="00140622">
        <w:rPr>
          <w:sz w:val="24"/>
          <w:szCs w:val="24"/>
        </w:rPr>
        <w:t xml:space="preserve">Gene expression in white blood cells provides direct analysis of early host response to invasive pathogens.  Evaluation of these expression profiles provides not only a diagnostic opportunity, but </w:t>
      </w:r>
      <w:r w:rsidR="00216D21">
        <w:rPr>
          <w:sz w:val="24"/>
          <w:szCs w:val="24"/>
        </w:rPr>
        <w:t xml:space="preserve">also </w:t>
      </w:r>
      <w:r w:rsidRPr="00140622">
        <w:rPr>
          <w:sz w:val="24"/>
          <w:szCs w:val="24"/>
        </w:rPr>
        <w:t xml:space="preserve">information regarding key elements of host response to a variety of pathogen classes.  </w:t>
      </w:r>
      <w:r w:rsidRPr="00140622">
        <w:rPr>
          <w:i/>
          <w:iCs/>
          <w:sz w:val="24"/>
          <w:szCs w:val="24"/>
        </w:rPr>
        <w:t xml:space="preserve">In vitro </w:t>
      </w:r>
      <w:r w:rsidRPr="00140622">
        <w:rPr>
          <w:sz w:val="24"/>
          <w:szCs w:val="24"/>
        </w:rPr>
        <w:t xml:space="preserve">stimulation of human PBMCs with bacteria and bacterial products results in gene expression patterns that are </w:t>
      </w:r>
      <w:r w:rsidR="000F74EC">
        <w:rPr>
          <w:sz w:val="24"/>
          <w:szCs w:val="24"/>
        </w:rPr>
        <w:t xml:space="preserve">pathogen </w:t>
      </w:r>
      <w:r w:rsidR="00080721">
        <w:rPr>
          <w:sz w:val="24"/>
          <w:szCs w:val="24"/>
        </w:rPr>
        <w:t>specific</w:t>
      </w:r>
      <w:r w:rsidR="00706A77">
        <w:rPr>
          <w:sz w:val="24"/>
          <w:szCs w:val="24"/>
        </w:rPr>
        <w:fldChar w:fldCharType="begin"/>
      </w:r>
      <w:r w:rsidR="0053409B">
        <w:rPr>
          <w:sz w:val="24"/>
          <w:szCs w:val="24"/>
        </w:rPr>
        <w:instrText xml:space="preserve"> ADDIN REFMGR.CITE &lt;Refman&gt;&lt;Cite&gt;&lt;Author&gt;Boldrick&lt;/Author&gt;&lt;Year&gt;2002&lt;/Year&gt;&lt;RecNum&gt;176&lt;/RecNum&gt;&lt;IDText&gt;Stereotyped and specific gene expression programs in human innate immune responses to bacteria&amp;#xA;1&lt;/IDText&gt;&lt;MDL Ref_Type="Journal"&gt;&lt;Ref_Type&gt;Journal&lt;/Ref_Type&gt;&lt;Ref_ID&gt;176&lt;/Ref_ID&gt;&lt;Title_Primary&gt;Stereotyped and specific gene expression programs in human innate immune responses to bacteria&amp;#xA;1&lt;/Title_Primary&gt;&lt;Authors_Primary&gt;Boldrick,J.C.&lt;/Authors_Primary&gt;&lt;Authors_Primary&gt;Alizadeh,A.A.&lt;/Authors_Primary&gt;&lt;Authors_Primary&gt;Diehn,M.&lt;/Authors_Primary&gt;&lt;Authors_Primary&gt;Dudoit,S.&lt;/Authors_Primary&gt;&lt;Authors_Primary&gt;Liu,C.L.&lt;/Authors_Primary&gt;&lt;Authors_Primary&gt;Belcher,C.E.&lt;/Authors_Primary&gt;&lt;Authors_Primary&gt;Botstein,D.&lt;/Authors_Primary&gt;&lt;Authors_Primary&gt;Staudt,L.M.&lt;/Authors_Primary&gt;&lt;Authors_Primary&gt;Brown,P.O.&lt;/Authors_Primary&gt;&lt;Authors_Primary&gt;Relman,D.A.&lt;/Authors_Primary&gt;&lt;Date_Primary&gt;2002/1/22&lt;/Date_Primary&gt;&lt;Keywords&gt;administration &amp;amp; dosage&lt;/Keywords&gt;&lt;Keywords&gt;Bacteria&lt;/Keywords&gt;&lt;Keywords&gt;Bacterial Toxins&lt;/Keywords&gt;&lt;Keywords&gt;blood&lt;/Keywords&gt;&lt;Keywords&gt;Bordetella pertussis&lt;/Keywords&gt;&lt;Keywords&gt;Dose-Response Relationship,Immunologic&lt;/Keywords&gt;&lt;Keywords&gt;drug effects&lt;/Keywords&gt;&lt;Keywords&gt;Escherichia coli&lt;/Keywords&gt;&lt;Keywords&gt;Gene Expression&lt;/Keywords&gt;&lt;Keywords&gt;Gene Expression Profiling&lt;/Keywords&gt;&lt;Keywords&gt;genetics&lt;/Keywords&gt;&lt;Keywords&gt;Humans&lt;/Keywords&gt;&lt;Keywords&gt;Immunity&lt;/Keywords&gt;&lt;Keywords&gt;immunology&lt;/Keywords&gt;&lt;Keywords&gt;Infection&lt;/Keywords&gt;&lt;Keywords&gt;Leukocytes,Mononuclear&lt;/Keywords&gt;&lt;Keywords&gt;Lipopolysaccharides&lt;/Keywords&gt;&lt;Keywords&gt;microbiology&lt;/Keywords&gt;&lt;Keywords&gt;Oligonucleotide Array Sequence Analysis&lt;/Keywords&gt;&lt;Keywords&gt;pathogenicity&lt;/Keywords&gt;&lt;Keywords&gt;Staphylococcus aureus&lt;/Keywords&gt;&lt;Keywords&gt;toxicity&lt;/Keywords&gt;&lt;Keywords&gt;Virulence&lt;/Keywords&gt;&lt;Reprint&gt;Not in File&lt;/Reprint&gt;&lt;Start_Page&gt;972&lt;/Start_Page&gt;&lt;End_Page&gt;977&lt;/End_Page&gt;&lt;Periodical&gt;Proc.Natl.Acad.Sci.U.S.A&lt;/Periodical&gt;&lt;Volume&gt;99&lt;/Volume&gt;&lt;Issue&gt;2&lt;/Issue&gt;&lt;Address&gt;Department of Microbiology and Immunology, Stanford University School of Medicine, Stanford, CA 94305, USA&lt;/Address&gt;&lt;Web_URL&gt;PM:11805339&lt;/Web_URL&gt;&lt;ZZ_JournalStdAbbrev&gt;&lt;f name="System"&gt;Proc.Natl.Acad.Sci.U.S.A&lt;/f&gt;&lt;/ZZ_JournalStdAbbrev&gt;&lt;ZZ_WorkformID&gt;1&lt;/ZZ_WorkformID&gt;&lt;/MDL&gt;&lt;/Cite&gt;&lt;/Refman&gt;</w:instrText>
      </w:r>
      <w:r w:rsidR="00706A77">
        <w:rPr>
          <w:sz w:val="24"/>
          <w:szCs w:val="24"/>
        </w:rPr>
        <w:fldChar w:fldCharType="separate"/>
      </w:r>
      <w:r w:rsidR="00080721">
        <w:rPr>
          <w:sz w:val="24"/>
          <w:szCs w:val="24"/>
        </w:rPr>
        <w:t>(23)</w:t>
      </w:r>
      <w:r w:rsidR="00706A77">
        <w:rPr>
          <w:sz w:val="24"/>
          <w:szCs w:val="24"/>
        </w:rPr>
        <w:fldChar w:fldCharType="end"/>
      </w:r>
      <w:r w:rsidRPr="00140622">
        <w:rPr>
          <w:sz w:val="24"/>
          <w:szCs w:val="24"/>
        </w:rPr>
        <w:t xml:space="preserve">.  Members of our research group have identified gene expression signatures that can differentiate between typhus and </w:t>
      </w:r>
      <w:proofErr w:type="spellStart"/>
      <w:r w:rsidRPr="00140622">
        <w:rPr>
          <w:sz w:val="24"/>
          <w:szCs w:val="24"/>
        </w:rPr>
        <w:t>paratyphus</w:t>
      </w:r>
      <w:proofErr w:type="spellEnd"/>
      <w:r w:rsidRPr="00140622">
        <w:rPr>
          <w:sz w:val="24"/>
          <w:szCs w:val="24"/>
        </w:rPr>
        <w:t xml:space="preserve"> infections that cause a febrile illness that is otherwise clinically indistinguishable using </w:t>
      </w:r>
      <w:r w:rsidRPr="00140622" w:rsidDel="00D14AC0">
        <w:rPr>
          <w:sz w:val="24"/>
          <w:szCs w:val="24"/>
        </w:rPr>
        <w:t xml:space="preserve">a </w:t>
      </w:r>
      <w:r w:rsidRPr="00140622">
        <w:rPr>
          <w:sz w:val="24"/>
          <w:szCs w:val="24"/>
        </w:rPr>
        <w:t>well-characterized Nepalese cohort</w:t>
      </w:r>
      <w:r w:rsidR="00B20A15" w:rsidRPr="00140622">
        <w:rPr>
          <w:sz w:val="24"/>
          <w:szCs w:val="24"/>
        </w:rPr>
        <w:t xml:space="preserve"> (unpublished data)</w:t>
      </w:r>
      <w:r w:rsidRPr="00140622">
        <w:rPr>
          <w:sz w:val="24"/>
          <w:szCs w:val="24"/>
        </w:rPr>
        <w:t xml:space="preserve">. </w:t>
      </w:r>
      <w:r w:rsidR="00BD5BDF">
        <w:rPr>
          <w:sz w:val="24"/>
          <w:szCs w:val="24"/>
        </w:rPr>
        <w:t xml:space="preserve"> </w:t>
      </w:r>
      <w:r w:rsidR="00216D21" w:rsidRPr="00140622">
        <w:rPr>
          <w:sz w:val="24"/>
          <w:szCs w:val="24"/>
        </w:rPr>
        <w:t>Researchers have also described gene expression patterns associate</w:t>
      </w:r>
      <w:r w:rsidR="00080721">
        <w:rPr>
          <w:sz w:val="24"/>
          <w:szCs w:val="24"/>
        </w:rPr>
        <w:t>d with viral</w:t>
      </w:r>
      <w:r w:rsidR="00706A77">
        <w:rPr>
          <w:sz w:val="24"/>
          <w:szCs w:val="24"/>
        </w:rPr>
        <w:fldChar w:fldCharType="begin"/>
      </w:r>
      <w:r w:rsidR="0053409B">
        <w:rPr>
          <w:sz w:val="24"/>
          <w:szCs w:val="24"/>
        </w:rPr>
        <w:instrText xml:space="preserve"> ADDIN REFMGR.CITE &lt;Refman&gt;&lt;Cite&gt;&lt;Author&gt;Kawada&lt;/Author&gt;&lt;Year&gt;2006&lt;/Year&gt;&lt;RecNum&gt;175&lt;/RecNum&gt;&lt;IDText&gt;Analysis of gene-expression profiles by oligonucleotide microarray in children with influenza&amp;#xA;1&lt;/IDText&gt;&lt;MDL Ref_Type="Journal"&gt;&lt;Ref_Type&gt;Journal&lt;/Ref_Type&gt;&lt;Ref_ID&gt;175&lt;/Ref_ID&gt;&lt;Title_Primary&gt;Analysis of gene-expression profiles by oligonucleotide microarray in children with influenza&amp;#xA;1&lt;/Title_Primary&gt;&lt;Authors_Primary&gt;Kawada,J.&lt;/Authors_Primary&gt;&lt;Authors_Primary&gt;Kimura,H.&lt;/Authors_Primary&gt;&lt;Authors_Primary&gt;Kamachi,Y.&lt;/Authors_Primary&gt;&lt;Authors_Primary&gt;Nishikawa,K.&lt;/Authors_Primary&gt;&lt;Authors_Primary&gt;Taniguchi,M.&lt;/Authors_Primary&gt;&lt;Authors_Primary&gt;Nagaoka,K.&lt;/Authors_Primary&gt;&lt;Authors_Primary&gt;Kurahashi,H.&lt;/Authors_Primary&gt;&lt;Authors_Primary&gt;Kojima,S.&lt;/Authors_Primary&gt;&lt;Authors_Primary&gt;Morishima,T.&lt;/Authors_Primary&gt;&lt;Date_Primary&gt;2006/6&lt;/Date_Primary&gt;&lt;Keywords&gt;Acute Disease&lt;/Keywords&gt;&lt;Keywords&gt;analysis&lt;/Keywords&gt;&lt;Keywords&gt;blood&lt;/Keywords&gt;&lt;Keywords&gt;Child,Preschool&lt;/Keywords&gt;&lt;Keywords&gt;complications&lt;/Keywords&gt;&lt;Keywords&gt;Convalescence&lt;/Keywords&gt;&lt;Keywords&gt;Gene Expression Profiling&lt;/Keywords&gt;&lt;Keywords&gt;Gene Expression Regulation&lt;/Keywords&gt;&lt;Keywords&gt;genetics&lt;/Keywords&gt;&lt;Keywords&gt;Humans&lt;/Keywords&gt;&lt;Keywords&gt;Infant&lt;/Keywords&gt;&lt;Keywords&gt;Influenza A Virus,H3N2 Subtype&lt;/Keywords&gt;&lt;Keywords&gt;Influenza,Human&lt;/Keywords&gt;&lt;Keywords&gt;metabolism&lt;/Keywords&gt;&lt;Keywords&gt;methods&lt;/Keywords&gt;&lt;Keywords&gt;Oligonucleotide Array Sequence Analysis&lt;/Keywords&gt;&lt;Keywords&gt;pathogenicity&lt;/Keywords&gt;&lt;Keywords&gt;physiopathology&lt;/Keywords&gt;&lt;Keywords&gt;Proteins&lt;/Keywords&gt;&lt;Keywords&gt;Seizures,Febrile&lt;/Keywords&gt;&lt;Keywords&gt;virology&lt;/Keywords&gt;&lt;Reprint&gt;Not in File&lt;/Reprint&gt;&lt;Start_Page&gt;1677&lt;/Start_Page&gt;&lt;End_Page&gt;1683&lt;/End_Page&gt;&lt;Periodical&gt;J Gen.Virol.&lt;/Periodical&gt;&lt;Volume&gt;87&lt;/Volume&gt;&lt;Issue&gt;Pt 6&lt;/Issue&gt;&lt;Address&gt;Department of Pediatrics, Nagoya University Graduate School of Medicine, Nagoya, Japan&lt;/Address&gt;&lt;Web_URL&gt;PM:16690933&lt;/Web_URL&gt;&lt;ZZ_JournalStdAbbrev&gt;&lt;f name="System"&gt;J Gen.Virol.&lt;/f&gt;&lt;/ZZ_JournalStdAbbrev&gt;&lt;ZZ_WorkformID&gt;1&lt;/ZZ_WorkformID&gt;&lt;/MDL&gt;&lt;/Cite&gt;&lt;/Refman&gt;</w:instrText>
      </w:r>
      <w:r w:rsidR="00706A77">
        <w:rPr>
          <w:sz w:val="24"/>
          <w:szCs w:val="24"/>
        </w:rPr>
        <w:fldChar w:fldCharType="separate"/>
      </w:r>
      <w:r w:rsidR="00080721">
        <w:rPr>
          <w:sz w:val="24"/>
          <w:szCs w:val="24"/>
        </w:rPr>
        <w:t>(24)</w:t>
      </w:r>
      <w:r w:rsidR="00706A77">
        <w:rPr>
          <w:sz w:val="24"/>
          <w:szCs w:val="24"/>
        </w:rPr>
        <w:fldChar w:fldCharType="end"/>
      </w:r>
      <w:r w:rsidR="00216D21" w:rsidRPr="00140622">
        <w:rPr>
          <w:sz w:val="24"/>
          <w:szCs w:val="24"/>
        </w:rPr>
        <w:t xml:space="preserve"> </w:t>
      </w:r>
      <w:r w:rsidR="00080721">
        <w:rPr>
          <w:sz w:val="24"/>
          <w:szCs w:val="24"/>
        </w:rPr>
        <w:t>and fungal</w:t>
      </w:r>
      <w:r w:rsidR="00216D21" w:rsidRPr="00140622">
        <w:rPr>
          <w:sz w:val="24"/>
          <w:szCs w:val="24"/>
        </w:rPr>
        <w:t xml:space="preserve"> infections. </w:t>
      </w:r>
      <w:r w:rsidR="00216D21">
        <w:rPr>
          <w:sz w:val="24"/>
          <w:szCs w:val="24"/>
        </w:rPr>
        <w:t xml:space="preserve"> </w:t>
      </w:r>
      <w:r w:rsidRPr="00140622">
        <w:rPr>
          <w:sz w:val="24"/>
          <w:szCs w:val="24"/>
        </w:rPr>
        <w:t xml:space="preserve">These studies </w:t>
      </w:r>
      <w:r w:rsidRPr="00140622" w:rsidDel="00D14AC0">
        <w:rPr>
          <w:sz w:val="24"/>
          <w:szCs w:val="24"/>
        </w:rPr>
        <w:t xml:space="preserve">support the </w:t>
      </w:r>
      <w:r w:rsidRPr="00140622">
        <w:rPr>
          <w:sz w:val="24"/>
          <w:szCs w:val="24"/>
        </w:rPr>
        <w:t>concept that identification of global changes in the gene expression patterns of PBMCs can be used to differentiate between major infectious causes of illness</w:t>
      </w:r>
      <w:r w:rsidR="00216D21">
        <w:rPr>
          <w:sz w:val="24"/>
          <w:szCs w:val="24"/>
        </w:rPr>
        <w:t xml:space="preserve"> and can provide clinically meaningful classification</w:t>
      </w:r>
      <w:r w:rsidRPr="00140622">
        <w:rPr>
          <w:sz w:val="24"/>
          <w:szCs w:val="24"/>
        </w:rPr>
        <w:t xml:space="preserve"> of pathogens in patients.  </w:t>
      </w:r>
    </w:p>
    <w:p w:rsidR="009E346E" w:rsidRDefault="009E346E" w:rsidP="00FC1BDA">
      <w:pPr>
        <w:spacing w:before="0" w:after="0" w:line="480" w:lineRule="auto"/>
        <w:jc w:val="both"/>
        <w:rPr>
          <w:b/>
          <w:sz w:val="24"/>
          <w:szCs w:val="24"/>
        </w:rPr>
      </w:pPr>
    </w:p>
    <w:p w:rsidR="005624FD" w:rsidRDefault="005624FD" w:rsidP="00FC1BDA">
      <w:pPr>
        <w:spacing w:before="0" w:after="0" w:line="480" w:lineRule="auto"/>
        <w:jc w:val="both"/>
        <w:rPr>
          <w:b/>
          <w:sz w:val="24"/>
          <w:szCs w:val="24"/>
        </w:rPr>
      </w:pPr>
    </w:p>
    <w:p w:rsidR="005624FD" w:rsidRPr="00140622" w:rsidRDefault="005624FD" w:rsidP="00FC1BDA">
      <w:pPr>
        <w:spacing w:before="0" w:after="0" w:line="480" w:lineRule="auto"/>
        <w:jc w:val="both"/>
        <w:rPr>
          <w:b/>
          <w:sz w:val="24"/>
          <w:szCs w:val="24"/>
        </w:rPr>
      </w:pPr>
    </w:p>
    <w:p w:rsidR="00002774" w:rsidRPr="00140622" w:rsidRDefault="00FC67D5" w:rsidP="00FC1BDA">
      <w:pPr>
        <w:spacing w:before="0" w:after="0" w:line="480" w:lineRule="auto"/>
        <w:jc w:val="both"/>
        <w:rPr>
          <w:sz w:val="24"/>
          <w:szCs w:val="24"/>
        </w:rPr>
      </w:pPr>
      <w:r w:rsidRPr="00140622">
        <w:rPr>
          <w:b/>
          <w:sz w:val="24"/>
          <w:szCs w:val="24"/>
        </w:rPr>
        <w:lastRenderedPageBreak/>
        <w:t>STUDY</w:t>
      </w:r>
      <w:r w:rsidR="00002774" w:rsidRPr="00140622">
        <w:rPr>
          <w:b/>
          <w:sz w:val="24"/>
          <w:szCs w:val="24"/>
        </w:rPr>
        <w:t xml:space="preserve"> OBJECTIVES </w:t>
      </w:r>
      <w:bookmarkEnd w:id="2"/>
    </w:p>
    <w:p w:rsidR="00976575" w:rsidRPr="00140622" w:rsidRDefault="005E5884" w:rsidP="00FC1BDA">
      <w:pPr>
        <w:spacing w:before="0" w:after="0" w:line="480" w:lineRule="auto"/>
        <w:ind w:firstLine="720"/>
        <w:jc w:val="both"/>
        <w:rPr>
          <w:sz w:val="24"/>
          <w:szCs w:val="24"/>
        </w:rPr>
      </w:pPr>
      <w:r w:rsidRPr="00140622">
        <w:rPr>
          <w:sz w:val="24"/>
          <w:szCs w:val="24"/>
        </w:rPr>
        <w:t xml:space="preserve">The main goal of this </w:t>
      </w:r>
      <w:r w:rsidR="0081436C" w:rsidRPr="00140622">
        <w:rPr>
          <w:sz w:val="24"/>
          <w:szCs w:val="24"/>
        </w:rPr>
        <w:t xml:space="preserve">study </w:t>
      </w:r>
      <w:r w:rsidRPr="00140622">
        <w:rPr>
          <w:sz w:val="24"/>
          <w:szCs w:val="24"/>
        </w:rPr>
        <w:t xml:space="preserve">is to </w:t>
      </w:r>
      <w:r w:rsidR="00E56DCB" w:rsidRPr="00140622">
        <w:rPr>
          <w:sz w:val="24"/>
          <w:szCs w:val="24"/>
        </w:rPr>
        <w:t xml:space="preserve">evaluate the </w:t>
      </w:r>
      <w:r w:rsidR="005B0204" w:rsidRPr="00140622">
        <w:rPr>
          <w:sz w:val="24"/>
          <w:szCs w:val="24"/>
        </w:rPr>
        <w:t xml:space="preserve">feasibility </w:t>
      </w:r>
      <w:r w:rsidR="009E346E" w:rsidRPr="00140622">
        <w:rPr>
          <w:sz w:val="24"/>
          <w:szCs w:val="24"/>
        </w:rPr>
        <w:t>and safety</w:t>
      </w:r>
      <w:r w:rsidR="00411629" w:rsidRPr="00140622">
        <w:rPr>
          <w:sz w:val="24"/>
          <w:szCs w:val="24"/>
        </w:rPr>
        <w:t xml:space="preserve"> </w:t>
      </w:r>
      <w:r w:rsidR="006F6E65" w:rsidRPr="00140622">
        <w:rPr>
          <w:sz w:val="24"/>
          <w:szCs w:val="24"/>
        </w:rPr>
        <w:t xml:space="preserve">of a </w:t>
      </w:r>
      <w:r w:rsidRPr="00140622">
        <w:rPr>
          <w:sz w:val="24"/>
          <w:szCs w:val="24"/>
        </w:rPr>
        <w:t>pre</w:t>
      </w:r>
      <w:r w:rsidR="00E56DCB" w:rsidRPr="00140622">
        <w:rPr>
          <w:sz w:val="24"/>
          <w:szCs w:val="24"/>
        </w:rPr>
        <w:t xml:space="preserve">emptive </w:t>
      </w:r>
      <w:r w:rsidR="006F6E65" w:rsidRPr="00140622">
        <w:rPr>
          <w:sz w:val="24"/>
          <w:szCs w:val="24"/>
        </w:rPr>
        <w:t xml:space="preserve">antifungal </w:t>
      </w:r>
      <w:r w:rsidRPr="00140622">
        <w:rPr>
          <w:sz w:val="24"/>
          <w:szCs w:val="24"/>
        </w:rPr>
        <w:t xml:space="preserve">treatment </w:t>
      </w:r>
      <w:r w:rsidR="006F6E65" w:rsidRPr="00140622">
        <w:rPr>
          <w:sz w:val="24"/>
          <w:szCs w:val="24"/>
        </w:rPr>
        <w:t>strategy</w:t>
      </w:r>
      <w:r w:rsidR="0081436C" w:rsidRPr="00140622">
        <w:rPr>
          <w:sz w:val="24"/>
          <w:szCs w:val="24"/>
        </w:rPr>
        <w:t>,</w:t>
      </w:r>
      <w:r w:rsidR="006F6E65" w:rsidRPr="00140622">
        <w:rPr>
          <w:sz w:val="24"/>
          <w:szCs w:val="24"/>
        </w:rPr>
        <w:t xml:space="preserve"> </w:t>
      </w:r>
      <w:r w:rsidRPr="00140622">
        <w:rPr>
          <w:sz w:val="24"/>
          <w:szCs w:val="24"/>
        </w:rPr>
        <w:t>incorporating twice weekly BDG testing</w:t>
      </w:r>
      <w:r w:rsidR="003C256E" w:rsidRPr="00140622">
        <w:rPr>
          <w:sz w:val="24"/>
          <w:szCs w:val="24"/>
        </w:rPr>
        <w:t>,</w:t>
      </w:r>
      <w:r w:rsidRPr="00140622">
        <w:rPr>
          <w:sz w:val="24"/>
          <w:szCs w:val="24"/>
        </w:rPr>
        <w:t xml:space="preserve"> </w:t>
      </w:r>
      <w:r w:rsidR="006F6E65" w:rsidRPr="00140622">
        <w:rPr>
          <w:sz w:val="24"/>
          <w:szCs w:val="24"/>
        </w:rPr>
        <w:t xml:space="preserve">as </w:t>
      </w:r>
      <w:r w:rsidR="00E56DCB" w:rsidRPr="00140622">
        <w:rPr>
          <w:sz w:val="24"/>
          <w:szCs w:val="24"/>
        </w:rPr>
        <w:t xml:space="preserve">compared </w:t>
      </w:r>
      <w:r w:rsidR="005B0204" w:rsidRPr="00140622">
        <w:rPr>
          <w:sz w:val="24"/>
          <w:szCs w:val="24"/>
        </w:rPr>
        <w:t>to</w:t>
      </w:r>
      <w:r w:rsidR="00E56DCB" w:rsidRPr="00140622">
        <w:rPr>
          <w:sz w:val="24"/>
          <w:szCs w:val="24"/>
        </w:rPr>
        <w:t xml:space="preserve"> an</w:t>
      </w:r>
      <w:r w:rsidR="006F6E65" w:rsidRPr="00140622">
        <w:rPr>
          <w:sz w:val="24"/>
          <w:szCs w:val="24"/>
        </w:rPr>
        <w:t xml:space="preserve"> empiric approach </w:t>
      </w:r>
      <w:r w:rsidRPr="00140622">
        <w:rPr>
          <w:sz w:val="24"/>
          <w:szCs w:val="24"/>
        </w:rPr>
        <w:t>(standard care)</w:t>
      </w:r>
      <w:r w:rsidR="003C256E" w:rsidRPr="00140622">
        <w:rPr>
          <w:sz w:val="24"/>
          <w:szCs w:val="24"/>
        </w:rPr>
        <w:t xml:space="preserve"> </w:t>
      </w:r>
      <w:r w:rsidRPr="00140622">
        <w:rPr>
          <w:sz w:val="24"/>
          <w:szCs w:val="24"/>
        </w:rPr>
        <w:t>for</w:t>
      </w:r>
      <w:r w:rsidR="006F6E65" w:rsidRPr="00140622">
        <w:rPr>
          <w:sz w:val="24"/>
          <w:szCs w:val="24"/>
        </w:rPr>
        <w:t xml:space="preserve"> </w:t>
      </w:r>
      <w:r w:rsidRPr="00140622">
        <w:rPr>
          <w:sz w:val="24"/>
          <w:szCs w:val="24"/>
        </w:rPr>
        <w:t xml:space="preserve">the </w:t>
      </w:r>
      <w:r w:rsidR="006F6E65" w:rsidRPr="00140622">
        <w:rPr>
          <w:sz w:val="24"/>
          <w:szCs w:val="24"/>
        </w:rPr>
        <w:t xml:space="preserve">management </w:t>
      </w:r>
      <w:r w:rsidRPr="00140622">
        <w:rPr>
          <w:sz w:val="24"/>
          <w:szCs w:val="24"/>
        </w:rPr>
        <w:t xml:space="preserve">of IC </w:t>
      </w:r>
      <w:r w:rsidR="006F6E65" w:rsidRPr="00140622">
        <w:rPr>
          <w:sz w:val="24"/>
          <w:szCs w:val="24"/>
        </w:rPr>
        <w:t xml:space="preserve">in </w:t>
      </w:r>
      <w:r w:rsidR="0081436C" w:rsidRPr="00140622">
        <w:rPr>
          <w:sz w:val="24"/>
          <w:szCs w:val="24"/>
        </w:rPr>
        <w:t xml:space="preserve">at-risk </w:t>
      </w:r>
      <w:r w:rsidR="006F6E65" w:rsidRPr="00140622">
        <w:rPr>
          <w:sz w:val="24"/>
          <w:szCs w:val="24"/>
        </w:rPr>
        <w:t xml:space="preserve">adult </w:t>
      </w:r>
      <w:r w:rsidR="003C256E" w:rsidRPr="00140622">
        <w:rPr>
          <w:sz w:val="24"/>
          <w:szCs w:val="24"/>
        </w:rPr>
        <w:t>SICU</w:t>
      </w:r>
      <w:r w:rsidR="001F1915" w:rsidRPr="00140622">
        <w:rPr>
          <w:sz w:val="24"/>
          <w:szCs w:val="24"/>
        </w:rPr>
        <w:t xml:space="preserve"> </w:t>
      </w:r>
      <w:r w:rsidR="00E56DCB" w:rsidRPr="00140622">
        <w:rPr>
          <w:sz w:val="24"/>
          <w:szCs w:val="24"/>
        </w:rPr>
        <w:t>patients</w:t>
      </w:r>
      <w:r w:rsidR="005B0204" w:rsidRPr="00140622">
        <w:rPr>
          <w:sz w:val="24"/>
          <w:szCs w:val="24"/>
        </w:rPr>
        <w:t>.</w:t>
      </w:r>
    </w:p>
    <w:p w:rsidR="00976575" w:rsidRPr="00140622" w:rsidRDefault="00976575" w:rsidP="00FC1BDA">
      <w:pPr>
        <w:spacing w:before="0" w:after="0" w:line="480" w:lineRule="auto"/>
        <w:jc w:val="both"/>
        <w:rPr>
          <w:sz w:val="24"/>
          <w:szCs w:val="24"/>
        </w:rPr>
      </w:pPr>
    </w:p>
    <w:p w:rsidR="00002774" w:rsidRPr="00140622" w:rsidRDefault="00002774" w:rsidP="00FC1BDA">
      <w:pPr>
        <w:spacing w:before="0" w:after="0" w:line="480" w:lineRule="auto"/>
        <w:jc w:val="both"/>
        <w:rPr>
          <w:sz w:val="24"/>
          <w:szCs w:val="24"/>
        </w:rPr>
      </w:pPr>
      <w:r w:rsidRPr="00140622">
        <w:rPr>
          <w:b/>
          <w:sz w:val="24"/>
          <w:szCs w:val="24"/>
        </w:rPr>
        <w:t>P</w:t>
      </w:r>
      <w:r w:rsidR="009E0F29" w:rsidRPr="00140622">
        <w:rPr>
          <w:b/>
          <w:sz w:val="24"/>
          <w:szCs w:val="24"/>
        </w:rPr>
        <w:t>rimary Objectives</w:t>
      </w:r>
    </w:p>
    <w:p w:rsidR="001F1915" w:rsidRPr="00140622" w:rsidRDefault="00803E4F" w:rsidP="00FC1BDA">
      <w:pPr>
        <w:numPr>
          <w:ilvl w:val="0"/>
          <w:numId w:val="18"/>
        </w:numPr>
        <w:spacing w:before="0" w:after="0" w:line="480" w:lineRule="auto"/>
        <w:jc w:val="both"/>
        <w:rPr>
          <w:bCs/>
          <w:sz w:val="24"/>
          <w:szCs w:val="24"/>
        </w:rPr>
      </w:pPr>
      <w:r w:rsidRPr="00140622">
        <w:rPr>
          <w:bCs/>
          <w:sz w:val="24"/>
          <w:szCs w:val="24"/>
        </w:rPr>
        <w:t xml:space="preserve">Determine the feasibility of </w:t>
      </w:r>
      <w:r w:rsidR="001F1915" w:rsidRPr="00140622">
        <w:rPr>
          <w:bCs/>
          <w:sz w:val="24"/>
          <w:szCs w:val="24"/>
        </w:rPr>
        <w:t>p</w:t>
      </w:r>
      <w:r w:rsidRPr="00140622">
        <w:rPr>
          <w:bCs/>
          <w:sz w:val="24"/>
          <w:szCs w:val="24"/>
        </w:rPr>
        <w:t xml:space="preserve">reemptive antifungal treatment </w:t>
      </w:r>
      <w:r w:rsidR="001F1915" w:rsidRPr="00140622">
        <w:rPr>
          <w:bCs/>
          <w:sz w:val="24"/>
          <w:szCs w:val="24"/>
        </w:rPr>
        <w:t>in an academic SICU setting</w:t>
      </w:r>
    </w:p>
    <w:p w:rsidR="001F1915" w:rsidRPr="00140622" w:rsidRDefault="001F1915" w:rsidP="00FC1BDA">
      <w:pPr>
        <w:numPr>
          <w:ilvl w:val="0"/>
          <w:numId w:val="18"/>
        </w:numPr>
        <w:spacing w:before="0" w:after="0" w:line="480" w:lineRule="auto"/>
        <w:jc w:val="both"/>
        <w:rPr>
          <w:bCs/>
          <w:sz w:val="24"/>
          <w:szCs w:val="24"/>
        </w:rPr>
      </w:pPr>
      <w:r w:rsidRPr="00140622">
        <w:rPr>
          <w:bCs/>
          <w:sz w:val="24"/>
          <w:szCs w:val="24"/>
        </w:rPr>
        <w:t xml:space="preserve">Define </w:t>
      </w:r>
      <w:r w:rsidR="005E5884" w:rsidRPr="00140622">
        <w:rPr>
          <w:bCs/>
          <w:sz w:val="24"/>
          <w:szCs w:val="24"/>
        </w:rPr>
        <w:t>β-D-</w:t>
      </w:r>
      <w:proofErr w:type="spellStart"/>
      <w:r w:rsidR="005E5884" w:rsidRPr="00140622">
        <w:rPr>
          <w:bCs/>
          <w:sz w:val="24"/>
          <w:szCs w:val="24"/>
        </w:rPr>
        <w:t>glucan</w:t>
      </w:r>
      <w:proofErr w:type="spellEnd"/>
      <w:r w:rsidR="005E5884" w:rsidRPr="00140622">
        <w:rPr>
          <w:bCs/>
          <w:sz w:val="24"/>
          <w:szCs w:val="24"/>
        </w:rPr>
        <w:t xml:space="preserve"> </w:t>
      </w:r>
      <w:r w:rsidR="0081436C" w:rsidRPr="00140622">
        <w:rPr>
          <w:bCs/>
          <w:sz w:val="24"/>
          <w:szCs w:val="24"/>
        </w:rPr>
        <w:t xml:space="preserve">test </w:t>
      </w:r>
      <w:r w:rsidR="005E5884" w:rsidRPr="00140622">
        <w:rPr>
          <w:bCs/>
          <w:sz w:val="24"/>
          <w:szCs w:val="24"/>
        </w:rPr>
        <w:t xml:space="preserve">performance </w:t>
      </w:r>
      <w:r w:rsidR="00D614C5">
        <w:rPr>
          <w:bCs/>
          <w:sz w:val="24"/>
          <w:szCs w:val="24"/>
        </w:rPr>
        <w:t>in the Duke</w:t>
      </w:r>
      <w:r w:rsidRPr="00140622">
        <w:rPr>
          <w:bCs/>
          <w:sz w:val="24"/>
          <w:szCs w:val="24"/>
        </w:rPr>
        <w:t xml:space="preserve"> SICU patient population</w:t>
      </w:r>
    </w:p>
    <w:p w:rsidR="008F4332" w:rsidRPr="00140622" w:rsidRDefault="005E5884" w:rsidP="00FC1BDA">
      <w:pPr>
        <w:numPr>
          <w:ilvl w:val="0"/>
          <w:numId w:val="18"/>
        </w:numPr>
        <w:spacing w:before="0" w:after="0" w:line="480" w:lineRule="auto"/>
        <w:jc w:val="both"/>
        <w:rPr>
          <w:bCs/>
          <w:sz w:val="24"/>
          <w:szCs w:val="24"/>
        </w:rPr>
      </w:pPr>
      <w:r w:rsidRPr="00140622">
        <w:rPr>
          <w:bCs/>
          <w:sz w:val="24"/>
          <w:szCs w:val="24"/>
        </w:rPr>
        <w:t>Evaluate</w:t>
      </w:r>
      <w:r w:rsidR="001F1915" w:rsidRPr="00140622">
        <w:rPr>
          <w:bCs/>
          <w:sz w:val="24"/>
          <w:szCs w:val="24"/>
        </w:rPr>
        <w:t xml:space="preserve"> the safety </w:t>
      </w:r>
      <w:r w:rsidR="009E346E" w:rsidRPr="00140622">
        <w:rPr>
          <w:bCs/>
          <w:sz w:val="24"/>
          <w:szCs w:val="24"/>
        </w:rPr>
        <w:t xml:space="preserve">and tolerability of preemptive </w:t>
      </w:r>
      <w:proofErr w:type="spellStart"/>
      <w:r w:rsidR="009E346E" w:rsidRPr="00140622">
        <w:rPr>
          <w:bCs/>
          <w:sz w:val="24"/>
          <w:szCs w:val="24"/>
        </w:rPr>
        <w:t>a</w:t>
      </w:r>
      <w:r w:rsidR="001F1915" w:rsidRPr="00140622">
        <w:rPr>
          <w:bCs/>
          <w:sz w:val="24"/>
          <w:szCs w:val="24"/>
        </w:rPr>
        <w:t>nidulafungin</w:t>
      </w:r>
      <w:proofErr w:type="spellEnd"/>
    </w:p>
    <w:p w:rsidR="00002774" w:rsidRPr="00140622" w:rsidRDefault="00002774" w:rsidP="00FC1BDA">
      <w:pPr>
        <w:spacing w:before="0" w:after="0" w:line="480" w:lineRule="auto"/>
        <w:jc w:val="both"/>
        <w:rPr>
          <w:sz w:val="24"/>
          <w:szCs w:val="24"/>
        </w:rPr>
      </w:pPr>
      <w:r w:rsidRPr="00140622">
        <w:rPr>
          <w:b/>
          <w:sz w:val="24"/>
          <w:szCs w:val="24"/>
        </w:rPr>
        <w:t>S</w:t>
      </w:r>
      <w:r w:rsidR="009E0F29" w:rsidRPr="00140622">
        <w:rPr>
          <w:b/>
          <w:sz w:val="24"/>
          <w:szCs w:val="24"/>
        </w:rPr>
        <w:t>econdary Objectives</w:t>
      </w:r>
      <w:r w:rsidRPr="00140622">
        <w:rPr>
          <w:sz w:val="24"/>
          <w:szCs w:val="24"/>
        </w:rPr>
        <w:t xml:space="preserve"> </w:t>
      </w:r>
    </w:p>
    <w:p w:rsidR="00803E4F" w:rsidRPr="00140622" w:rsidRDefault="005E5884" w:rsidP="00FC1BDA">
      <w:pPr>
        <w:numPr>
          <w:ilvl w:val="0"/>
          <w:numId w:val="19"/>
        </w:numPr>
        <w:tabs>
          <w:tab w:val="left" w:pos="2895"/>
          <w:tab w:val="left" w:pos="5775"/>
          <w:tab w:val="left" w:pos="8640"/>
        </w:tabs>
        <w:spacing w:before="0" w:after="0" w:line="480" w:lineRule="auto"/>
        <w:jc w:val="both"/>
        <w:rPr>
          <w:bCs/>
          <w:sz w:val="24"/>
          <w:szCs w:val="24"/>
        </w:rPr>
      </w:pPr>
      <w:r w:rsidRPr="00140622">
        <w:rPr>
          <w:bCs/>
          <w:sz w:val="24"/>
          <w:szCs w:val="24"/>
        </w:rPr>
        <w:t xml:space="preserve">Compare the prevalence of IC </w:t>
      </w:r>
      <w:r w:rsidR="00803E4F" w:rsidRPr="00140622">
        <w:rPr>
          <w:bCs/>
          <w:sz w:val="24"/>
          <w:szCs w:val="24"/>
        </w:rPr>
        <w:t>between treatment groups (</w:t>
      </w:r>
      <w:r w:rsidR="00032D1D" w:rsidRPr="00140622">
        <w:rPr>
          <w:bCs/>
          <w:sz w:val="24"/>
          <w:szCs w:val="24"/>
        </w:rPr>
        <w:t xml:space="preserve">i.e., </w:t>
      </w:r>
      <w:r w:rsidR="00D614C5">
        <w:rPr>
          <w:bCs/>
          <w:sz w:val="24"/>
          <w:szCs w:val="24"/>
        </w:rPr>
        <w:t>preemptive versus standard empiric therapy</w:t>
      </w:r>
      <w:r w:rsidR="00803E4F" w:rsidRPr="00140622">
        <w:rPr>
          <w:bCs/>
          <w:sz w:val="24"/>
          <w:szCs w:val="24"/>
        </w:rPr>
        <w:t xml:space="preserve">) </w:t>
      </w:r>
    </w:p>
    <w:p w:rsidR="00803E4F" w:rsidRPr="00140622" w:rsidRDefault="00803E4F" w:rsidP="00FC1BDA">
      <w:pPr>
        <w:numPr>
          <w:ilvl w:val="0"/>
          <w:numId w:val="19"/>
        </w:numPr>
        <w:tabs>
          <w:tab w:val="left" w:pos="2895"/>
          <w:tab w:val="left" w:pos="5775"/>
          <w:tab w:val="left" w:pos="8640"/>
        </w:tabs>
        <w:spacing w:before="0" w:after="0" w:line="480" w:lineRule="auto"/>
        <w:jc w:val="both"/>
        <w:rPr>
          <w:bCs/>
          <w:sz w:val="24"/>
          <w:szCs w:val="24"/>
        </w:rPr>
      </w:pPr>
      <w:r w:rsidRPr="00140622">
        <w:rPr>
          <w:bCs/>
          <w:sz w:val="24"/>
          <w:szCs w:val="24"/>
        </w:rPr>
        <w:t xml:space="preserve">Compare the duration of SICU stay by treatment group </w:t>
      </w:r>
    </w:p>
    <w:p w:rsidR="005E5884" w:rsidRPr="00140622" w:rsidRDefault="00803E4F" w:rsidP="00FC1BDA">
      <w:pPr>
        <w:numPr>
          <w:ilvl w:val="0"/>
          <w:numId w:val="19"/>
        </w:numPr>
        <w:tabs>
          <w:tab w:val="left" w:pos="2895"/>
          <w:tab w:val="left" w:pos="5775"/>
          <w:tab w:val="left" w:pos="8640"/>
        </w:tabs>
        <w:spacing w:before="0" w:after="0" w:line="480" w:lineRule="auto"/>
        <w:jc w:val="both"/>
        <w:rPr>
          <w:bCs/>
          <w:sz w:val="24"/>
          <w:szCs w:val="24"/>
        </w:rPr>
      </w:pPr>
      <w:r w:rsidRPr="00140622">
        <w:rPr>
          <w:bCs/>
          <w:sz w:val="24"/>
          <w:szCs w:val="24"/>
        </w:rPr>
        <w:t>Compare the number febrile days by treatment group</w:t>
      </w:r>
    </w:p>
    <w:p w:rsidR="00803E4F" w:rsidRPr="00140622" w:rsidRDefault="00803E4F" w:rsidP="00FC1BDA">
      <w:pPr>
        <w:numPr>
          <w:ilvl w:val="0"/>
          <w:numId w:val="19"/>
        </w:numPr>
        <w:tabs>
          <w:tab w:val="left" w:pos="2895"/>
          <w:tab w:val="left" w:pos="5775"/>
          <w:tab w:val="left" w:pos="8640"/>
        </w:tabs>
        <w:spacing w:before="0" w:after="0" w:line="480" w:lineRule="auto"/>
        <w:jc w:val="both"/>
        <w:rPr>
          <w:bCs/>
          <w:sz w:val="24"/>
          <w:szCs w:val="24"/>
        </w:rPr>
      </w:pPr>
      <w:r w:rsidRPr="00140622">
        <w:rPr>
          <w:bCs/>
          <w:sz w:val="24"/>
          <w:szCs w:val="24"/>
        </w:rPr>
        <w:t>Compare antifungal drug utilization between treatment groups</w:t>
      </w:r>
    </w:p>
    <w:p w:rsidR="008D2B03" w:rsidRPr="00140622" w:rsidRDefault="005E5884" w:rsidP="00FC1BDA">
      <w:pPr>
        <w:numPr>
          <w:ilvl w:val="0"/>
          <w:numId w:val="19"/>
        </w:numPr>
        <w:tabs>
          <w:tab w:val="left" w:pos="2895"/>
          <w:tab w:val="left" w:pos="5775"/>
          <w:tab w:val="left" w:pos="8640"/>
        </w:tabs>
        <w:spacing w:before="0" w:after="0" w:line="480" w:lineRule="auto"/>
        <w:jc w:val="both"/>
        <w:rPr>
          <w:bCs/>
          <w:sz w:val="24"/>
          <w:szCs w:val="24"/>
        </w:rPr>
      </w:pPr>
      <w:r w:rsidRPr="00140622">
        <w:rPr>
          <w:bCs/>
          <w:sz w:val="24"/>
          <w:szCs w:val="24"/>
        </w:rPr>
        <w:t>Compare the overall mortalit</w:t>
      </w:r>
      <w:r w:rsidR="00803E4F" w:rsidRPr="00140622">
        <w:rPr>
          <w:bCs/>
          <w:sz w:val="24"/>
          <w:szCs w:val="24"/>
        </w:rPr>
        <w:t>y rate between treatment arms</w:t>
      </w:r>
      <w:r w:rsidRPr="00140622">
        <w:rPr>
          <w:bCs/>
          <w:sz w:val="24"/>
          <w:szCs w:val="24"/>
        </w:rPr>
        <w:t xml:space="preserve"> at </w:t>
      </w:r>
      <w:r w:rsidR="00803E4F" w:rsidRPr="00140622">
        <w:rPr>
          <w:bCs/>
          <w:sz w:val="24"/>
          <w:szCs w:val="24"/>
        </w:rPr>
        <w:t xml:space="preserve">SICU and hospital </w:t>
      </w:r>
      <w:r w:rsidRPr="00140622">
        <w:rPr>
          <w:bCs/>
          <w:sz w:val="24"/>
          <w:szCs w:val="24"/>
        </w:rPr>
        <w:t>discharge</w:t>
      </w:r>
    </w:p>
    <w:p w:rsidR="008D2B03" w:rsidRPr="00140622" w:rsidRDefault="00BD2DC7" w:rsidP="00FC1BDA">
      <w:pPr>
        <w:numPr>
          <w:ilvl w:val="0"/>
          <w:numId w:val="19"/>
        </w:numPr>
        <w:tabs>
          <w:tab w:val="left" w:pos="2895"/>
          <w:tab w:val="left" w:pos="5775"/>
          <w:tab w:val="left" w:pos="8640"/>
        </w:tabs>
        <w:spacing w:before="0" w:after="0" w:line="480" w:lineRule="auto"/>
        <w:jc w:val="both"/>
        <w:rPr>
          <w:bCs/>
          <w:sz w:val="24"/>
          <w:szCs w:val="24"/>
        </w:rPr>
      </w:pPr>
      <w:r w:rsidRPr="00140622">
        <w:rPr>
          <w:bCs/>
          <w:sz w:val="24"/>
          <w:szCs w:val="24"/>
        </w:rPr>
        <w:t xml:space="preserve">Evaluate </w:t>
      </w:r>
      <w:r w:rsidR="00D614C5">
        <w:rPr>
          <w:bCs/>
          <w:sz w:val="24"/>
          <w:szCs w:val="24"/>
        </w:rPr>
        <w:t>clinical</w:t>
      </w:r>
      <w:r w:rsidRPr="00140622">
        <w:rPr>
          <w:bCs/>
          <w:sz w:val="24"/>
          <w:szCs w:val="24"/>
        </w:rPr>
        <w:t xml:space="preserve"> r</w:t>
      </w:r>
      <w:r w:rsidR="008D2B03" w:rsidRPr="00140622">
        <w:rPr>
          <w:bCs/>
          <w:sz w:val="24"/>
          <w:szCs w:val="24"/>
        </w:rPr>
        <w:t>esponse to preemptiv</w:t>
      </w:r>
      <w:r w:rsidR="00D614C5">
        <w:rPr>
          <w:bCs/>
          <w:sz w:val="24"/>
          <w:szCs w:val="24"/>
        </w:rPr>
        <w:t>e or empiric antifungal therapy</w:t>
      </w:r>
    </w:p>
    <w:p w:rsidR="00803E4F" w:rsidRPr="00140622" w:rsidRDefault="005E5884" w:rsidP="00FC1BDA">
      <w:pPr>
        <w:numPr>
          <w:ilvl w:val="0"/>
          <w:numId w:val="19"/>
        </w:numPr>
        <w:tabs>
          <w:tab w:val="left" w:pos="2895"/>
          <w:tab w:val="left" w:pos="5775"/>
          <w:tab w:val="left" w:pos="8640"/>
        </w:tabs>
        <w:spacing w:before="0" w:after="0" w:line="480" w:lineRule="auto"/>
        <w:jc w:val="both"/>
        <w:rPr>
          <w:bCs/>
          <w:sz w:val="24"/>
          <w:szCs w:val="24"/>
        </w:rPr>
      </w:pPr>
      <w:r w:rsidRPr="00140622">
        <w:rPr>
          <w:bCs/>
          <w:sz w:val="24"/>
          <w:szCs w:val="24"/>
        </w:rPr>
        <w:t>Compare the prevalence of fungal colonization by group</w:t>
      </w:r>
      <w:r w:rsidR="0081436C" w:rsidRPr="00140622">
        <w:rPr>
          <w:bCs/>
          <w:sz w:val="24"/>
          <w:szCs w:val="24"/>
        </w:rPr>
        <w:t xml:space="preserve"> at baseline</w:t>
      </w:r>
      <w:r w:rsidR="007071E2" w:rsidRPr="00140622">
        <w:rPr>
          <w:bCs/>
          <w:sz w:val="24"/>
          <w:szCs w:val="24"/>
        </w:rPr>
        <w:t>,</w:t>
      </w:r>
      <w:r w:rsidR="0081436C" w:rsidRPr="00140622">
        <w:rPr>
          <w:bCs/>
          <w:sz w:val="24"/>
          <w:szCs w:val="24"/>
        </w:rPr>
        <w:t xml:space="preserve"> at the end of antifungal therapy, and </w:t>
      </w:r>
      <w:r w:rsidR="00D614C5">
        <w:rPr>
          <w:bCs/>
          <w:sz w:val="24"/>
          <w:szCs w:val="24"/>
        </w:rPr>
        <w:t>at SICU discharge</w:t>
      </w:r>
    </w:p>
    <w:p w:rsidR="00803E4F" w:rsidRPr="00140622" w:rsidRDefault="00803E4F" w:rsidP="00FC1BDA">
      <w:pPr>
        <w:numPr>
          <w:ilvl w:val="0"/>
          <w:numId w:val="19"/>
        </w:numPr>
        <w:tabs>
          <w:tab w:val="left" w:pos="2895"/>
          <w:tab w:val="left" w:pos="5775"/>
          <w:tab w:val="left" w:pos="8640"/>
        </w:tabs>
        <w:spacing w:before="0" w:after="0" w:line="480" w:lineRule="auto"/>
        <w:jc w:val="both"/>
        <w:rPr>
          <w:rFonts w:cs="Arial"/>
          <w:bCs/>
          <w:sz w:val="24"/>
          <w:szCs w:val="24"/>
        </w:rPr>
      </w:pPr>
      <w:r w:rsidRPr="00140622">
        <w:rPr>
          <w:bCs/>
          <w:sz w:val="24"/>
          <w:szCs w:val="24"/>
        </w:rPr>
        <w:t>Determine</w:t>
      </w:r>
      <w:r w:rsidR="005E5884" w:rsidRPr="00140622">
        <w:rPr>
          <w:bCs/>
          <w:sz w:val="24"/>
          <w:szCs w:val="24"/>
        </w:rPr>
        <w:t xml:space="preserve"> the susceptibility of fungal pathogens </w:t>
      </w:r>
      <w:r w:rsidR="0081436C" w:rsidRPr="00140622">
        <w:rPr>
          <w:bCs/>
          <w:sz w:val="24"/>
          <w:szCs w:val="24"/>
        </w:rPr>
        <w:t xml:space="preserve">identified </w:t>
      </w:r>
      <w:r w:rsidR="005E5884" w:rsidRPr="00140622">
        <w:rPr>
          <w:bCs/>
          <w:sz w:val="24"/>
          <w:szCs w:val="24"/>
        </w:rPr>
        <w:t>(if any)</w:t>
      </w:r>
      <w:r w:rsidRPr="00140622">
        <w:rPr>
          <w:bCs/>
          <w:sz w:val="24"/>
          <w:szCs w:val="24"/>
        </w:rPr>
        <w:t xml:space="preserve"> and compare between groups</w:t>
      </w:r>
      <w:r w:rsidR="005E5884" w:rsidRPr="00140622">
        <w:rPr>
          <w:bCs/>
          <w:sz w:val="24"/>
          <w:szCs w:val="24"/>
        </w:rPr>
        <w:t xml:space="preserve"> </w:t>
      </w:r>
    </w:p>
    <w:p w:rsidR="00803E4F" w:rsidRPr="00140622" w:rsidRDefault="00803E4F" w:rsidP="00FC1BDA">
      <w:pPr>
        <w:numPr>
          <w:ilvl w:val="0"/>
          <w:numId w:val="19"/>
        </w:numPr>
        <w:tabs>
          <w:tab w:val="left" w:pos="2895"/>
          <w:tab w:val="left" w:pos="5775"/>
          <w:tab w:val="left" w:pos="8640"/>
        </w:tabs>
        <w:spacing w:before="0" w:after="0" w:line="480" w:lineRule="auto"/>
        <w:jc w:val="both"/>
        <w:rPr>
          <w:rFonts w:cs="Arial"/>
          <w:bCs/>
          <w:sz w:val="24"/>
          <w:szCs w:val="24"/>
        </w:rPr>
      </w:pPr>
      <w:r w:rsidRPr="00140622">
        <w:rPr>
          <w:sz w:val="24"/>
          <w:szCs w:val="24"/>
        </w:rPr>
        <w:t>A</w:t>
      </w:r>
      <w:r w:rsidR="00C32103" w:rsidRPr="00140622">
        <w:rPr>
          <w:sz w:val="24"/>
          <w:szCs w:val="24"/>
        </w:rPr>
        <w:t xml:space="preserve">ssess the number of </w:t>
      </w:r>
      <w:r w:rsidR="00F16DF1" w:rsidRPr="00140622">
        <w:rPr>
          <w:sz w:val="24"/>
          <w:szCs w:val="24"/>
        </w:rPr>
        <w:t xml:space="preserve">breakthrough </w:t>
      </w:r>
      <w:r w:rsidR="009E0F29" w:rsidRPr="00140622">
        <w:rPr>
          <w:sz w:val="24"/>
          <w:szCs w:val="24"/>
        </w:rPr>
        <w:t>IFIs</w:t>
      </w:r>
      <w:r w:rsidR="00F16DF1" w:rsidRPr="00140622">
        <w:rPr>
          <w:sz w:val="24"/>
          <w:szCs w:val="24"/>
        </w:rPr>
        <w:t xml:space="preserve"> in</w:t>
      </w:r>
      <w:r w:rsidR="005E5884" w:rsidRPr="00140622">
        <w:rPr>
          <w:rStyle w:val="CommentReference"/>
          <w:vanish/>
          <w:sz w:val="24"/>
          <w:szCs w:val="24"/>
        </w:rPr>
        <w:t xml:space="preserve"> </w:t>
      </w:r>
      <w:r w:rsidR="00C32103" w:rsidRPr="00140622">
        <w:rPr>
          <w:sz w:val="24"/>
          <w:szCs w:val="24"/>
        </w:rPr>
        <w:t xml:space="preserve">each </w:t>
      </w:r>
      <w:r w:rsidR="00032D1D" w:rsidRPr="00140622">
        <w:rPr>
          <w:sz w:val="24"/>
          <w:szCs w:val="24"/>
        </w:rPr>
        <w:t xml:space="preserve">management </w:t>
      </w:r>
      <w:r w:rsidR="00F16DF1" w:rsidRPr="00140622">
        <w:rPr>
          <w:sz w:val="24"/>
          <w:szCs w:val="24"/>
        </w:rPr>
        <w:t>arm</w:t>
      </w:r>
    </w:p>
    <w:p w:rsidR="00803E4F" w:rsidRPr="00140622" w:rsidRDefault="00803E4F" w:rsidP="00FC1BDA">
      <w:pPr>
        <w:numPr>
          <w:ilvl w:val="0"/>
          <w:numId w:val="19"/>
        </w:numPr>
        <w:tabs>
          <w:tab w:val="left" w:pos="2895"/>
          <w:tab w:val="left" w:pos="5775"/>
          <w:tab w:val="left" w:pos="8640"/>
        </w:tabs>
        <w:spacing w:before="0" w:after="0" w:line="480" w:lineRule="auto"/>
        <w:jc w:val="both"/>
        <w:rPr>
          <w:rFonts w:cs="Arial"/>
          <w:bCs/>
          <w:sz w:val="24"/>
          <w:szCs w:val="24"/>
        </w:rPr>
      </w:pPr>
      <w:r w:rsidRPr="00140622">
        <w:rPr>
          <w:sz w:val="24"/>
          <w:szCs w:val="24"/>
        </w:rPr>
        <w:t>A</w:t>
      </w:r>
      <w:r w:rsidR="00C32103" w:rsidRPr="00140622">
        <w:rPr>
          <w:sz w:val="24"/>
          <w:szCs w:val="24"/>
        </w:rPr>
        <w:t>ssess premature withdrawals from assigned strategy</w:t>
      </w:r>
    </w:p>
    <w:p w:rsidR="0081436C" w:rsidRPr="00140622" w:rsidRDefault="00803E4F" w:rsidP="00FC1BDA">
      <w:pPr>
        <w:numPr>
          <w:ilvl w:val="0"/>
          <w:numId w:val="19"/>
        </w:numPr>
        <w:tabs>
          <w:tab w:val="left" w:pos="2895"/>
          <w:tab w:val="left" w:pos="5775"/>
          <w:tab w:val="left" w:pos="8640"/>
        </w:tabs>
        <w:spacing w:before="0" w:after="0" w:line="480" w:lineRule="auto"/>
        <w:jc w:val="both"/>
        <w:rPr>
          <w:rFonts w:cs="Arial"/>
          <w:bCs/>
          <w:sz w:val="24"/>
          <w:szCs w:val="24"/>
        </w:rPr>
      </w:pPr>
      <w:r w:rsidRPr="00140622">
        <w:rPr>
          <w:sz w:val="24"/>
          <w:szCs w:val="24"/>
        </w:rPr>
        <w:lastRenderedPageBreak/>
        <w:t>C</w:t>
      </w:r>
      <w:r w:rsidR="00C32103" w:rsidRPr="00140622">
        <w:rPr>
          <w:sz w:val="24"/>
          <w:szCs w:val="24"/>
        </w:rPr>
        <w:t xml:space="preserve">ompare costs (antifungal drugs + diagnostic testing) between the </w:t>
      </w:r>
      <w:r w:rsidR="00B531C2" w:rsidRPr="00140622">
        <w:rPr>
          <w:sz w:val="24"/>
          <w:szCs w:val="24"/>
        </w:rPr>
        <w:t>2</w:t>
      </w:r>
      <w:r w:rsidR="00C32103" w:rsidRPr="00140622">
        <w:rPr>
          <w:sz w:val="24"/>
          <w:szCs w:val="24"/>
        </w:rPr>
        <w:t xml:space="preserve"> strategies</w:t>
      </w:r>
    </w:p>
    <w:p w:rsidR="007D4A19" w:rsidRPr="00140622" w:rsidRDefault="007D4A19" w:rsidP="00FC1BDA">
      <w:pPr>
        <w:numPr>
          <w:ilvl w:val="0"/>
          <w:numId w:val="19"/>
        </w:numPr>
        <w:tabs>
          <w:tab w:val="left" w:pos="2895"/>
          <w:tab w:val="left" w:pos="5775"/>
          <w:tab w:val="left" w:pos="8640"/>
        </w:tabs>
        <w:spacing w:before="0" w:after="0" w:line="480" w:lineRule="auto"/>
        <w:jc w:val="both"/>
        <w:rPr>
          <w:rFonts w:cs="Arial"/>
          <w:bCs/>
          <w:sz w:val="24"/>
          <w:szCs w:val="24"/>
        </w:rPr>
      </w:pPr>
      <w:r w:rsidRPr="00140622">
        <w:rPr>
          <w:sz w:val="24"/>
          <w:szCs w:val="24"/>
        </w:rPr>
        <w:t>Obtain RNA from this well-characteri</w:t>
      </w:r>
      <w:r w:rsidR="00D614C5">
        <w:rPr>
          <w:sz w:val="24"/>
          <w:szCs w:val="24"/>
        </w:rPr>
        <w:t>zed cohort of patients at-</w:t>
      </w:r>
      <w:r w:rsidRPr="00140622">
        <w:rPr>
          <w:sz w:val="24"/>
          <w:szCs w:val="24"/>
        </w:rPr>
        <w:t xml:space="preserve">risk for </w:t>
      </w:r>
      <w:r w:rsidR="00D614C5">
        <w:rPr>
          <w:sz w:val="24"/>
          <w:szCs w:val="24"/>
        </w:rPr>
        <w:t xml:space="preserve">the </w:t>
      </w:r>
      <w:r w:rsidRPr="00140622">
        <w:rPr>
          <w:sz w:val="24"/>
          <w:szCs w:val="24"/>
        </w:rPr>
        <w:t xml:space="preserve">development of </w:t>
      </w:r>
      <w:r w:rsidR="00D614C5">
        <w:rPr>
          <w:sz w:val="24"/>
          <w:szCs w:val="24"/>
        </w:rPr>
        <w:t xml:space="preserve">IC </w:t>
      </w:r>
      <w:r w:rsidRPr="00140622">
        <w:rPr>
          <w:sz w:val="24"/>
          <w:szCs w:val="24"/>
        </w:rPr>
        <w:t>to derive gene expression signatures tha</w:t>
      </w:r>
      <w:r w:rsidR="00D614C5">
        <w:rPr>
          <w:sz w:val="24"/>
          <w:szCs w:val="24"/>
        </w:rPr>
        <w:t xml:space="preserve">t characterize early </w:t>
      </w:r>
      <w:proofErr w:type="spellStart"/>
      <w:r w:rsidR="00D614C5">
        <w:rPr>
          <w:sz w:val="24"/>
          <w:szCs w:val="24"/>
        </w:rPr>
        <w:t>candidemia</w:t>
      </w:r>
      <w:proofErr w:type="spellEnd"/>
      <w:r w:rsidRPr="00140622">
        <w:rPr>
          <w:sz w:val="24"/>
          <w:szCs w:val="24"/>
        </w:rPr>
        <w:t xml:space="preserve"> </w:t>
      </w:r>
    </w:p>
    <w:p w:rsidR="00002774" w:rsidRPr="00140622" w:rsidRDefault="00385269" w:rsidP="00FC1BDA">
      <w:pPr>
        <w:spacing w:before="0" w:after="0" w:line="480" w:lineRule="auto"/>
        <w:jc w:val="both"/>
        <w:rPr>
          <w:b/>
          <w:sz w:val="24"/>
          <w:szCs w:val="24"/>
        </w:rPr>
      </w:pPr>
      <w:bookmarkStart w:id="3" w:name="_Toc57126350"/>
      <w:r w:rsidRPr="00140622">
        <w:rPr>
          <w:b/>
          <w:sz w:val="24"/>
          <w:szCs w:val="24"/>
        </w:rPr>
        <w:br w:type="page"/>
      </w:r>
      <w:r w:rsidR="00FC67D5" w:rsidRPr="00140622">
        <w:rPr>
          <w:b/>
          <w:sz w:val="24"/>
          <w:szCs w:val="24"/>
        </w:rPr>
        <w:lastRenderedPageBreak/>
        <w:t>STUDY</w:t>
      </w:r>
      <w:r w:rsidR="00002774" w:rsidRPr="00140622">
        <w:rPr>
          <w:b/>
          <w:sz w:val="24"/>
          <w:szCs w:val="24"/>
        </w:rPr>
        <w:t xml:space="preserve"> DESIGN</w:t>
      </w:r>
      <w:bookmarkEnd w:id="3"/>
    </w:p>
    <w:p w:rsidR="00002774" w:rsidRPr="00140622" w:rsidRDefault="00002774" w:rsidP="00FC1BDA">
      <w:pPr>
        <w:spacing w:before="0" w:after="0" w:line="480" w:lineRule="auto"/>
        <w:ind w:firstLine="720"/>
        <w:jc w:val="both"/>
        <w:rPr>
          <w:sz w:val="24"/>
          <w:szCs w:val="24"/>
        </w:rPr>
      </w:pPr>
      <w:r w:rsidRPr="00140622">
        <w:rPr>
          <w:sz w:val="24"/>
          <w:szCs w:val="24"/>
        </w:rPr>
        <w:t>This i</w:t>
      </w:r>
      <w:r w:rsidR="00803E4F" w:rsidRPr="00140622">
        <w:rPr>
          <w:sz w:val="24"/>
          <w:szCs w:val="24"/>
        </w:rPr>
        <w:t>s a single</w:t>
      </w:r>
      <w:r w:rsidR="00C32103" w:rsidRPr="00140622">
        <w:rPr>
          <w:sz w:val="24"/>
          <w:szCs w:val="24"/>
        </w:rPr>
        <w:t xml:space="preserve">-center, randomized, </w:t>
      </w:r>
      <w:r w:rsidR="00032D1D" w:rsidRPr="00140622">
        <w:rPr>
          <w:sz w:val="24"/>
          <w:szCs w:val="24"/>
        </w:rPr>
        <w:t>parallel group</w:t>
      </w:r>
      <w:r w:rsidR="00BD2DC7" w:rsidRPr="00140622">
        <w:rPr>
          <w:sz w:val="24"/>
          <w:szCs w:val="24"/>
        </w:rPr>
        <w:t>,</w:t>
      </w:r>
      <w:r w:rsidR="00032D1D" w:rsidRPr="00140622">
        <w:rPr>
          <w:sz w:val="24"/>
          <w:szCs w:val="24"/>
        </w:rPr>
        <w:t xml:space="preserve"> </w:t>
      </w:r>
      <w:r w:rsidR="00D00213" w:rsidRPr="00140622">
        <w:rPr>
          <w:sz w:val="24"/>
          <w:szCs w:val="24"/>
        </w:rPr>
        <w:t>comparison</w:t>
      </w:r>
      <w:r w:rsidRPr="00140622">
        <w:rPr>
          <w:sz w:val="24"/>
          <w:szCs w:val="24"/>
        </w:rPr>
        <w:t xml:space="preserve"> of </w:t>
      </w:r>
      <w:r w:rsidR="00032D1D" w:rsidRPr="00140622">
        <w:rPr>
          <w:sz w:val="24"/>
          <w:szCs w:val="24"/>
        </w:rPr>
        <w:t>pre</w:t>
      </w:r>
      <w:r w:rsidR="00C32103" w:rsidRPr="00140622">
        <w:rPr>
          <w:sz w:val="24"/>
          <w:szCs w:val="24"/>
        </w:rPr>
        <w:t xml:space="preserve">emptive versus empiric antifungal therapy </w:t>
      </w:r>
      <w:r w:rsidR="00803E4F" w:rsidRPr="00140622">
        <w:rPr>
          <w:sz w:val="24"/>
          <w:szCs w:val="24"/>
        </w:rPr>
        <w:t>(</w:t>
      </w:r>
      <w:r w:rsidR="00B640E3" w:rsidRPr="00140622">
        <w:rPr>
          <w:sz w:val="24"/>
          <w:szCs w:val="24"/>
        </w:rPr>
        <w:t>e.g.</w:t>
      </w:r>
      <w:r w:rsidR="00803E4F" w:rsidRPr="00140622">
        <w:rPr>
          <w:sz w:val="24"/>
          <w:szCs w:val="24"/>
        </w:rPr>
        <w:t xml:space="preserve">, standard care) </w:t>
      </w:r>
      <w:r w:rsidR="00D00213" w:rsidRPr="00140622">
        <w:rPr>
          <w:sz w:val="24"/>
          <w:szCs w:val="24"/>
        </w:rPr>
        <w:t xml:space="preserve">for the management of </w:t>
      </w:r>
      <w:r w:rsidR="00BD2DC7" w:rsidRPr="00140622">
        <w:rPr>
          <w:sz w:val="24"/>
          <w:szCs w:val="24"/>
        </w:rPr>
        <w:t xml:space="preserve">suspected </w:t>
      </w:r>
      <w:r w:rsidR="00D00213" w:rsidRPr="00140622">
        <w:rPr>
          <w:sz w:val="24"/>
          <w:szCs w:val="24"/>
        </w:rPr>
        <w:t xml:space="preserve">IC in </w:t>
      </w:r>
      <w:r w:rsidR="0081436C" w:rsidRPr="00140622">
        <w:rPr>
          <w:sz w:val="24"/>
          <w:szCs w:val="24"/>
        </w:rPr>
        <w:t xml:space="preserve">SICU </w:t>
      </w:r>
      <w:r w:rsidR="00D00213" w:rsidRPr="00140622">
        <w:rPr>
          <w:sz w:val="24"/>
          <w:szCs w:val="24"/>
        </w:rPr>
        <w:t xml:space="preserve">patients </w:t>
      </w:r>
      <w:r w:rsidR="00451F88" w:rsidRPr="00140622">
        <w:rPr>
          <w:sz w:val="24"/>
          <w:szCs w:val="24"/>
        </w:rPr>
        <w:t>(</w:t>
      </w:r>
      <w:r w:rsidR="00451F88" w:rsidRPr="00140622">
        <w:rPr>
          <w:b/>
          <w:sz w:val="24"/>
          <w:szCs w:val="24"/>
        </w:rPr>
        <w:t>Figure</w:t>
      </w:r>
      <w:r w:rsidR="00D00213" w:rsidRPr="00140622">
        <w:rPr>
          <w:b/>
          <w:sz w:val="24"/>
          <w:szCs w:val="24"/>
        </w:rPr>
        <w:t xml:space="preserve"> 1</w:t>
      </w:r>
      <w:r w:rsidR="00451F88" w:rsidRPr="00140622">
        <w:rPr>
          <w:sz w:val="24"/>
          <w:szCs w:val="24"/>
        </w:rPr>
        <w:t>)</w:t>
      </w:r>
      <w:r w:rsidR="00C32103" w:rsidRPr="00140622">
        <w:rPr>
          <w:sz w:val="24"/>
          <w:szCs w:val="24"/>
        </w:rPr>
        <w:t>.</w:t>
      </w:r>
      <w:r w:rsidR="006905EF" w:rsidRPr="00140622">
        <w:rPr>
          <w:sz w:val="24"/>
          <w:szCs w:val="24"/>
        </w:rPr>
        <w:t xml:space="preserve">  </w:t>
      </w:r>
      <w:r w:rsidR="00D00213" w:rsidRPr="00140622">
        <w:rPr>
          <w:sz w:val="24"/>
          <w:szCs w:val="24"/>
        </w:rPr>
        <w:t xml:space="preserve">Adult patients treated in the </w:t>
      </w:r>
      <w:r w:rsidR="00032D1D" w:rsidRPr="00140622">
        <w:rPr>
          <w:sz w:val="24"/>
          <w:szCs w:val="24"/>
        </w:rPr>
        <w:t xml:space="preserve">Duke </w:t>
      </w:r>
      <w:r w:rsidR="00D00213" w:rsidRPr="00140622">
        <w:rPr>
          <w:sz w:val="24"/>
          <w:szCs w:val="24"/>
        </w:rPr>
        <w:t>SICU</w:t>
      </w:r>
      <w:r w:rsidR="00032D1D" w:rsidRPr="00140622">
        <w:rPr>
          <w:sz w:val="24"/>
          <w:szCs w:val="24"/>
        </w:rPr>
        <w:t>s</w:t>
      </w:r>
      <w:r w:rsidR="00D00213" w:rsidRPr="00140622">
        <w:rPr>
          <w:sz w:val="24"/>
          <w:szCs w:val="24"/>
        </w:rPr>
        <w:t xml:space="preserve"> for at least 3 days, and expected to require at least an additional 2 days of intensive care, will </w:t>
      </w:r>
      <w:r w:rsidR="00080721">
        <w:rPr>
          <w:sz w:val="24"/>
          <w:szCs w:val="24"/>
        </w:rPr>
        <w:t>be approached for enrollment in</w:t>
      </w:r>
      <w:r w:rsidR="00D00213" w:rsidRPr="00140622">
        <w:rPr>
          <w:sz w:val="24"/>
          <w:szCs w:val="24"/>
        </w:rPr>
        <w:t xml:space="preserve">to the study.  </w:t>
      </w:r>
      <w:r w:rsidR="00BF592C">
        <w:rPr>
          <w:sz w:val="24"/>
          <w:szCs w:val="24"/>
        </w:rPr>
        <w:t>Patients</w:t>
      </w:r>
      <w:r w:rsidR="00D00213" w:rsidRPr="00140622">
        <w:rPr>
          <w:sz w:val="24"/>
          <w:szCs w:val="24"/>
        </w:rPr>
        <w:t xml:space="preserve"> providing informed consent </w:t>
      </w:r>
      <w:r w:rsidR="006052B2" w:rsidRPr="00140622">
        <w:rPr>
          <w:sz w:val="24"/>
          <w:szCs w:val="24"/>
        </w:rPr>
        <w:t>will be stratified according to</w:t>
      </w:r>
      <w:r w:rsidR="004D7EA9" w:rsidRPr="00140622">
        <w:rPr>
          <w:sz w:val="24"/>
          <w:szCs w:val="24"/>
        </w:rPr>
        <w:t xml:space="preserve"> APACHE II score</w:t>
      </w:r>
      <w:r w:rsidR="00D00213" w:rsidRPr="00140622">
        <w:rPr>
          <w:sz w:val="24"/>
          <w:szCs w:val="24"/>
        </w:rPr>
        <w:t xml:space="preserve"> and r</w:t>
      </w:r>
      <w:r w:rsidR="006905EF" w:rsidRPr="00140622">
        <w:rPr>
          <w:sz w:val="24"/>
          <w:szCs w:val="24"/>
        </w:rPr>
        <w:t>andom</w:t>
      </w:r>
      <w:r w:rsidR="008F2175" w:rsidRPr="00140622">
        <w:rPr>
          <w:sz w:val="24"/>
          <w:szCs w:val="24"/>
        </w:rPr>
        <w:t>ly assigned</w:t>
      </w:r>
      <w:r w:rsidR="006905EF" w:rsidRPr="00140622">
        <w:rPr>
          <w:sz w:val="24"/>
          <w:szCs w:val="24"/>
        </w:rPr>
        <w:t xml:space="preserve"> </w:t>
      </w:r>
      <w:r w:rsidR="00D00213" w:rsidRPr="00140622">
        <w:rPr>
          <w:sz w:val="24"/>
          <w:szCs w:val="24"/>
        </w:rPr>
        <w:t xml:space="preserve">in a 3:1 fashion </w:t>
      </w:r>
      <w:r w:rsidR="006905EF" w:rsidRPr="00140622">
        <w:rPr>
          <w:sz w:val="24"/>
          <w:szCs w:val="24"/>
        </w:rPr>
        <w:t>to</w:t>
      </w:r>
      <w:r w:rsidR="00D00213" w:rsidRPr="00140622">
        <w:rPr>
          <w:sz w:val="24"/>
          <w:szCs w:val="24"/>
        </w:rPr>
        <w:t xml:space="preserve"> active surveillance with pre</w:t>
      </w:r>
      <w:r w:rsidR="007071E2" w:rsidRPr="00140622">
        <w:rPr>
          <w:sz w:val="24"/>
          <w:szCs w:val="24"/>
        </w:rPr>
        <w:t xml:space="preserve">emptive therapy </w:t>
      </w:r>
      <w:r w:rsidR="00D00213" w:rsidRPr="00140622">
        <w:rPr>
          <w:sz w:val="24"/>
          <w:szCs w:val="24"/>
        </w:rPr>
        <w:t>or standard care</w:t>
      </w:r>
      <w:r w:rsidR="00032D1D" w:rsidRPr="00140622">
        <w:rPr>
          <w:sz w:val="24"/>
          <w:szCs w:val="24"/>
        </w:rPr>
        <w:t xml:space="preserve">.  At </w:t>
      </w:r>
      <w:smartTag w:uri="urn:schemas-microsoft-com:office:smarttags" w:element="place">
        <w:smartTag w:uri="urn:schemas-microsoft-com:office:smarttags" w:element="PlaceName">
          <w:r w:rsidR="00032D1D" w:rsidRPr="00140622">
            <w:rPr>
              <w:sz w:val="24"/>
              <w:szCs w:val="24"/>
            </w:rPr>
            <w:t>Duke</w:t>
          </w:r>
        </w:smartTag>
        <w:r w:rsidR="00032D1D" w:rsidRPr="00140622">
          <w:rPr>
            <w:sz w:val="24"/>
            <w:szCs w:val="24"/>
          </w:rPr>
          <w:t xml:space="preserve"> </w:t>
        </w:r>
        <w:smartTag w:uri="urn:schemas-microsoft-com:office:smarttags" w:element="PlaceType">
          <w:r w:rsidR="00032D1D" w:rsidRPr="00140622">
            <w:rPr>
              <w:sz w:val="24"/>
              <w:szCs w:val="24"/>
            </w:rPr>
            <w:t>University</w:t>
          </w:r>
        </w:smartTag>
      </w:smartTag>
      <w:r w:rsidR="00032D1D" w:rsidRPr="00140622">
        <w:rPr>
          <w:sz w:val="24"/>
          <w:szCs w:val="24"/>
        </w:rPr>
        <w:t xml:space="preserve">, standard care is </w:t>
      </w:r>
      <w:r w:rsidR="007071E2" w:rsidRPr="00140622">
        <w:rPr>
          <w:sz w:val="24"/>
          <w:szCs w:val="24"/>
        </w:rPr>
        <w:t>empiric antifungal thera</w:t>
      </w:r>
      <w:r w:rsidR="00032D1D" w:rsidRPr="00140622">
        <w:rPr>
          <w:sz w:val="24"/>
          <w:szCs w:val="24"/>
        </w:rPr>
        <w:t xml:space="preserve">py based on physician discretion.  </w:t>
      </w:r>
    </w:p>
    <w:p w:rsidR="00D00213" w:rsidRPr="00140622" w:rsidRDefault="00D00213" w:rsidP="00FC1BDA">
      <w:pPr>
        <w:spacing w:line="480" w:lineRule="auto"/>
        <w:jc w:val="both"/>
        <w:rPr>
          <w:rFonts w:cs="Arial"/>
          <w:sz w:val="24"/>
          <w:szCs w:val="24"/>
        </w:rPr>
      </w:pPr>
    </w:p>
    <w:p w:rsidR="00D00213" w:rsidRPr="00140622" w:rsidRDefault="00D00213" w:rsidP="00FC1BDA">
      <w:pPr>
        <w:spacing w:line="480" w:lineRule="auto"/>
        <w:jc w:val="both"/>
        <w:rPr>
          <w:b/>
          <w:sz w:val="24"/>
          <w:szCs w:val="24"/>
        </w:rPr>
      </w:pPr>
      <w:r w:rsidRPr="00140622">
        <w:rPr>
          <w:b/>
          <w:sz w:val="24"/>
          <w:szCs w:val="24"/>
        </w:rPr>
        <w:t>Active surveillance/ preemptive therapy group</w:t>
      </w:r>
    </w:p>
    <w:p w:rsidR="003E5685" w:rsidRPr="00140622" w:rsidRDefault="00D00213" w:rsidP="00FC1BDA">
      <w:pPr>
        <w:spacing w:line="480" w:lineRule="auto"/>
        <w:ind w:firstLine="720"/>
        <w:jc w:val="both"/>
        <w:rPr>
          <w:bCs/>
          <w:sz w:val="24"/>
          <w:szCs w:val="24"/>
        </w:rPr>
      </w:pPr>
      <w:r w:rsidRPr="00140622">
        <w:rPr>
          <w:sz w:val="24"/>
          <w:szCs w:val="24"/>
        </w:rPr>
        <w:t>Subjects in this arm of the study will have serum drawn twice a week for BDG testing</w:t>
      </w:r>
      <w:r w:rsidR="00032D1D" w:rsidRPr="00140622">
        <w:rPr>
          <w:sz w:val="24"/>
          <w:szCs w:val="24"/>
        </w:rPr>
        <w:t xml:space="preserve"> while in the SICU</w:t>
      </w:r>
      <w:r w:rsidRPr="00140622">
        <w:rPr>
          <w:sz w:val="24"/>
          <w:szCs w:val="24"/>
        </w:rPr>
        <w:t xml:space="preserve">, with the results </w:t>
      </w:r>
      <w:r w:rsidR="00BF592C">
        <w:rPr>
          <w:sz w:val="24"/>
          <w:szCs w:val="24"/>
        </w:rPr>
        <w:t xml:space="preserve">of the test </w:t>
      </w:r>
      <w:r w:rsidRPr="00140622">
        <w:rPr>
          <w:sz w:val="24"/>
          <w:szCs w:val="24"/>
        </w:rPr>
        <w:t xml:space="preserve">reported </w:t>
      </w:r>
      <w:r w:rsidR="00032D1D" w:rsidRPr="00140622">
        <w:rPr>
          <w:sz w:val="24"/>
          <w:szCs w:val="24"/>
        </w:rPr>
        <w:t xml:space="preserve">to the managing clinicians in real-time.  Subjects will </w:t>
      </w:r>
      <w:r w:rsidRPr="00140622">
        <w:rPr>
          <w:sz w:val="24"/>
          <w:szCs w:val="24"/>
        </w:rPr>
        <w:t xml:space="preserve">receive intravenous (IV) </w:t>
      </w:r>
      <w:proofErr w:type="spellStart"/>
      <w:r w:rsidRPr="00140622">
        <w:rPr>
          <w:sz w:val="24"/>
          <w:szCs w:val="24"/>
        </w:rPr>
        <w:t>anidulafungin</w:t>
      </w:r>
      <w:proofErr w:type="spellEnd"/>
      <w:r w:rsidRPr="00140622">
        <w:rPr>
          <w:sz w:val="24"/>
          <w:szCs w:val="24"/>
        </w:rPr>
        <w:t xml:space="preserve"> shoul</w:t>
      </w:r>
      <w:r w:rsidR="00032D1D" w:rsidRPr="00140622">
        <w:rPr>
          <w:sz w:val="24"/>
          <w:szCs w:val="24"/>
        </w:rPr>
        <w:t>d the β-D-</w:t>
      </w:r>
      <w:proofErr w:type="spellStart"/>
      <w:r w:rsidR="00032D1D" w:rsidRPr="00140622">
        <w:rPr>
          <w:sz w:val="24"/>
          <w:szCs w:val="24"/>
        </w:rPr>
        <w:t>glucan</w:t>
      </w:r>
      <w:proofErr w:type="spellEnd"/>
      <w:r w:rsidR="00032D1D" w:rsidRPr="00140622">
        <w:rPr>
          <w:sz w:val="24"/>
          <w:szCs w:val="24"/>
        </w:rPr>
        <w:t xml:space="preserve"> exceed </w:t>
      </w:r>
      <w:proofErr w:type="gramStart"/>
      <w:r w:rsidR="00032D1D" w:rsidRPr="00140622">
        <w:rPr>
          <w:sz w:val="24"/>
          <w:szCs w:val="24"/>
        </w:rPr>
        <w:t>60 pg/ml</w:t>
      </w:r>
      <w:r w:rsidRPr="00140622">
        <w:rPr>
          <w:sz w:val="24"/>
          <w:szCs w:val="24"/>
        </w:rPr>
        <w:t xml:space="preserve"> on a single determination</w:t>
      </w:r>
      <w:proofErr w:type="gramEnd"/>
      <w:r w:rsidRPr="00140622">
        <w:rPr>
          <w:sz w:val="24"/>
          <w:szCs w:val="24"/>
        </w:rPr>
        <w:t xml:space="preserve">.  A positive </w:t>
      </w:r>
      <w:r w:rsidR="00032D1D" w:rsidRPr="00140622">
        <w:rPr>
          <w:sz w:val="24"/>
          <w:szCs w:val="24"/>
        </w:rPr>
        <w:t>test cut-off of 60 pg/ml</w:t>
      </w:r>
      <w:r w:rsidRPr="00140622">
        <w:rPr>
          <w:sz w:val="24"/>
          <w:szCs w:val="24"/>
        </w:rPr>
        <w:t xml:space="preserve"> was selected based on the observation that 81% of patients with IC will have a positive test at this level</w:t>
      </w:r>
      <w:r w:rsidR="00706A77" w:rsidRPr="00140622">
        <w:rPr>
          <w:sz w:val="24"/>
          <w:szCs w:val="24"/>
        </w:rPr>
        <w:fldChar w:fldCharType="begin"/>
      </w:r>
      <w:r w:rsidR="0053409B">
        <w:rPr>
          <w:sz w:val="24"/>
          <w:szCs w:val="24"/>
        </w:rPr>
        <w:instrText xml:space="preserve"> ADDIN REFMGR.CITE &lt;Refman&gt;&lt;Cite&gt;&lt;Author&gt;Ostrosky-Zeichner&lt;/Author&gt;&lt;Year&gt;2005&lt;/Year&gt;&lt;RecNum&gt;30&lt;/RecNum&gt;&lt;IDText&gt;Multicenter clinical evaluation of the (1--&amp;gt;3) beta-D-glucan assay as an aid to diagnosis of fungal infections in humans&lt;/IDText&gt;&lt;MDL Ref_Type="Journal"&gt;&lt;Ref_Type&gt;Journal&lt;/Ref_Type&gt;&lt;Ref_ID&gt;30&lt;/Ref_ID&gt;&lt;Title_Primary&gt;Multicenter clinical evaluation of the (1--&amp;gt;3) beta-D-glucan assay as an aid to diagnosis of fungal infections in humans&lt;/Title_Primary&gt;&lt;Authors_Primary&gt;Ostrosky-Zeichner,L.&lt;/Authors_Primary&gt;&lt;Authors_Primary&gt;Alexander,B.D.&lt;/Authors_Primary&gt;&lt;Authors_Primary&gt;Kett,D.H.&lt;/Authors_Primary&gt;&lt;Authors_Primary&gt;Vazquez,J.&lt;/Authors_Primary&gt;&lt;Authors_Primary&gt;Pappas,P.G.&lt;/Authors_Primary&gt;&lt;Authors_Primary&gt;Saeki,F.&lt;/Authors_Primary&gt;&lt;Authors_Primary&gt;Ketchum,P.A.&lt;/Authors_Primary&gt;&lt;Authors_Primary&gt;Wingard,J.&lt;/Authors_Primary&gt;&lt;Authors_Primary&gt;Schiff,R.&lt;/Authors_Primary&gt;&lt;Authors_Primary&gt;Tamura,H.&lt;/Authors_Primary&gt;&lt;Authors_Primary&gt;Finkelman,M.A.&lt;/Authors_Primary&gt;&lt;Authors_Primary&gt;Rex,J.H.&lt;/Authors_Primary&gt;&lt;Date_Primary&gt;2005/9/1&lt;/Date_Primary&gt;&lt;Keywords&gt;Adult&lt;/Keywords&gt;&lt;Keywords&gt;Aged&lt;/Keywords&gt;&lt;Keywords&gt;beta-Glucans&lt;/Keywords&gt;&lt;Keywords&gt;blood&lt;/Keywords&gt;&lt;Keywords&gt;Candidiasis&lt;/Keywords&gt;&lt;Keywords&gt;diagnosis&lt;/Keywords&gt;&lt;Keywords&gt;Evaluation Studies&lt;/Keywords&gt;&lt;Keywords&gt;Female&lt;/Keywords&gt;&lt;Keywords&gt;Humans&lt;/Keywords&gt;&lt;Keywords&gt;Infection&lt;/Keywords&gt;&lt;Keywords&gt;Male&lt;/Keywords&gt;&lt;Keywords&gt;methods&lt;/Keywords&gt;&lt;Keywords&gt;Middle Aged&lt;/Keywords&gt;&lt;Keywords&gt;Multicenter Studies&lt;/Keywords&gt;&lt;Keywords&gt;Mycoses&lt;/Keywords&gt;&lt;Keywords&gt;Reproducibility of Results&lt;/Keywords&gt;&lt;Keywords&gt;Research Support,Non-U.S.Gov&amp;apos;t&lt;/Keywords&gt;&lt;Keywords&gt;Sensitivity and Specificity&lt;/Keywords&gt;&lt;Keywords&gt;therapy&lt;/Keywords&gt;&lt;Keywords&gt;United States&lt;/Keywords&gt;&lt;Reprint&gt;Not in File&lt;/Reprint&gt;&lt;Start_Page&gt;654&lt;/Start_Page&gt;&lt;End_Page&gt;659&lt;/End_Page&gt;&lt;Periodical&gt;Clin Infect Dis&lt;/Periodical&gt;&lt;Volume&gt;41&lt;/Volume&gt;&lt;Issue&gt;5&lt;/Issue&gt;&lt;Address&gt;University of Texas-Houston Medical School, Houston, TX 77030, USA. Luis.Ostrosky-Zeichner@uth.tmc.edu&lt;/Address&gt;&lt;Web_URL&gt;PM:16080087&lt;/Web_URL&gt;&lt;ZZ_JournalFull&gt;&lt;f name="System"&gt;Clinical Infectious Diseases&lt;/f&gt;&lt;/ZZ_JournalFull&gt;&lt;ZZ_JournalStdAbbrev&gt;&lt;f name="System"&gt;Clin Infect Dis&lt;/f&gt;&lt;/ZZ_JournalStdAbbrev&gt;&lt;ZZ_WorkformID&gt;1&lt;/ZZ_WorkformID&gt;&lt;/MDL&gt;&lt;/Cite&gt;&lt;/Refman&gt;</w:instrText>
      </w:r>
      <w:r w:rsidR="00706A77" w:rsidRPr="00140622">
        <w:rPr>
          <w:sz w:val="24"/>
          <w:szCs w:val="24"/>
        </w:rPr>
        <w:fldChar w:fldCharType="separate"/>
      </w:r>
      <w:r w:rsidR="00080721">
        <w:rPr>
          <w:sz w:val="24"/>
          <w:szCs w:val="24"/>
        </w:rPr>
        <w:t>(25)</w:t>
      </w:r>
      <w:r w:rsidR="00706A77" w:rsidRPr="00140622">
        <w:rPr>
          <w:sz w:val="24"/>
          <w:szCs w:val="24"/>
        </w:rPr>
        <w:fldChar w:fldCharType="end"/>
      </w:r>
      <w:r w:rsidRPr="00140622">
        <w:rPr>
          <w:sz w:val="24"/>
          <w:szCs w:val="24"/>
        </w:rPr>
        <w:t xml:space="preserve">.  </w:t>
      </w:r>
      <w:r w:rsidR="003E5685" w:rsidRPr="00140622">
        <w:rPr>
          <w:bCs/>
          <w:sz w:val="24"/>
          <w:szCs w:val="24"/>
        </w:rPr>
        <w:t>Preemptive therapy will continue for a minimum of 14 days or for as long as the subject remains in the ICU up to a ma</w:t>
      </w:r>
      <w:r w:rsidR="007071E2" w:rsidRPr="00140622">
        <w:rPr>
          <w:bCs/>
          <w:sz w:val="24"/>
          <w:szCs w:val="24"/>
        </w:rPr>
        <w:t>ximum of 28 days duration</w:t>
      </w:r>
      <w:r w:rsidR="003E5685" w:rsidRPr="00140622">
        <w:rPr>
          <w:bCs/>
          <w:sz w:val="24"/>
          <w:szCs w:val="24"/>
        </w:rPr>
        <w:t xml:space="preserve">. </w:t>
      </w:r>
    </w:p>
    <w:p w:rsidR="00D00213" w:rsidRPr="00140622" w:rsidRDefault="00032D1D" w:rsidP="00FC1BDA">
      <w:pPr>
        <w:spacing w:line="480" w:lineRule="auto"/>
        <w:ind w:firstLine="720"/>
        <w:jc w:val="both"/>
        <w:rPr>
          <w:sz w:val="24"/>
          <w:szCs w:val="24"/>
        </w:rPr>
      </w:pPr>
      <w:r w:rsidRPr="00140622">
        <w:rPr>
          <w:sz w:val="24"/>
          <w:szCs w:val="24"/>
        </w:rPr>
        <w:t>If</w:t>
      </w:r>
      <w:r w:rsidR="00876086" w:rsidRPr="00140622">
        <w:rPr>
          <w:sz w:val="24"/>
          <w:szCs w:val="24"/>
        </w:rPr>
        <w:t xml:space="preserve"> the BDG</w:t>
      </w:r>
      <w:r w:rsidR="00D00213" w:rsidRPr="00140622">
        <w:rPr>
          <w:sz w:val="24"/>
          <w:szCs w:val="24"/>
        </w:rPr>
        <w:t xml:space="preserve"> test turns positive</w:t>
      </w:r>
      <w:r w:rsidRPr="00140622">
        <w:rPr>
          <w:sz w:val="24"/>
          <w:szCs w:val="24"/>
        </w:rPr>
        <w:t xml:space="preserve"> and preemptive therapy is</w:t>
      </w:r>
      <w:r w:rsidR="00D00213" w:rsidRPr="00140622">
        <w:rPr>
          <w:sz w:val="24"/>
          <w:szCs w:val="24"/>
        </w:rPr>
        <w:t xml:space="preserve"> initiated, </w:t>
      </w:r>
      <w:r w:rsidR="00876086" w:rsidRPr="00140622">
        <w:rPr>
          <w:sz w:val="24"/>
          <w:szCs w:val="24"/>
        </w:rPr>
        <w:t xml:space="preserve">serum will </w:t>
      </w:r>
      <w:r w:rsidR="00BD2DC7" w:rsidRPr="00140622">
        <w:rPr>
          <w:sz w:val="24"/>
          <w:szCs w:val="24"/>
        </w:rPr>
        <w:t xml:space="preserve">then </w:t>
      </w:r>
      <w:r w:rsidR="00876086" w:rsidRPr="00140622">
        <w:rPr>
          <w:sz w:val="24"/>
          <w:szCs w:val="24"/>
        </w:rPr>
        <w:t xml:space="preserve">be collected </w:t>
      </w:r>
      <w:r w:rsidR="00D00213" w:rsidRPr="00140622">
        <w:rPr>
          <w:sz w:val="24"/>
          <w:szCs w:val="24"/>
        </w:rPr>
        <w:t xml:space="preserve">every other day to assess the kinetics of the </w:t>
      </w:r>
      <w:r w:rsidR="00BD2DC7" w:rsidRPr="00140622">
        <w:rPr>
          <w:sz w:val="24"/>
          <w:szCs w:val="24"/>
        </w:rPr>
        <w:t xml:space="preserve">BDG </w:t>
      </w:r>
      <w:r w:rsidR="00D00213" w:rsidRPr="00140622">
        <w:rPr>
          <w:sz w:val="24"/>
          <w:szCs w:val="24"/>
        </w:rPr>
        <w:t xml:space="preserve">test on </w:t>
      </w:r>
      <w:proofErr w:type="spellStart"/>
      <w:r w:rsidR="00876086" w:rsidRPr="00140622">
        <w:rPr>
          <w:sz w:val="24"/>
          <w:szCs w:val="24"/>
        </w:rPr>
        <w:t>anidulafungin</w:t>
      </w:r>
      <w:proofErr w:type="spellEnd"/>
      <w:r w:rsidR="00876086" w:rsidRPr="00140622">
        <w:rPr>
          <w:sz w:val="24"/>
          <w:szCs w:val="24"/>
        </w:rPr>
        <w:t xml:space="preserve"> treatment.  </w:t>
      </w:r>
      <w:r w:rsidRPr="00140622">
        <w:rPr>
          <w:sz w:val="24"/>
          <w:szCs w:val="24"/>
        </w:rPr>
        <w:t xml:space="preserve">Kinetic </w:t>
      </w:r>
      <w:r w:rsidR="00876086" w:rsidRPr="00140622">
        <w:rPr>
          <w:sz w:val="24"/>
          <w:szCs w:val="24"/>
        </w:rPr>
        <w:t>m</w:t>
      </w:r>
      <w:r w:rsidR="00D00213" w:rsidRPr="00140622">
        <w:rPr>
          <w:sz w:val="24"/>
          <w:szCs w:val="24"/>
        </w:rPr>
        <w:t>onitoring will continu</w:t>
      </w:r>
      <w:r w:rsidR="00876086" w:rsidRPr="00140622">
        <w:rPr>
          <w:sz w:val="24"/>
          <w:szCs w:val="24"/>
        </w:rPr>
        <w:t>e until</w:t>
      </w:r>
      <w:r w:rsidRPr="00140622">
        <w:rPr>
          <w:sz w:val="24"/>
          <w:szCs w:val="24"/>
        </w:rPr>
        <w:t xml:space="preserve"> the test becomes negative at which time </w:t>
      </w:r>
      <w:r w:rsidR="00BD2DC7" w:rsidRPr="00140622">
        <w:rPr>
          <w:sz w:val="24"/>
          <w:szCs w:val="24"/>
        </w:rPr>
        <w:t>t</w:t>
      </w:r>
      <w:r w:rsidR="00876086" w:rsidRPr="00140622">
        <w:rPr>
          <w:sz w:val="24"/>
          <w:szCs w:val="24"/>
        </w:rPr>
        <w:t xml:space="preserve">wice weekly </w:t>
      </w:r>
      <w:r w:rsidR="00BD2DC7" w:rsidRPr="00140622">
        <w:rPr>
          <w:sz w:val="24"/>
          <w:szCs w:val="24"/>
        </w:rPr>
        <w:t>assessments will be resumed and continue</w:t>
      </w:r>
      <w:r w:rsidRPr="00140622">
        <w:rPr>
          <w:sz w:val="24"/>
          <w:szCs w:val="24"/>
        </w:rPr>
        <w:t xml:space="preserve"> </w:t>
      </w:r>
      <w:r w:rsidR="00D00213" w:rsidRPr="00140622">
        <w:rPr>
          <w:sz w:val="24"/>
          <w:szCs w:val="24"/>
        </w:rPr>
        <w:t>for as long as the patient remains in the SICU.</w:t>
      </w:r>
      <w:r w:rsidR="00080721">
        <w:rPr>
          <w:sz w:val="24"/>
          <w:szCs w:val="24"/>
        </w:rPr>
        <w:t xml:space="preserve">  Samples collected while patients are receiving </w:t>
      </w:r>
      <w:proofErr w:type="spellStart"/>
      <w:r w:rsidR="00080721">
        <w:rPr>
          <w:sz w:val="24"/>
          <w:szCs w:val="24"/>
        </w:rPr>
        <w:t>anidulafungin</w:t>
      </w:r>
      <w:proofErr w:type="spellEnd"/>
      <w:r w:rsidR="00080721">
        <w:rPr>
          <w:sz w:val="24"/>
          <w:szCs w:val="24"/>
        </w:rPr>
        <w:t xml:space="preserve"> will be batched and run retrospectively.  Clinicians will not have these results made available for use in real-time.  However, once preemptive </w:t>
      </w:r>
      <w:proofErr w:type="spellStart"/>
      <w:r w:rsidR="00080721">
        <w:rPr>
          <w:sz w:val="24"/>
          <w:szCs w:val="24"/>
        </w:rPr>
        <w:t>anidulafungin</w:t>
      </w:r>
      <w:proofErr w:type="spellEnd"/>
      <w:r w:rsidR="00080721">
        <w:rPr>
          <w:sz w:val="24"/>
          <w:szCs w:val="24"/>
        </w:rPr>
        <w:t xml:space="preserve"> </w:t>
      </w:r>
      <w:r w:rsidR="00080721">
        <w:rPr>
          <w:sz w:val="24"/>
          <w:szCs w:val="24"/>
        </w:rPr>
        <w:lastRenderedPageBreak/>
        <w:t>therapy is completed and the drug has been stopped, biweekly monitoring with results reported to the medical team will be resumed.</w:t>
      </w:r>
      <w:r w:rsidR="00AB264F">
        <w:rPr>
          <w:sz w:val="24"/>
          <w:szCs w:val="24"/>
        </w:rPr>
        <w:t xml:space="preserve">  Subjects, however will not be restarted on </w:t>
      </w:r>
      <w:proofErr w:type="spellStart"/>
      <w:r w:rsidR="00AB264F">
        <w:rPr>
          <w:sz w:val="24"/>
          <w:szCs w:val="24"/>
        </w:rPr>
        <w:t>anidulafungin</w:t>
      </w:r>
      <w:proofErr w:type="spellEnd"/>
      <w:r w:rsidR="00AB264F">
        <w:rPr>
          <w:sz w:val="24"/>
          <w:szCs w:val="24"/>
        </w:rPr>
        <w:t xml:space="preserve"> should the test again turn positive after a course of preemptive therapy is completed.</w:t>
      </w:r>
    </w:p>
    <w:p w:rsidR="00D00213" w:rsidRPr="00140622" w:rsidRDefault="00D00213" w:rsidP="00FC1BDA">
      <w:pPr>
        <w:spacing w:line="480" w:lineRule="auto"/>
        <w:jc w:val="both"/>
        <w:rPr>
          <w:sz w:val="24"/>
          <w:szCs w:val="24"/>
        </w:rPr>
      </w:pPr>
    </w:p>
    <w:p w:rsidR="00D00213" w:rsidRPr="00140622" w:rsidRDefault="00D00213" w:rsidP="00FC1BDA">
      <w:pPr>
        <w:spacing w:line="480" w:lineRule="auto"/>
        <w:jc w:val="both"/>
        <w:rPr>
          <w:b/>
          <w:sz w:val="24"/>
          <w:szCs w:val="24"/>
        </w:rPr>
      </w:pPr>
      <w:r w:rsidRPr="00140622">
        <w:rPr>
          <w:b/>
          <w:sz w:val="24"/>
          <w:szCs w:val="24"/>
        </w:rPr>
        <w:t>Standard care/empiric therapy group</w:t>
      </w:r>
    </w:p>
    <w:p w:rsidR="00D00213" w:rsidRPr="00140622" w:rsidRDefault="00213250" w:rsidP="00FC1BDA">
      <w:pPr>
        <w:spacing w:line="480" w:lineRule="auto"/>
        <w:ind w:firstLine="720"/>
        <w:jc w:val="both"/>
        <w:rPr>
          <w:b/>
          <w:sz w:val="24"/>
          <w:szCs w:val="24"/>
        </w:rPr>
      </w:pPr>
      <w:r>
        <w:rPr>
          <w:sz w:val="24"/>
          <w:szCs w:val="24"/>
        </w:rPr>
        <w:t xml:space="preserve">Patients in the standard </w:t>
      </w:r>
      <w:r w:rsidR="00D00213" w:rsidRPr="00140622">
        <w:rPr>
          <w:sz w:val="24"/>
          <w:szCs w:val="24"/>
        </w:rPr>
        <w:t>care arm will also have biweekly blood draws for the</w:t>
      </w:r>
      <w:r w:rsidR="00D00213" w:rsidRPr="00140622">
        <w:rPr>
          <w:b/>
          <w:sz w:val="24"/>
          <w:szCs w:val="24"/>
        </w:rPr>
        <w:t xml:space="preserve"> </w:t>
      </w:r>
      <w:r w:rsidR="00D00213" w:rsidRPr="00140622">
        <w:rPr>
          <w:sz w:val="24"/>
          <w:szCs w:val="24"/>
        </w:rPr>
        <w:t>BDG assay until ICU discharge, but the test will not be performed in real-time.  Specimens collected from subjects in this arm of the study will be batch</w:t>
      </w:r>
      <w:r w:rsidR="00BD2DC7" w:rsidRPr="00140622">
        <w:rPr>
          <w:sz w:val="24"/>
          <w:szCs w:val="24"/>
        </w:rPr>
        <w:t>ed and</w:t>
      </w:r>
      <w:r w:rsidR="00D00213" w:rsidRPr="00140622">
        <w:rPr>
          <w:sz w:val="24"/>
          <w:szCs w:val="24"/>
        </w:rPr>
        <w:t xml:space="preserve"> tested retrospectively.  The clinicians, therefore, will be blinded to the </w:t>
      </w:r>
      <w:r w:rsidR="00032D1D" w:rsidRPr="00140622">
        <w:rPr>
          <w:sz w:val="24"/>
          <w:szCs w:val="24"/>
        </w:rPr>
        <w:t xml:space="preserve">BDG </w:t>
      </w:r>
      <w:r w:rsidR="00D00213" w:rsidRPr="00140622">
        <w:rPr>
          <w:sz w:val="24"/>
          <w:szCs w:val="24"/>
        </w:rPr>
        <w:t>results</w:t>
      </w:r>
      <w:r w:rsidR="006C5C69" w:rsidRPr="00140622">
        <w:rPr>
          <w:sz w:val="24"/>
          <w:szCs w:val="24"/>
        </w:rPr>
        <w:t xml:space="preserve"> and </w:t>
      </w:r>
      <w:proofErr w:type="spellStart"/>
      <w:r w:rsidR="006C5C69" w:rsidRPr="00140622">
        <w:rPr>
          <w:sz w:val="24"/>
          <w:szCs w:val="24"/>
        </w:rPr>
        <w:t>can not</w:t>
      </w:r>
      <w:proofErr w:type="spellEnd"/>
      <w:r w:rsidR="006C5C69" w:rsidRPr="00140622">
        <w:rPr>
          <w:sz w:val="24"/>
          <w:szCs w:val="24"/>
        </w:rPr>
        <w:t xml:space="preserve"> use the assay</w:t>
      </w:r>
      <w:r w:rsidR="00D00213" w:rsidRPr="00140622">
        <w:rPr>
          <w:sz w:val="24"/>
          <w:szCs w:val="24"/>
        </w:rPr>
        <w:t xml:space="preserve"> </w:t>
      </w:r>
      <w:r w:rsidR="00BD2DC7" w:rsidRPr="00140622">
        <w:rPr>
          <w:sz w:val="24"/>
          <w:szCs w:val="24"/>
        </w:rPr>
        <w:t>to inform treatment</w:t>
      </w:r>
      <w:r w:rsidR="00BF592C">
        <w:rPr>
          <w:sz w:val="24"/>
          <w:szCs w:val="24"/>
        </w:rPr>
        <w:t xml:space="preserve"> decisions</w:t>
      </w:r>
      <w:r w:rsidR="00D00213" w:rsidRPr="00140622">
        <w:rPr>
          <w:sz w:val="24"/>
          <w:szCs w:val="24"/>
        </w:rPr>
        <w:t xml:space="preserve">.  </w:t>
      </w:r>
      <w:r w:rsidR="00BD2DC7" w:rsidRPr="00140622">
        <w:rPr>
          <w:sz w:val="24"/>
          <w:szCs w:val="24"/>
        </w:rPr>
        <w:t xml:space="preserve">Because </w:t>
      </w:r>
      <w:r w:rsidR="00D00213" w:rsidRPr="00140622">
        <w:rPr>
          <w:sz w:val="24"/>
          <w:szCs w:val="24"/>
        </w:rPr>
        <w:t>BDG test characteristics in SICU patients are not known, an essential</w:t>
      </w:r>
      <w:r w:rsidR="00BD2DC7" w:rsidRPr="00140622">
        <w:rPr>
          <w:sz w:val="24"/>
          <w:szCs w:val="24"/>
        </w:rPr>
        <w:t xml:space="preserve"> aspect of this</w:t>
      </w:r>
      <w:r w:rsidR="006C5C69" w:rsidRPr="00140622">
        <w:rPr>
          <w:sz w:val="24"/>
          <w:szCs w:val="24"/>
        </w:rPr>
        <w:t xml:space="preserve"> study is our ability to assess test</w:t>
      </w:r>
      <w:r w:rsidR="00D00213" w:rsidRPr="00140622">
        <w:rPr>
          <w:sz w:val="24"/>
          <w:szCs w:val="24"/>
        </w:rPr>
        <w:t xml:space="preserve"> performance in </w:t>
      </w:r>
      <w:r w:rsidR="00032D1D" w:rsidRPr="00140622">
        <w:rPr>
          <w:sz w:val="24"/>
          <w:szCs w:val="24"/>
        </w:rPr>
        <w:t xml:space="preserve">the population of interest </w:t>
      </w:r>
      <w:r w:rsidR="006C5C69" w:rsidRPr="00140622">
        <w:rPr>
          <w:sz w:val="24"/>
          <w:szCs w:val="24"/>
        </w:rPr>
        <w:t xml:space="preserve">in </w:t>
      </w:r>
      <w:r w:rsidR="00D00213" w:rsidRPr="00140622">
        <w:rPr>
          <w:sz w:val="24"/>
          <w:szCs w:val="24"/>
        </w:rPr>
        <w:t xml:space="preserve">an unbiased fashion. </w:t>
      </w:r>
      <w:r w:rsidR="006C5C69" w:rsidRPr="00140622">
        <w:rPr>
          <w:sz w:val="24"/>
          <w:szCs w:val="24"/>
        </w:rPr>
        <w:t xml:space="preserve"> Patients </w:t>
      </w:r>
      <w:r w:rsidR="00032D1D" w:rsidRPr="00140622">
        <w:rPr>
          <w:sz w:val="24"/>
          <w:szCs w:val="24"/>
        </w:rPr>
        <w:t xml:space="preserve">in </w:t>
      </w:r>
      <w:r w:rsidR="006C5C69" w:rsidRPr="00140622">
        <w:rPr>
          <w:sz w:val="24"/>
          <w:szCs w:val="24"/>
        </w:rPr>
        <w:t>the standard care</w:t>
      </w:r>
      <w:r w:rsidR="00D00213" w:rsidRPr="00140622">
        <w:rPr>
          <w:sz w:val="24"/>
          <w:szCs w:val="24"/>
        </w:rPr>
        <w:t xml:space="preserve"> group may receive antifungal prophylaxis </w:t>
      </w:r>
      <w:r w:rsidR="006265D7" w:rsidRPr="00140622">
        <w:rPr>
          <w:sz w:val="24"/>
          <w:szCs w:val="24"/>
        </w:rPr>
        <w:t>and/</w:t>
      </w:r>
      <w:r w:rsidR="00D00213" w:rsidRPr="00140622">
        <w:rPr>
          <w:sz w:val="24"/>
          <w:szCs w:val="24"/>
        </w:rPr>
        <w:t>or treatment at any time based on the discretion of the treating physician.</w:t>
      </w:r>
    </w:p>
    <w:p w:rsidR="007071E2" w:rsidRPr="00140622" w:rsidRDefault="007071E2" w:rsidP="00FC1BDA">
      <w:pPr>
        <w:tabs>
          <w:tab w:val="left" w:pos="2895"/>
          <w:tab w:val="left" w:pos="5775"/>
          <w:tab w:val="left" w:pos="8640"/>
        </w:tabs>
        <w:spacing w:before="0" w:after="0" w:line="480" w:lineRule="auto"/>
        <w:jc w:val="both"/>
        <w:rPr>
          <w:bCs/>
          <w:sz w:val="24"/>
          <w:szCs w:val="24"/>
        </w:rPr>
      </w:pPr>
    </w:p>
    <w:p w:rsidR="00FC67D5" w:rsidRPr="00140622" w:rsidRDefault="00FC67D5" w:rsidP="00FC1BDA">
      <w:pPr>
        <w:spacing w:before="0" w:after="0" w:line="480" w:lineRule="auto"/>
        <w:jc w:val="both"/>
        <w:rPr>
          <w:b/>
          <w:sz w:val="24"/>
          <w:szCs w:val="24"/>
        </w:rPr>
      </w:pPr>
      <w:r w:rsidRPr="00140622">
        <w:rPr>
          <w:b/>
          <w:sz w:val="24"/>
          <w:szCs w:val="24"/>
        </w:rPr>
        <w:t>STUDY POPULATION</w:t>
      </w:r>
    </w:p>
    <w:p w:rsidR="00D956D0" w:rsidRPr="00140622" w:rsidRDefault="00002774" w:rsidP="00FC1BDA">
      <w:pPr>
        <w:spacing w:before="0" w:after="0" w:line="480" w:lineRule="auto"/>
        <w:jc w:val="both"/>
        <w:rPr>
          <w:sz w:val="24"/>
          <w:szCs w:val="24"/>
        </w:rPr>
      </w:pPr>
      <w:r w:rsidRPr="00140622">
        <w:rPr>
          <w:b/>
          <w:sz w:val="24"/>
          <w:szCs w:val="24"/>
        </w:rPr>
        <w:t>I</w:t>
      </w:r>
      <w:r w:rsidR="00D956D0" w:rsidRPr="00140622">
        <w:rPr>
          <w:b/>
          <w:sz w:val="24"/>
          <w:szCs w:val="24"/>
        </w:rPr>
        <w:t>nclusion Criteria</w:t>
      </w:r>
    </w:p>
    <w:p w:rsidR="00002774" w:rsidRPr="00140622" w:rsidRDefault="00002774" w:rsidP="00FC1BDA">
      <w:pPr>
        <w:spacing w:before="0" w:after="0" w:line="480" w:lineRule="auto"/>
        <w:jc w:val="both"/>
        <w:rPr>
          <w:sz w:val="24"/>
          <w:szCs w:val="24"/>
        </w:rPr>
      </w:pPr>
      <w:r w:rsidRPr="00140622">
        <w:rPr>
          <w:sz w:val="24"/>
          <w:szCs w:val="24"/>
        </w:rPr>
        <w:t>Patients must meet all of the following criteria to be eligible for enrollment:</w:t>
      </w:r>
    </w:p>
    <w:p w:rsidR="006265D7" w:rsidRPr="00140622" w:rsidRDefault="006265D7" w:rsidP="00FC1BDA">
      <w:pPr>
        <w:numPr>
          <w:ilvl w:val="0"/>
          <w:numId w:val="20"/>
        </w:numPr>
        <w:tabs>
          <w:tab w:val="clear" w:pos="1800"/>
          <w:tab w:val="num" w:pos="360"/>
        </w:tabs>
        <w:spacing w:before="0" w:after="0" w:line="480" w:lineRule="auto"/>
        <w:ind w:left="360" w:firstLine="0"/>
        <w:jc w:val="both"/>
        <w:rPr>
          <w:b/>
          <w:sz w:val="24"/>
          <w:szCs w:val="24"/>
        </w:rPr>
      </w:pPr>
      <w:r w:rsidRPr="00140622">
        <w:rPr>
          <w:sz w:val="24"/>
          <w:szCs w:val="24"/>
        </w:rPr>
        <w:t>Age ≥18 years</w:t>
      </w:r>
    </w:p>
    <w:p w:rsidR="006265D7" w:rsidRPr="00140622" w:rsidRDefault="006265D7" w:rsidP="00FC1BDA">
      <w:pPr>
        <w:numPr>
          <w:ilvl w:val="0"/>
          <w:numId w:val="20"/>
        </w:numPr>
        <w:tabs>
          <w:tab w:val="clear" w:pos="1800"/>
          <w:tab w:val="num" w:pos="360"/>
        </w:tabs>
        <w:spacing w:before="0" w:after="0" w:line="480" w:lineRule="auto"/>
        <w:ind w:left="360" w:firstLine="0"/>
        <w:jc w:val="both"/>
        <w:rPr>
          <w:b/>
          <w:sz w:val="24"/>
          <w:szCs w:val="24"/>
        </w:rPr>
      </w:pPr>
      <w:r w:rsidRPr="00140622">
        <w:rPr>
          <w:sz w:val="24"/>
          <w:szCs w:val="24"/>
        </w:rPr>
        <w:t xml:space="preserve">Admission to the SICU </w:t>
      </w:r>
      <w:r w:rsidR="005624FD">
        <w:rPr>
          <w:sz w:val="24"/>
          <w:szCs w:val="24"/>
        </w:rPr>
        <w:t>or MICU</w:t>
      </w:r>
      <w:r w:rsidR="00E05AC5">
        <w:rPr>
          <w:sz w:val="24"/>
          <w:szCs w:val="24"/>
        </w:rPr>
        <w:t xml:space="preserve"> </w:t>
      </w:r>
      <w:r w:rsidRPr="00140622">
        <w:rPr>
          <w:sz w:val="24"/>
          <w:szCs w:val="24"/>
        </w:rPr>
        <w:t>for ≥ 72 hours and expected to stay and additional 48 hours</w:t>
      </w:r>
    </w:p>
    <w:p w:rsidR="006265D7" w:rsidRPr="00140622" w:rsidRDefault="006265D7" w:rsidP="00FC1BDA">
      <w:pPr>
        <w:numPr>
          <w:ilvl w:val="0"/>
          <w:numId w:val="20"/>
        </w:numPr>
        <w:tabs>
          <w:tab w:val="clear" w:pos="1800"/>
          <w:tab w:val="num" w:pos="360"/>
        </w:tabs>
        <w:spacing w:before="0" w:after="0" w:line="480" w:lineRule="auto"/>
        <w:ind w:left="360" w:firstLine="0"/>
        <w:jc w:val="both"/>
        <w:rPr>
          <w:b/>
          <w:sz w:val="24"/>
          <w:szCs w:val="24"/>
        </w:rPr>
      </w:pPr>
      <w:r w:rsidRPr="00140622">
        <w:rPr>
          <w:sz w:val="24"/>
          <w:szCs w:val="24"/>
        </w:rPr>
        <w:t>IV access for administration of study drug</w:t>
      </w:r>
    </w:p>
    <w:p w:rsidR="006265D7" w:rsidRPr="00140622" w:rsidRDefault="006265D7" w:rsidP="00FC1BDA">
      <w:pPr>
        <w:numPr>
          <w:ilvl w:val="0"/>
          <w:numId w:val="20"/>
        </w:numPr>
        <w:tabs>
          <w:tab w:val="clear" w:pos="1800"/>
          <w:tab w:val="num" w:pos="360"/>
        </w:tabs>
        <w:spacing w:before="0" w:after="0" w:line="480" w:lineRule="auto"/>
        <w:ind w:left="360" w:firstLine="0"/>
        <w:jc w:val="both"/>
        <w:rPr>
          <w:b/>
          <w:sz w:val="24"/>
          <w:szCs w:val="24"/>
        </w:rPr>
      </w:pPr>
      <w:r w:rsidRPr="00140622">
        <w:rPr>
          <w:sz w:val="24"/>
          <w:szCs w:val="24"/>
        </w:rPr>
        <w:t>Subject (or subject</w:t>
      </w:r>
      <w:r w:rsidR="0070372B" w:rsidRPr="00140622">
        <w:rPr>
          <w:sz w:val="24"/>
          <w:szCs w:val="24"/>
        </w:rPr>
        <w:t>’</w:t>
      </w:r>
      <w:r w:rsidRPr="00140622">
        <w:rPr>
          <w:sz w:val="24"/>
          <w:szCs w:val="24"/>
        </w:rPr>
        <w:t>s legal representative) able to give written informed consent</w:t>
      </w:r>
    </w:p>
    <w:p w:rsidR="006265D7" w:rsidRPr="00140622" w:rsidRDefault="006265D7" w:rsidP="00FC1BDA">
      <w:pPr>
        <w:tabs>
          <w:tab w:val="num" w:pos="360"/>
        </w:tabs>
        <w:spacing w:before="0" w:after="0" w:line="480" w:lineRule="auto"/>
        <w:ind w:left="360"/>
        <w:jc w:val="both"/>
        <w:rPr>
          <w:sz w:val="24"/>
          <w:szCs w:val="24"/>
        </w:rPr>
      </w:pPr>
    </w:p>
    <w:p w:rsidR="00002774" w:rsidRPr="00140622" w:rsidRDefault="00002774" w:rsidP="00FC1BDA">
      <w:pPr>
        <w:spacing w:before="0" w:after="0" w:line="480" w:lineRule="auto"/>
        <w:jc w:val="both"/>
        <w:rPr>
          <w:sz w:val="24"/>
          <w:szCs w:val="24"/>
        </w:rPr>
      </w:pPr>
      <w:r w:rsidRPr="00140622">
        <w:rPr>
          <w:b/>
          <w:sz w:val="24"/>
          <w:szCs w:val="24"/>
        </w:rPr>
        <w:t>E</w:t>
      </w:r>
      <w:r w:rsidR="00D956D0" w:rsidRPr="00140622">
        <w:rPr>
          <w:b/>
          <w:sz w:val="24"/>
          <w:szCs w:val="24"/>
        </w:rPr>
        <w:t>xclusion Criteria</w:t>
      </w:r>
    </w:p>
    <w:p w:rsidR="00002774" w:rsidRPr="00140622" w:rsidRDefault="00002774" w:rsidP="00FC1BDA">
      <w:pPr>
        <w:spacing w:before="0" w:after="0" w:line="480" w:lineRule="auto"/>
        <w:jc w:val="both"/>
        <w:rPr>
          <w:sz w:val="24"/>
          <w:szCs w:val="24"/>
        </w:rPr>
      </w:pPr>
      <w:r w:rsidRPr="00140622">
        <w:rPr>
          <w:sz w:val="24"/>
          <w:szCs w:val="24"/>
        </w:rPr>
        <w:lastRenderedPageBreak/>
        <w:t xml:space="preserve">Individuals who have one or </w:t>
      </w:r>
      <w:r w:rsidR="0070372B" w:rsidRPr="00140622">
        <w:rPr>
          <w:sz w:val="24"/>
          <w:szCs w:val="24"/>
        </w:rPr>
        <w:t>more of the following criteria</w:t>
      </w:r>
      <w:r w:rsidRPr="00140622">
        <w:rPr>
          <w:sz w:val="24"/>
          <w:szCs w:val="24"/>
        </w:rPr>
        <w:t xml:space="preserve"> will not be eligible for participation:</w:t>
      </w:r>
    </w:p>
    <w:p w:rsidR="00002774" w:rsidRPr="00140622" w:rsidRDefault="0070372B" w:rsidP="00FC1BDA">
      <w:pPr>
        <w:numPr>
          <w:ilvl w:val="0"/>
          <w:numId w:val="13"/>
        </w:numPr>
        <w:spacing w:before="0" w:after="0" w:line="480" w:lineRule="auto"/>
        <w:jc w:val="both"/>
        <w:rPr>
          <w:sz w:val="24"/>
          <w:szCs w:val="24"/>
        </w:rPr>
      </w:pPr>
      <w:r w:rsidRPr="00140622">
        <w:rPr>
          <w:sz w:val="24"/>
          <w:szCs w:val="24"/>
        </w:rPr>
        <w:t>History of hypersensitivity or intolerance</w:t>
      </w:r>
      <w:r w:rsidR="006265D7" w:rsidRPr="00140622">
        <w:rPr>
          <w:sz w:val="24"/>
          <w:szCs w:val="24"/>
        </w:rPr>
        <w:t xml:space="preserve"> to </w:t>
      </w:r>
      <w:proofErr w:type="spellStart"/>
      <w:r w:rsidR="00B640E3">
        <w:rPr>
          <w:sz w:val="24"/>
          <w:szCs w:val="24"/>
        </w:rPr>
        <w:t>echi</w:t>
      </w:r>
      <w:r w:rsidR="00B640E3" w:rsidRPr="00140622">
        <w:rPr>
          <w:sz w:val="24"/>
          <w:szCs w:val="24"/>
        </w:rPr>
        <w:t>nocandin</w:t>
      </w:r>
      <w:proofErr w:type="spellEnd"/>
      <w:r w:rsidR="0016065B" w:rsidRPr="00140622">
        <w:rPr>
          <w:sz w:val="24"/>
          <w:szCs w:val="24"/>
        </w:rPr>
        <w:t xml:space="preserve"> antifungals</w:t>
      </w:r>
    </w:p>
    <w:p w:rsidR="00204A03" w:rsidRPr="00140622" w:rsidRDefault="0086466F" w:rsidP="00FC1BDA">
      <w:pPr>
        <w:numPr>
          <w:ilvl w:val="0"/>
          <w:numId w:val="13"/>
        </w:numPr>
        <w:spacing w:before="0" w:after="0" w:line="480" w:lineRule="auto"/>
        <w:jc w:val="both"/>
        <w:rPr>
          <w:sz w:val="24"/>
          <w:szCs w:val="24"/>
        </w:rPr>
      </w:pPr>
      <w:r w:rsidRPr="00140622">
        <w:rPr>
          <w:sz w:val="24"/>
          <w:szCs w:val="24"/>
        </w:rPr>
        <w:t>Liver</w:t>
      </w:r>
      <w:r w:rsidR="00F641AC" w:rsidRPr="00140622">
        <w:rPr>
          <w:sz w:val="24"/>
          <w:szCs w:val="24"/>
        </w:rPr>
        <w:t xml:space="preserve"> </w:t>
      </w:r>
      <w:r w:rsidR="008F2175" w:rsidRPr="00140622">
        <w:rPr>
          <w:sz w:val="24"/>
          <w:szCs w:val="24"/>
        </w:rPr>
        <w:t>f</w:t>
      </w:r>
      <w:r w:rsidR="00F641AC" w:rsidRPr="00140622">
        <w:rPr>
          <w:sz w:val="24"/>
          <w:szCs w:val="24"/>
        </w:rPr>
        <w:t xml:space="preserve">unction </w:t>
      </w:r>
      <w:r w:rsidR="008F2175" w:rsidRPr="00140622">
        <w:rPr>
          <w:sz w:val="24"/>
          <w:szCs w:val="24"/>
        </w:rPr>
        <w:t>t</w:t>
      </w:r>
      <w:r w:rsidR="00F641AC" w:rsidRPr="00140622">
        <w:rPr>
          <w:sz w:val="24"/>
          <w:szCs w:val="24"/>
        </w:rPr>
        <w:t>est (ALT, AST</w:t>
      </w:r>
      <w:r w:rsidR="00D956D0" w:rsidRPr="00140622">
        <w:rPr>
          <w:sz w:val="24"/>
          <w:szCs w:val="24"/>
        </w:rPr>
        <w:t xml:space="preserve">, </w:t>
      </w:r>
      <w:r w:rsidR="00002774" w:rsidRPr="00140622">
        <w:rPr>
          <w:sz w:val="24"/>
          <w:szCs w:val="24"/>
        </w:rPr>
        <w:t>and</w:t>
      </w:r>
      <w:r w:rsidR="00D956D0" w:rsidRPr="00140622">
        <w:rPr>
          <w:sz w:val="24"/>
          <w:szCs w:val="24"/>
        </w:rPr>
        <w:t>/</w:t>
      </w:r>
      <w:r w:rsidR="00002774" w:rsidRPr="00140622">
        <w:rPr>
          <w:sz w:val="24"/>
          <w:szCs w:val="24"/>
        </w:rPr>
        <w:t xml:space="preserve">or </w:t>
      </w:r>
      <w:r w:rsidR="00D956D0" w:rsidRPr="00140622">
        <w:rPr>
          <w:sz w:val="24"/>
          <w:szCs w:val="24"/>
        </w:rPr>
        <w:t>t</w:t>
      </w:r>
      <w:r w:rsidR="00002774" w:rsidRPr="00140622">
        <w:rPr>
          <w:sz w:val="24"/>
          <w:szCs w:val="24"/>
        </w:rPr>
        <w:t xml:space="preserve">otal </w:t>
      </w:r>
      <w:r w:rsidR="00D956D0" w:rsidRPr="00140622">
        <w:rPr>
          <w:sz w:val="24"/>
          <w:szCs w:val="24"/>
        </w:rPr>
        <w:t>b</w:t>
      </w:r>
      <w:r w:rsidR="00002774" w:rsidRPr="00140622">
        <w:rPr>
          <w:sz w:val="24"/>
          <w:szCs w:val="24"/>
        </w:rPr>
        <w:t>ilirubin</w:t>
      </w:r>
      <w:r w:rsidR="00F641AC" w:rsidRPr="00140622">
        <w:rPr>
          <w:sz w:val="24"/>
          <w:szCs w:val="24"/>
        </w:rPr>
        <w:t>)</w:t>
      </w:r>
      <w:r w:rsidR="00E05AC5">
        <w:rPr>
          <w:sz w:val="24"/>
          <w:szCs w:val="24"/>
        </w:rPr>
        <w:t xml:space="preserve">greater than </w:t>
      </w:r>
      <w:r w:rsidR="0053409B">
        <w:rPr>
          <w:sz w:val="24"/>
          <w:szCs w:val="24"/>
        </w:rPr>
        <w:t xml:space="preserve">10 </w:t>
      </w:r>
      <w:r w:rsidR="00204A03" w:rsidRPr="00140622">
        <w:rPr>
          <w:sz w:val="24"/>
          <w:szCs w:val="24"/>
        </w:rPr>
        <w:t xml:space="preserve">times </w:t>
      </w:r>
      <w:r w:rsidR="00E05AC5">
        <w:rPr>
          <w:sz w:val="24"/>
          <w:szCs w:val="24"/>
        </w:rPr>
        <w:t xml:space="preserve">the </w:t>
      </w:r>
      <w:r w:rsidR="00204A03" w:rsidRPr="00140622">
        <w:rPr>
          <w:sz w:val="24"/>
          <w:szCs w:val="24"/>
        </w:rPr>
        <w:t xml:space="preserve">upper limits of normal </w:t>
      </w:r>
      <w:r w:rsidR="00D956D0" w:rsidRPr="00140622">
        <w:rPr>
          <w:sz w:val="24"/>
          <w:szCs w:val="24"/>
        </w:rPr>
        <w:t>(ULN)</w:t>
      </w:r>
    </w:p>
    <w:p w:rsidR="007071E2" w:rsidRPr="00140622" w:rsidRDefault="007071E2" w:rsidP="00FC1BDA">
      <w:pPr>
        <w:numPr>
          <w:ilvl w:val="0"/>
          <w:numId w:val="13"/>
        </w:numPr>
        <w:spacing w:before="0" w:after="0" w:line="480" w:lineRule="auto"/>
        <w:jc w:val="both"/>
        <w:rPr>
          <w:b/>
          <w:sz w:val="24"/>
          <w:szCs w:val="24"/>
        </w:rPr>
      </w:pPr>
      <w:r w:rsidRPr="00140622">
        <w:rPr>
          <w:sz w:val="24"/>
          <w:szCs w:val="24"/>
        </w:rPr>
        <w:t>Pregnant or lactating women</w:t>
      </w:r>
    </w:p>
    <w:p w:rsidR="007071E2" w:rsidRPr="00140622" w:rsidRDefault="007071E2" w:rsidP="00FC1BDA">
      <w:pPr>
        <w:numPr>
          <w:ilvl w:val="0"/>
          <w:numId w:val="13"/>
        </w:numPr>
        <w:spacing w:before="0" w:after="0" w:line="480" w:lineRule="auto"/>
        <w:jc w:val="both"/>
        <w:rPr>
          <w:sz w:val="24"/>
          <w:szCs w:val="24"/>
        </w:rPr>
      </w:pPr>
      <w:r w:rsidRPr="00140622">
        <w:rPr>
          <w:sz w:val="24"/>
          <w:szCs w:val="24"/>
        </w:rPr>
        <w:t>Treatment with systemic antifungal therapy within the preceding 7 days</w:t>
      </w:r>
    </w:p>
    <w:p w:rsidR="007071E2" w:rsidRPr="00140622" w:rsidRDefault="007071E2" w:rsidP="00FC1BDA">
      <w:pPr>
        <w:numPr>
          <w:ilvl w:val="0"/>
          <w:numId w:val="13"/>
        </w:numPr>
        <w:spacing w:before="0" w:after="0" w:line="480" w:lineRule="auto"/>
        <w:jc w:val="both"/>
        <w:rPr>
          <w:sz w:val="24"/>
          <w:szCs w:val="24"/>
        </w:rPr>
      </w:pPr>
      <w:r w:rsidRPr="00140622">
        <w:rPr>
          <w:sz w:val="24"/>
          <w:szCs w:val="24"/>
        </w:rPr>
        <w:t>Documented IFI at baseline/screening</w:t>
      </w:r>
    </w:p>
    <w:p w:rsidR="0016065B" w:rsidRPr="00140622" w:rsidRDefault="0016065B" w:rsidP="00FC1BDA">
      <w:pPr>
        <w:numPr>
          <w:ilvl w:val="0"/>
          <w:numId w:val="13"/>
        </w:numPr>
        <w:spacing w:before="0" w:after="0" w:line="480" w:lineRule="auto"/>
        <w:jc w:val="both"/>
        <w:rPr>
          <w:sz w:val="24"/>
          <w:szCs w:val="24"/>
        </w:rPr>
      </w:pPr>
      <w:r w:rsidRPr="00140622">
        <w:rPr>
          <w:sz w:val="24"/>
          <w:szCs w:val="24"/>
        </w:rPr>
        <w:t>Life expectancy less than 2 days or moribund</w:t>
      </w:r>
    </w:p>
    <w:p w:rsidR="00862C58" w:rsidRDefault="00862C58" w:rsidP="00862C58">
      <w:pPr>
        <w:spacing w:before="0" w:after="0" w:line="480" w:lineRule="auto"/>
        <w:jc w:val="both"/>
        <w:rPr>
          <w:sz w:val="24"/>
          <w:szCs w:val="24"/>
        </w:rPr>
      </w:pPr>
    </w:p>
    <w:p w:rsidR="00862C58" w:rsidRDefault="00862C58" w:rsidP="00862C58">
      <w:pPr>
        <w:spacing w:before="0" w:after="0" w:line="480" w:lineRule="auto"/>
        <w:jc w:val="both"/>
        <w:rPr>
          <w:b/>
          <w:sz w:val="24"/>
          <w:szCs w:val="24"/>
        </w:rPr>
      </w:pPr>
      <w:r w:rsidRPr="00862C58">
        <w:rPr>
          <w:b/>
          <w:sz w:val="24"/>
          <w:szCs w:val="24"/>
        </w:rPr>
        <w:t>CONSENT PROCESS</w:t>
      </w:r>
    </w:p>
    <w:p w:rsidR="00862C58" w:rsidRPr="00862C58" w:rsidRDefault="00862C58" w:rsidP="00862C58">
      <w:pPr>
        <w:spacing w:line="360" w:lineRule="auto"/>
        <w:jc w:val="both"/>
        <w:rPr>
          <w:sz w:val="24"/>
          <w:szCs w:val="24"/>
        </w:rPr>
      </w:pPr>
      <w:r>
        <w:rPr>
          <w:sz w:val="24"/>
          <w:szCs w:val="24"/>
        </w:rPr>
        <w:t>Any o</w:t>
      </w:r>
      <w:r w:rsidRPr="00862C58">
        <w:rPr>
          <w:sz w:val="24"/>
          <w:szCs w:val="24"/>
        </w:rPr>
        <w:t>n</w:t>
      </w:r>
      <w:r>
        <w:rPr>
          <w:sz w:val="24"/>
          <w:szCs w:val="24"/>
        </w:rPr>
        <w:t>e of the primary investigators may</w:t>
      </w:r>
      <w:r w:rsidRPr="00862C58">
        <w:rPr>
          <w:sz w:val="24"/>
          <w:szCs w:val="24"/>
        </w:rPr>
        <w:t xml:space="preserve"> conduct the consent process.  If the potential subject is awake, alert, and able to engage in discussion, the process will occur in the subject’s room.  If the potential subject is sedated and/or unable to actively engage in the consent process for other reasons, discussion will be held with a legal representative, either in the subject’s room or in a private family conference room in the SICU.  Approximately 30 minutes will be allocated for conducting the consent </w:t>
      </w:r>
      <w:r>
        <w:rPr>
          <w:sz w:val="24"/>
          <w:szCs w:val="24"/>
        </w:rPr>
        <w:t xml:space="preserve">process, but may </w:t>
      </w:r>
      <w:r w:rsidRPr="00862C58">
        <w:rPr>
          <w:sz w:val="24"/>
          <w:szCs w:val="24"/>
        </w:rPr>
        <w:t>vary depending on the number or questions posed to the investigator.  The subject or their surrogate will have up to 48 hours to consider whether or not to participate.</w:t>
      </w:r>
    </w:p>
    <w:p w:rsidR="00862C58" w:rsidRPr="00862C58" w:rsidRDefault="00862C58" w:rsidP="00862C58">
      <w:pPr>
        <w:spacing w:line="360" w:lineRule="auto"/>
        <w:jc w:val="both"/>
        <w:rPr>
          <w:b/>
          <w:sz w:val="24"/>
          <w:szCs w:val="24"/>
        </w:rPr>
      </w:pPr>
    </w:p>
    <w:p w:rsidR="00862C58" w:rsidRDefault="00862C58" w:rsidP="00862C58">
      <w:pPr>
        <w:spacing w:line="360" w:lineRule="auto"/>
        <w:jc w:val="both"/>
        <w:rPr>
          <w:b/>
          <w:sz w:val="24"/>
          <w:szCs w:val="24"/>
        </w:rPr>
      </w:pPr>
      <w:r w:rsidRPr="00862C58">
        <w:rPr>
          <w:b/>
          <w:sz w:val="24"/>
          <w:szCs w:val="24"/>
        </w:rPr>
        <w:t>Subject’s capacity to give legally effective consent</w:t>
      </w:r>
    </w:p>
    <w:p w:rsidR="00862C58" w:rsidRPr="00862C58" w:rsidRDefault="00862C58" w:rsidP="00862C58">
      <w:pPr>
        <w:spacing w:line="360" w:lineRule="auto"/>
        <w:jc w:val="both"/>
        <w:rPr>
          <w:sz w:val="24"/>
          <w:szCs w:val="24"/>
        </w:rPr>
      </w:pPr>
      <w:r>
        <w:rPr>
          <w:sz w:val="24"/>
          <w:szCs w:val="24"/>
        </w:rPr>
        <w:t xml:space="preserve">A potential study subjects may </w:t>
      </w:r>
      <w:r w:rsidRPr="00862C58">
        <w:rPr>
          <w:sz w:val="24"/>
          <w:szCs w:val="24"/>
        </w:rPr>
        <w:t>not have the capacity to provide legally effective consent.  Diminished capacity will not be as</w:t>
      </w:r>
      <w:r>
        <w:rPr>
          <w:sz w:val="24"/>
          <w:szCs w:val="24"/>
        </w:rPr>
        <w:t>sessed formally, but rather should</w:t>
      </w:r>
      <w:r w:rsidRPr="00862C58">
        <w:rPr>
          <w:sz w:val="24"/>
          <w:szCs w:val="24"/>
        </w:rPr>
        <w:t xml:space="preserve"> be a reasonable clinical judgment made by the ICU care providers in conjunction with the study team.  Factors to be considered include the subject’s mental status, sedative medications, and comfort level.</w:t>
      </w:r>
      <w:r w:rsidRPr="00862C58">
        <w:rPr>
          <w:b/>
          <w:sz w:val="24"/>
          <w:szCs w:val="24"/>
        </w:rPr>
        <w:t xml:space="preserve">  </w:t>
      </w:r>
      <w:r>
        <w:rPr>
          <w:sz w:val="24"/>
          <w:szCs w:val="24"/>
        </w:rPr>
        <w:t>These factors should</w:t>
      </w:r>
      <w:r w:rsidRPr="00862C58">
        <w:rPr>
          <w:sz w:val="24"/>
          <w:szCs w:val="24"/>
        </w:rPr>
        <w:t xml:space="preserve"> be assessed by medica</w:t>
      </w:r>
      <w:r>
        <w:rPr>
          <w:sz w:val="24"/>
          <w:szCs w:val="24"/>
        </w:rPr>
        <w:t>tion review and talking to the subject</w:t>
      </w:r>
      <w:r w:rsidRPr="00862C58">
        <w:rPr>
          <w:sz w:val="24"/>
          <w:szCs w:val="24"/>
        </w:rPr>
        <w:t>.  Weekly reassessments of the subject</w:t>
      </w:r>
      <w:r>
        <w:rPr>
          <w:sz w:val="24"/>
          <w:szCs w:val="24"/>
        </w:rPr>
        <w:t>’s capacity to give consent must</w:t>
      </w:r>
      <w:r w:rsidRPr="00862C58">
        <w:rPr>
          <w:sz w:val="24"/>
          <w:szCs w:val="24"/>
        </w:rPr>
        <w:t xml:space="preserve"> be made.  If a surrogate provided the i</w:t>
      </w:r>
      <w:r>
        <w:rPr>
          <w:sz w:val="24"/>
          <w:szCs w:val="24"/>
        </w:rPr>
        <w:t>nitial consent, the subject should</w:t>
      </w:r>
      <w:r w:rsidRPr="00862C58">
        <w:rPr>
          <w:sz w:val="24"/>
          <w:szCs w:val="24"/>
        </w:rPr>
        <w:t xml:space="preserve"> be </w:t>
      </w:r>
      <w:proofErr w:type="spellStart"/>
      <w:r w:rsidRPr="00862C58">
        <w:rPr>
          <w:sz w:val="24"/>
          <w:szCs w:val="24"/>
        </w:rPr>
        <w:t>reconsented</w:t>
      </w:r>
      <w:proofErr w:type="spellEnd"/>
      <w:r w:rsidRPr="00862C58">
        <w:rPr>
          <w:sz w:val="24"/>
          <w:szCs w:val="24"/>
        </w:rPr>
        <w:t xml:space="preserve"> as soon as their decisional capacity improves.</w:t>
      </w:r>
    </w:p>
    <w:p w:rsidR="00862C58" w:rsidRPr="00862C58" w:rsidRDefault="00862C58" w:rsidP="00862C58">
      <w:pPr>
        <w:spacing w:before="0" w:after="0" w:line="480" w:lineRule="auto"/>
        <w:jc w:val="both"/>
        <w:rPr>
          <w:b/>
          <w:sz w:val="24"/>
          <w:szCs w:val="24"/>
        </w:rPr>
      </w:pPr>
    </w:p>
    <w:p w:rsidR="00FC67D5" w:rsidRPr="00140622" w:rsidRDefault="00B7068B" w:rsidP="00FC1BDA">
      <w:pPr>
        <w:spacing w:before="0" w:after="0" w:line="480" w:lineRule="auto"/>
        <w:jc w:val="both"/>
        <w:rPr>
          <w:b/>
          <w:sz w:val="24"/>
          <w:szCs w:val="24"/>
        </w:rPr>
      </w:pPr>
      <w:r w:rsidRPr="00140622">
        <w:rPr>
          <w:b/>
          <w:sz w:val="24"/>
          <w:szCs w:val="24"/>
        </w:rPr>
        <w:t>STUDY MEDICATION</w:t>
      </w:r>
    </w:p>
    <w:p w:rsidR="00667939" w:rsidRPr="00140622" w:rsidRDefault="0070372B" w:rsidP="00FC1BDA">
      <w:pPr>
        <w:spacing w:before="0" w:after="0" w:line="480" w:lineRule="auto"/>
        <w:jc w:val="both"/>
        <w:rPr>
          <w:b/>
          <w:sz w:val="24"/>
          <w:szCs w:val="24"/>
        </w:rPr>
      </w:pPr>
      <w:r w:rsidRPr="00140622">
        <w:rPr>
          <w:b/>
          <w:sz w:val="24"/>
          <w:szCs w:val="24"/>
        </w:rPr>
        <w:t>Rational for Dose Selection</w:t>
      </w:r>
    </w:p>
    <w:p w:rsidR="0041333A" w:rsidRPr="00140622" w:rsidRDefault="0070372B" w:rsidP="00FC1BDA">
      <w:pPr>
        <w:spacing w:before="0" w:after="0" w:line="480" w:lineRule="auto"/>
        <w:jc w:val="both"/>
        <w:rPr>
          <w:sz w:val="24"/>
          <w:szCs w:val="24"/>
        </w:rPr>
      </w:pPr>
      <w:r w:rsidRPr="00140622">
        <w:rPr>
          <w:b/>
          <w:sz w:val="24"/>
          <w:szCs w:val="24"/>
        </w:rPr>
        <w:tab/>
      </w:r>
      <w:r w:rsidRPr="00140622">
        <w:rPr>
          <w:sz w:val="24"/>
          <w:szCs w:val="24"/>
        </w:rPr>
        <w:t>Subjects in the active surveillance arm who develop a single positive BDG test will receive preemptive</w:t>
      </w:r>
      <w:r w:rsidR="0034619E" w:rsidRPr="00140622">
        <w:rPr>
          <w:sz w:val="24"/>
          <w:szCs w:val="24"/>
        </w:rPr>
        <w:t xml:space="preserve"> </w:t>
      </w:r>
      <w:proofErr w:type="spellStart"/>
      <w:r w:rsidR="0034619E" w:rsidRPr="00140622">
        <w:rPr>
          <w:sz w:val="24"/>
          <w:szCs w:val="24"/>
        </w:rPr>
        <w:t>anidulafungin</w:t>
      </w:r>
      <w:proofErr w:type="spellEnd"/>
      <w:r w:rsidR="009E346E" w:rsidRPr="00140622">
        <w:rPr>
          <w:sz w:val="24"/>
          <w:szCs w:val="24"/>
        </w:rPr>
        <w:t xml:space="preserve"> </w:t>
      </w:r>
      <w:r w:rsidR="00B640E3" w:rsidRPr="00140622">
        <w:rPr>
          <w:sz w:val="24"/>
          <w:szCs w:val="24"/>
        </w:rPr>
        <w:t>intravenously</w:t>
      </w:r>
      <w:r w:rsidR="0034619E" w:rsidRPr="00140622">
        <w:rPr>
          <w:sz w:val="24"/>
          <w:szCs w:val="24"/>
        </w:rPr>
        <w:t xml:space="preserve">.  Preemptive </w:t>
      </w:r>
      <w:r w:rsidR="002A7D95" w:rsidRPr="00140622">
        <w:rPr>
          <w:sz w:val="24"/>
          <w:szCs w:val="24"/>
        </w:rPr>
        <w:t xml:space="preserve">therapy will include a </w:t>
      </w:r>
      <w:r w:rsidRPr="00140622">
        <w:rPr>
          <w:sz w:val="24"/>
          <w:szCs w:val="24"/>
        </w:rPr>
        <w:t xml:space="preserve">loading dose </w:t>
      </w:r>
      <w:r w:rsidR="0034619E" w:rsidRPr="00140622">
        <w:rPr>
          <w:sz w:val="24"/>
          <w:szCs w:val="24"/>
        </w:rPr>
        <w:t xml:space="preserve">of 200mg </w:t>
      </w:r>
      <w:r w:rsidRPr="00140622">
        <w:rPr>
          <w:sz w:val="24"/>
          <w:szCs w:val="24"/>
        </w:rPr>
        <w:t xml:space="preserve">followed by </w:t>
      </w:r>
      <w:r w:rsidR="0034619E" w:rsidRPr="00140622">
        <w:rPr>
          <w:sz w:val="24"/>
          <w:szCs w:val="24"/>
        </w:rPr>
        <w:t xml:space="preserve">100mg </w:t>
      </w:r>
      <w:r w:rsidR="002A7D95" w:rsidRPr="00140622">
        <w:rPr>
          <w:sz w:val="24"/>
          <w:szCs w:val="24"/>
        </w:rPr>
        <w:t>maintenance therapy</w:t>
      </w:r>
      <w:r w:rsidR="009E346E" w:rsidRPr="00140622">
        <w:rPr>
          <w:sz w:val="24"/>
          <w:szCs w:val="24"/>
        </w:rPr>
        <w:t xml:space="preserve"> once a day</w:t>
      </w:r>
      <w:r w:rsidR="002A7D95" w:rsidRPr="00140622">
        <w:rPr>
          <w:sz w:val="24"/>
          <w:szCs w:val="24"/>
        </w:rPr>
        <w:t>.</w:t>
      </w:r>
      <w:r w:rsidRPr="00140622">
        <w:rPr>
          <w:sz w:val="24"/>
          <w:szCs w:val="24"/>
        </w:rPr>
        <w:t xml:space="preserve">  The loading and main</w:t>
      </w:r>
      <w:r w:rsidR="002A7D95" w:rsidRPr="00140622">
        <w:rPr>
          <w:sz w:val="24"/>
          <w:szCs w:val="24"/>
        </w:rPr>
        <w:t xml:space="preserve">tenance doses are </w:t>
      </w:r>
      <w:r w:rsidR="0034619E" w:rsidRPr="00140622">
        <w:rPr>
          <w:sz w:val="24"/>
          <w:szCs w:val="24"/>
        </w:rPr>
        <w:t xml:space="preserve">derived from </w:t>
      </w:r>
      <w:r w:rsidR="002A7D95" w:rsidRPr="00140622">
        <w:rPr>
          <w:sz w:val="24"/>
          <w:szCs w:val="24"/>
        </w:rPr>
        <w:t xml:space="preserve">the </w:t>
      </w:r>
      <w:r w:rsidR="009E346E" w:rsidRPr="00140622">
        <w:rPr>
          <w:sz w:val="24"/>
          <w:szCs w:val="24"/>
        </w:rPr>
        <w:t xml:space="preserve">FDA cleared </w:t>
      </w:r>
      <w:r w:rsidRPr="00140622">
        <w:rPr>
          <w:sz w:val="24"/>
          <w:szCs w:val="24"/>
        </w:rPr>
        <w:t xml:space="preserve">schedule </w:t>
      </w:r>
      <w:r w:rsidR="002A7D95" w:rsidRPr="00140622">
        <w:rPr>
          <w:sz w:val="24"/>
          <w:szCs w:val="24"/>
        </w:rPr>
        <w:t xml:space="preserve">for IC and </w:t>
      </w:r>
      <w:proofErr w:type="spellStart"/>
      <w:r w:rsidR="000B121A" w:rsidRPr="000B121A">
        <w:rPr>
          <w:sz w:val="24"/>
          <w:szCs w:val="24"/>
        </w:rPr>
        <w:t>c</w:t>
      </w:r>
      <w:r w:rsidR="002A7D95" w:rsidRPr="000B121A">
        <w:rPr>
          <w:sz w:val="24"/>
          <w:szCs w:val="24"/>
        </w:rPr>
        <w:t>andidemia</w:t>
      </w:r>
      <w:proofErr w:type="spellEnd"/>
      <w:r w:rsidR="002A7D95" w:rsidRPr="00140622">
        <w:rPr>
          <w:sz w:val="24"/>
          <w:szCs w:val="24"/>
        </w:rPr>
        <w:t xml:space="preserve">. </w:t>
      </w:r>
      <w:r w:rsidR="0034619E" w:rsidRPr="00140622">
        <w:rPr>
          <w:sz w:val="24"/>
          <w:szCs w:val="24"/>
        </w:rPr>
        <w:t xml:space="preserve"> </w:t>
      </w:r>
      <w:r w:rsidR="00800544" w:rsidRPr="00140622">
        <w:rPr>
          <w:sz w:val="24"/>
          <w:szCs w:val="24"/>
        </w:rPr>
        <w:t>No dosage adjustments are necessary for patients with hepatic or renal insufficiency</w:t>
      </w:r>
      <w:r w:rsidR="0016065B" w:rsidRPr="00140622">
        <w:rPr>
          <w:sz w:val="24"/>
          <w:szCs w:val="24"/>
        </w:rPr>
        <w:t>, however, patients with LFTs ≥</w:t>
      </w:r>
      <w:r w:rsidR="0053409B">
        <w:rPr>
          <w:sz w:val="24"/>
          <w:szCs w:val="24"/>
        </w:rPr>
        <w:t>10</w:t>
      </w:r>
      <w:r w:rsidR="0016065B" w:rsidRPr="00140622">
        <w:rPr>
          <w:sz w:val="24"/>
          <w:szCs w:val="24"/>
        </w:rPr>
        <w:t xml:space="preserve"> times ULN will be excluded from study participation.  Isolated cases of hepatic dysfunction, hepatitis, or worsening hepatic failure have been reported</w:t>
      </w:r>
      <w:r w:rsidR="009E346E" w:rsidRPr="00140622">
        <w:rPr>
          <w:sz w:val="24"/>
          <w:szCs w:val="24"/>
        </w:rPr>
        <w:t xml:space="preserve"> in patients receiving </w:t>
      </w:r>
      <w:proofErr w:type="spellStart"/>
      <w:r w:rsidR="009E346E" w:rsidRPr="00140622">
        <w:rPr>
          <w:sz w:val="24"/>
          <w:szCs w:val="24"/>
        </w:rPr>
        <w:t>anidulafungin</w:t>
      </w:r>
      <w:proofErr w:type="spellEnd"/>
      <w:r w:rsidR="0016065B" w:rsidRPr="00140622">
        <w:rPr>
          <w:sz w:val="24"/>
          <w:szCs w:val="24"/>
        </w:rPr>
        <w:t>, but a causal relationship to</w:t>
      </w:r>
      <w:r w:rsidR="009E346E" w:rsidRPr="00140622">
        <w:rPr>
          <w:sz w:val="24"/>
          <w:szCs w:val="24"/>
        </w:rPr>
        <w:t xml:space="preserve"> the drug itself</w:t>
      </w:r>
      <w:r w:rsidR="0016065B" w:rsidRPr="00140622">
        <w:rPr>
          <w:sz w:val="24"/>
          <w:szCs w:val="24"/>
        </w:rPr>
        <w:t xml:space="preserve"> has not been established.</w:t>
      </w:r>
    </w:p>
    <w:p w:rsidR="00800544" w:rsidRPr="00140622" w:rsidRDefault="00800544" w:rsidP="00FC1BDA">
      <w:pPr>
        <w:spacing w:before="0" w:after="0" w:line="480" w:lineRule="auto"/>
        <w:jc w:val="both"/>
        <w:rPr>
          <w:sz w:val="24"/>
          <w:szCs w:val="24"/>
        </w:rPr>
      </w:pPr>
    </w:p>
    <w:p w:rsidR="002A7D95" w:rsidRPr="00140622" w:rsidRDefault="002A7D95" w:rsidP="00FC1BDA">
      <w:pPr>
        <w:spacing w:before="0" w:after="0" w:line="480" w:lineRule="auto"/>
        <w:jc w:val="both"/>
        <w:rPr>
          <w:b/>
          <w:sz w:val="24"/>
          <w:szCs w:val="24"/>
        </w:rPr>
      </w:pPr>
      <w:r w:rsidRPr="00140622">
        <w:rPr>
          <w:b/>
          <w:sz w:val="24"/>
          <w:szCs w:val="24"/>
        </w:rPr>
        <w:t>Duration of Preemptive therapy</w:t>
      </w:r>
    </w:p>
    <w:p w:rsidR="002A7D95" w:rsidRPr="00140622" w:rsidRDefault="002A7D95" w:rsidP="00FC1BDA">
      <w:pPr>
        <w:spacing w:before="0" w:after="0" w:line="480" w:lineRule="auto"/>
        <w:jc w:val="both"/>
        <w:rPr>
          <w:sz w:val="24"/>
          <w:szCs w:val="24"/>
        </w:rPr>
      </w:pPr>
      <w:r w:rsidRPr="00140622">
        <w:rPr>
          <w:sz w:val="24"/>
          <w:szCs w:val="24"/>
        </w:rPr>
        <w:t>Preemptive therapy will continue until one of the following occurs:</w:t>
      </w:r>
    </w:p>
    <w:p w:rsidR="00CF7830" w:rsidRDefault="002A7D95" w:rsidP="00FC1BDA">
      <w:pPr>
        <w:numPr>
          <w:ilvl w:val="0"/>
          <w:numId w:val="22"/>
        </w:numPr>
        <w:tabs>
          <w:tab w:val="clear" w:pos="2160"/>
          <w:tab w:val="num" w:pos="1170"/>
        </w:tabs>
        <w:spacing w:before="0" w:after="0" w:line="480" w:lineRule="auto"/>
        <w:ind w:left="810" w:firstLine="0"/>
        <w:jc w:val="both"/>
        <w:rPr>
          <w:sz w:val="24"/>
          <w:szCs w:val="24"/>
        </w:rPr>
      </w:pPr>
      <w:r w:rsidRPr="00140622">
        <w:rPr>
          <w:sz w:val="24"/>
          <w:szCs w:val="24"/>
        </w:rPr>
        <w:t xml:space="preserve">A minimum of 14 days therapy (standard treatment duration for IC and/or </w:t>
      </w:r>
      <w:proofErr w:type="spellStart"/>
      <w:r w:rsidR="00CF7830">
        <w:rPr>
          <w:sz w:val="24"/>
          <w:szCs w:val="24"/>
        </w:rPr>
        <w:t>c</w:t>
      </w:r>
      <w:r w:rsidRPr="00CF7830">
        <w:rPr>
          <w:sz w:val="24"/>
          <w:szCs w:val="24"/>
        </w:rPr>
        <w:t>andidemia</w:t>
      </w:r>
      <w:proofErr w:type="spellEnd"/>
      <w:r w:rsidR="009E346E" w:rsidRPr="00140622">
        <w:rPr>
          <w:i/>
          <w:sz w:val="24"/>
          <w:szCs w:val="24"/>
        </w:rPr>
        <w:t>)</w:t>
      </w:r>
    </w:p>
    <w:p w:rsidR="002A7D95" w:rsidRPr="00140622" w:rsidRDefault="002A7D95" w:rsidP="00FC1BDA">
      <w:pPr>
        <w:numPr>
          <w:ilvl w:val="0"/>
          <w:numId w:val="22"/>
        </w:numPr>
        <w:tabs>
          <w:tab w:val="clear" w:pos="2160"/>
          <w:tab w:val="num" w:pos="1170"/>
        </w:tabs>
        <w:spacing w:before="0" w:after="0" w:line="480" w:lineRule="auto"/>
        <w:ind w:left="810" w:firstLine="0"/>
        <w:jc w:val="both"/>
        <w:rPr>
          <w:sz w:val="24"/>
          <w:szCs w:val="24"/>
        </w:rPr>
      </w:pPr>
      <w:r w:rsidRPr="00140622">
        <w:rPr>
          <w:sz w:val="24"/>
          <w:szCs w:val="24"/>
        </w:rPr>
        <w:t xml:space="preserve">Patient develops a proven or probable breakthrough IFI </w:t>
      </w:r>
      <w:r w:rsidR="009E346E" w:rsidRPr="00140622">
        <w:rPr>
          <w:sz w:val="24"/>
          <w:szCs w:val="24"/>
        </w:rPr>
        <w:t xml:space="preserve">while receiving study drug </w:t>
      </w:r>
      <w:r w:rsidRPr="00140622">
        <w:rPr>
          <w:sz w:val="24"/>
          <w:szCs w:val="24"/>
        </w:rPr>
        <w:t>(see appendix A for IFI criteria)</w:t>
      </w:r>
    </w:p>
    <w:p w:rsidR="002A7D95" w:rsidRPr="00140622" w:rsidRDefault="002A7D95" w:rsidP="00FC1BDA">
      <w:pPr>
        <w:numPr>
          <w:ilvl w:val="0"/>
          <w:numId w:val="22"/>
        </w:numPr>
        <w:tabs>
          <w:tab w:val="clear" w:pos="2160"/>
          <w:tab w:val="num" w:pos="1170"/>
        </w:tabs>
        <w:spacing w:before="0" w:after="0" w:line="480" w:lineRule="auto"/>
        <w:ind w:left="810" w:firstLine="0"/>
        <w:jc w:val="both"/>
        <w:rPr>
          <w:sz w:val="24"/>
          <w:szCs w:val="24"/>
        </w:rPr>
      </w:pPr>
      <w:r w:rsidRPr="00140622">
        <w:rPr>
          <w:sz w:val="24"/>
          <w:szCs w:val="24"/>
        </w:rPr>
        <w:t>Patient develops unacceptable toxicity</w:t>
      </w:r>
    </w:p>
    <w:p w:rsidR="002A7D95" w:rsidRPr="00140622" w:rsidRDefault="002A7D95" w:rsidP="00FC1BDA">
      <w:pPr>
        <w:numPr>
          <w:ilvl w:val="0"/>
          <w:numId w:val="22"/>
        </w:numPr>
        <w:tabs>
          <w:tab w:val="clear" w:pos="2160"/>
          <w:tab w:val="num" w:pos="1170"/>
        </w:tabs>
        <w:spacing w:before="0" w:after="0" w:line="480" w:lineRule="auto"/>
        <w:ind w:left="810" w:firstLine="0"/>
        <w:jc w:val="both"/>
        <w:rPr>
          <w:sz w:val="24"/>
          <w:szCs w:val="24"/>
        </w:rPr>
      </w:pPr>
      <w:r w:rsidRPr="00140622">
        <w:rPr>
          <w:sz w:val="24"/>
          <w:szCs w:val="24"/>
        </w:rPr>
        <w:t xml:space="preserve">The clinician </w:t>
      </w:r>
      <w:r w:rsidR="00CF7830">
        <w:rPr>
          <w:sz w:val="24"/>
          <w:szCs w:val="24"/>
        </w:rPr>
        <w:t xml:space="preserve">or PI </w:t>
      </w:r>
      <w:r w:rsidRPr="00140622">
        <w:rPr>
          <w:sz w:val="24"/>
          <w:szCs w:val="24"/>
        </w:rPr>
        <w:t>decides that it is not in the patients best interest to continue</w:t>
      </w:r>
    </w:p>
    <w:p w:rsidR="002A7D95" w:rsidRPr="00140622" w:rsidRDefault="002A7D95" w:rsidP="00FC1BDA">
      <w:pPr>
        <w:numPr>
          <w:ilvl w:val="0"/>
          <w:numId w:val="22"/>
        </w:numPr>
        <w:tabs>
          <w:tab w:val="clear" w:pos="2160"/>
          <w:tab w:val="num" w:pos="1170"/>
        </w:tabs>
        <w:spacing w:before="0" w:after="0" w:line="480" w:lineRule="auto"/>
        <w:ind w:left="810" w:firstLine="0"/>
        <w:jc w:val="both"/>
        <w:rPr>
          <w:sz w:val="24"/>
          <w:szCs w:val="24"/>
        </w:rPr>
      </w:pPr>
      <w:r w:rsidRPr="00140622">
        <w:rPr>
          <w:sz w:val="24"/>
          <w:szCs w:val="24"/>
        </w:rPr>
        <w:t>Patient declines further study participation</w:t>
      </w:r>
    </w:p>
    <w:p w:rsidR="002A7D95" w:rsidRPr="00140622" w:rsidRDefault="002A7D95" w:rsidP="00FC1BDA">
      <w:pPr>
        <w:numPr>
          <w:ilvl w:val="0"/>
          <w:numId w:val="22"/>
        </w:numPr>
        <w:tabs>
          <w:tab w:val="clear" w:pos="2160"/>
          <w:tab w:val="num" w:pos="1170"/>
        </w:tabs>
        <w:spacing w:before="0" w:after="0" w:line="480" w:lineRule="auto"/>
        <w:ind w:left="810" w:firstLine="0"/>
        <w:jc w:val="both"/>
        <w:rPr>
          <w:sz w:val="24"/>
          <w:szCs w:val="24"/>
        </w:rPr>
      </w:pPr>
      <w:r w:rsidRPr="00140622">
        <w:rPr>
          <w:sz w:val="24"/>
          <w:szCs w:val="24"/>
        </w:rPr>
        <w:t>Patient has received preemptive therapy for 28 days</w:t>
      </w:r>
      <w:r w:rsidR="009E346E" w:rsidRPr="00140622">
        <w:rPr>
          <w:sz w:val="24"/>
          <w:szCs w:val="24"/>
        </w:rPr>
        <w:t xml:space="preserve"> and has not yet been discharged from the SICU</w:t>
      </w:r>
    </w:p>
    <w:p w:rsidR="00800544" w:rsidRPr="00140622" w:rsidRDefault="00800544" w:rsidP="00FC1BDA">
      <w:pPr>
        <w:spacing w:before="0" w:after="0" w:line="480" w:lineRule="auto"/>
        <w:ind w:left="810"/>
        <w:jc w:val="both"/>
        <w:rPr>
          <w:sz w:val="24"/>
          <w:szCs w:val="24"/>
        </w:rPr>
      </w:pPr>
    </w:p>
    <w:p w:rsidR="002A7D95" w:rsidRPr="00140622" w:rsidRDefault="00BE6D35" w:rsidP="00FC1BDA">
      <w:pPr>
        <w:spacing w:before="0" w:after="0" w:line="480" w:lineRule="auto"/>
        <w:jc w:val="both"/>
        <w:rPr>
          <w:b/>
          <w:sz w:val="24"/>
          <w:szCs w:val="24"/>
        </w:rPr>
      </w:pPr>
      <w:r w:rsidRPr="00140622">
        <w:rPr>
          <w:b/>
          <w:sz w:val="24"/>
          <w:szCs w:val="24"/>
        </w:rPr>
        <w:lastRenderedPageBreak/>
        <w:t>Drug Supplies</w:t>
      </w:r>
    </w:p>
    <w:p w:rsidR="0041333A" w:rsidRPr="00140622" w:rsidRDefault="00BE6D35" w:rsidP="00FC1BDA">
      <w:pPr>
        <w:spacing w:before="0" w:after="0" w:line="480" w:lineRule="auto"/>
        <w:jc w:val="both"/>
        <w:rPr>
          <w:sz w:val="24"/>
          <w:szCs w:val="24"/>
        </w:rPr>
      </w:pPr>
      <w:r w:rsidRPr="00140622">
        <w:rPr>
          <w:sz w:val="24"/>
          <w:szCs w:val="24"/>
        </w:rPr>
        <w:tab/>
      </w:r>
      <w:proofErr w:type="spellStart"/>
      <w:r w:rsidRPr="00140622">
        <w:rPr>
          <w:sz w:val="24"/>
          <w:szCs w:val="24"/>
        </w:rPr>
        <w:t>Anidulafungin</w:t>
      </w:r>
      <w:proofErr w:type="spellEnd"/>
      <w:r w:rsidRPr="00140622">
        <w:rPr>
          <w:sz w:val="24"/>
          <w:szCs w:val="24"/>
        </w:rPr>
        <w:t xml:space="preserve"> is manufactured by Pfizer, INC.  Study drug will be prov</w:t>
      </w:r>
      <w:r w:rsidR="009E346E" w:rsidRPr="00140622">
        <w:rPr>
          <w:sz w:val="24"/>
          <w:szCs w:val="24"/>
        </w:rPr>
        <w:t>id</w:t>
      </w:r>
      <w:r w:rsidRPr="00140622">
        <w:rPr>
          <w:sz w:val="24"/>
          <w:szCs w:val="24"/>
        </w:rPr>
        <w:t>ed by Pfizer, packaged i</w:t>
      </w:r>
      <w:r w:rsidR="00CF7830">
        <w:rPr>
          <w:sz w:val="24"/>
          <w:szCs w:val="24"/>
        </w:rPr>
        <w:t xml:space="preserve">n a single </w:t>
      </w:r>
      <w:r w:rsidR="009E346E" w:rsidRPr="00140622">
        <w:rPr>
          <w:sz w:val="24"/>
          <w:szCs w:val="24"/>
        </w:rPr>
        <w:t>unit pack containing a vial of sterile, lyophilized, preservative-free powder (o</w:t>
      </w:r>
      <w:r w:rsidR="00213250">
        <w:rPr>
          <w:sz w:val="24"/>
          <w:szCs w:val="24"/>
        </w:rPr>
        <w:t xml:space="preserve">ne 100mg vial) and a 30 ml </w:t>
      </w:r>
      <w:r w:rsidR="00B640E3">
        <w:rPr>
          <w:sz w:val="24"/>
          <w:szCs w:val="24"/>
        </w:rPr>
        <w:t>dilue</w:t>
      </w:r>
      <w:r w:rsidR="00B640E3" w:rsidRPr="00140622">
        <w:rPr>
          <w:sz w:val="24"/>
          <w:szCs w:val="24"/>
        </w:rPr>
        <w:t>nts</w:t>
      </w:r>
      <w:r w:rsidR="009E346E" w:rsidRPr="00140622">
        <w:rPr>
          <w:sz w:val="24"/>
          <w:szCs w:val="24"/>
        </w:rPr>
        <w:t xml:space="preserve"> vial</w:t>
      </w:r>
      <w:r w:rsidR="0041333A" w:rsidRPr="00140622">
        <w:rPr>
          <w:sz w:val="24"/>
          <w:szCs w:val="24"/>
        </w:rPr>
        <w:t xml:space="preserve">.  The study drug supply will be maintained in the </w:t>
      </w:r>
      <w:r w:rsidR="00800544" w:rsidRPr="00140622">
        <w:rPr>
          <w:sz w:val="24"/>
          <w:szCs w:val="24"/>
        </w:rPr>
        <w:t xml:space="preserve">Duke University Medical Center </w:t>
      </w:r>
      <w:r w:rsidR="0041333A" w:rsidRPr="00140622">
        <w:rPr>
          <w:sz w:val="24"/>
          <w:szCs w:val="24"/>
        </w:rPr>
        <w:t>I</w:t>
      </w:r>
      <w:r w:rsidR="00800544" w:rsidRPr="00140622">
        <w:rPr>
          <w:sz w:val="24"/>
          <w:szCs w:val="24"/>
        </w:rPr>
        <w:t xml:space="preserve">nvestigational Drug Pharmacy </w:t>
      </w:r>
      <w:r w:rsidR="00CF7830">
        <w:rPr>
          <w:sz w:val="24"/>
          <w:szCs w:val="24"/>
        </w:rPr>
        <w:t xml:space="preserve">until </w:t>
      </w:r>
      <w:r w:rsidR="0041333A" w:rsidRPr="00140622">
        <w:rPr>
          <w:sz w:val="24"/>
          <w:szCs w:val="24"/>
        </w:rPr>
        <w:t xml:space="preserve">administration.  </w:t>
      </w:r>
      <w:r w:rsidR="009E346E" w:rsidRPr="00140622">
        <w:rPr>
          <w:sz w:val="24"/>
          <w:szCs w:val="24"/>
        </w:rPr>
        <w:t xml:space="preserve">Storage will be as per the package insert.  </w:t>
      </w:r>
      <w:r w:rsidR="0041333A" w:rsidRPr="00140622">
        <w:rPr>
          <w:sz w:val="24"/>
          <w:szCs w:val="24"/>
        </w:rPr>
        <w:t xml:space="preserve">The </w:t>
      </w:r>
      <w:r w:rsidR="009E346E" w:rsidRPr="00140622">
        <w:rPr>
          <w:sz w:val="24"/>
          <w:szCs w:val="24"/>
        </w:rPr>
        <w:t xml:space="preserve">medication </w:t>
      </w:r>
      <w:r w:rsidR="0041333A" w:rsidRPr="00140622">
        <w:rPr>
          <w:sz w:val="24"/>
          <w:szCs w:val="24"/>
        </w:rPr>
        <w:t xml:space="preserve">will be reconstituted, mixed, and dispensed by the study pharmacist as directed on the </w:t>
      </w:r>
      <w:r w:rsidR="009E346E" w:rsidRPr="00140622">
        <w:rPr>
          <w:sz w:val="24"/>
          <w:szCs w:val="24"/>
        </w:rPr>
        <w:t xml:space="preserve">product </w:t>
      </w:r>
      <w:r w:rsidR="0041333A" w:rsidRPr="00140622">
        <w:rPr>
          <w:sz w:val="24"/>
          <w:szCs w:val="24"/>
        </w:rPr>
        <w:t>label.  The pharmacist will be responsible for maintaining a dispensing log and receiving used bottles returned by nursing personnel</w:t>
      </w:r>
      <w:r w:rsidR="00CF7830">
        <w:rPr>
          <w:sz w:val="24"/>
          <w:szCs w:val="24"/>
        </w:rPr>
        <w:t xml:space="preserve"> after study drug administration</w:t>
      </w:r>
      <w:r w:rsidR="0041333A" w:rsidRPr="00140622">
        <w:rPr>
          <w:sz w:val="24"/>
          <w:szCs w:val="24"/>
        </w:rPr>
        <w:t>.</w:t>
      </w:r>
    </w:p>
    <w:p w:rsidR="0041333A" w:rsidRPr="00140622" w:rsidRDefault="0041333A" w:rsidP="00FC1BDA">
      <w:pPr>
        <w:spacing w:before="0" w:after="0" w:line="480" w:lineRule="auto"/>
        <w:jc w:val="both"/>
        <w:rPr>
          <w:b/>
          <w:sz w:val="24"/>
          <w:szCs w:val="24"/>
        </w:rPr>
      </w:pPr>
      <w:bookmarkStart w:id="4" w:name="_Toc57126364"/>
    </w:p>
    <w:p w:rsidR="0041333A" w:rsidRPr="00140622" w:rsidRDefault="0041333A" w:rsidP="00FC1BDA">
      <w:pPr>
        <w:spacing w:before="0" w:after="0" w:line="480" w:lineRule="auto"/>
        <w:jc w:val="both"/>
        <w:rPr>
          <w:b/>
          <w:sz w:val="24"/>
          <w:szCs w:val="24"/>
        </w:rPr>
      </w:pPr>
      <w:r w:rsidRPr="00140622">
        <w:rPr>
          <w:b/>
          <w:sz w:val="24"/>
          <w:szCs w:val="24"/>
        </w:rPr>
        <w:t>Drug L</w:t>
      </w:r>
      <w:bookmarkEnd w:id="4"/>
      <w:r w:rsidRPr="00140622">
        <w:rPr>
          <w:b/>
          <w:sz w:val="24"/>
          <w:szCs w:val="24"/>
        </w:rPr>
        <w:t>abeling</w:t>
      </w:r>
    </w:p>
    <w:p w:rsidR="0041333A" w:rsidRPr="00140622" w:rsidRDefault="0041333A" w:rsidP="00FC1BDA">
      <w:pPr>
        <w:spacing w:before="0" w:after="0" w:line="480" w:lineRule="auto"/>
        <w:ind w:firstLine="720"/>
        <w:jc w:val="both"/>
        <w:rPr>
          <w:b/>
          <w:sz w:val="24"/>
          <w:szCs w:val="24"/>
        </w:rPr>
      </w:pPr>
      <w:r w:rsidRPr="00140622">
        <w:rPr>
          <w:sz w:val="24"/>
          <w:szCs w:val="24"/>
        </w:rPr>
        <w:t xml:space="preserve">Each bottle of study medication will be labeled with </w:t>
      </w:r>
      <w:r w:rsidR="00CF7830">
        <w:rPr>
          <w:sz w:val="24"/>
          <w:szCs w:val="24"/>
        </w:rPr>
        <w:t xml:space="preserve">the </w:t>
      </w:r>
      <w:r w:rsidRPr="00140622">
        <w:rPr>
          <w:sz w:val="24"/>
          <w:szCs w:val="24"/>
        </w:rPr>
        <w:t xml:space="preserve">study </w:t>
      </w:r>
      <w:r w:rsidR="009E346E" w:rsidRPr="00140622">
        <w:rPr>
          <w:sz w:val="24"/>
          <w:szCs w:val="24"/>
        </w:rPr>
        <w:t xml:space="preserve">protocol </w:t>
      </w:r>
      <w:r w:rsidRPr="00140622">
        <w:rPr>
          <w:sz w:val="24"/>
          <w:szCs w:val="24"/>
        </w:rPr>
        <w:t>number, drug name, st</w:t>
      </w:r>
      <w:r w:rsidR="00CF7830">
        <w:rPr>
          <w:sz w:val="24"/>
          <w:szCs w:val="24"/>
        </w:rPr>
        <w:t>rength, and batch number.</w:t>
      </w:r>
      <w:r w:rsidRPr="00140622">
        <w:rPr>
          <w:sz w:val="24"/>
          <w:szCs w:val="24"/>
        </w:rPr>
        <w:t xml:space="preserve">  </w:t>
      </w:r>
      <w:r w:rsidR="00CF7830">
        <w:rPr>
          <w:sz w:val="24"/>
          <w:szCs w:val="24"/>
        </w:rPr>
        <w:t xml:space="preserve">Spaces will be provided for recording </w:t>
      </w:r>
      <w:r w:rsidRPr="00140622">
        <w:rPr>
          <w:sz w:val="24"/>
          <w:szCs w:val="24"/>
        </w:rPr>
        <w:t xml:space="preserve">the patient’s initials, study </w:t>
      </w:r>
      <w:r w:rsidR="009E346E" w:rsidRPr="00140622">
        <w:rPr>
          <w:sz w:val="24"/>
          <w:szCs w:val="24"/>
        </w:rPr>
        <w:t xml:space="preserve">ID </w:t>
      </w:r>
      <w:r w:rsidRPr="00140622">
        <w:rPr>
          <w:sz w:val="24"/>
          <w:szCs w:val="24"/>
        </w:rPr>
        <w:t xml:space="preserve">number, </w:t>
      </w:r>
      <w:proofErr w:type="gramStart"/>
      <w:r w:rsidRPr="00140622">
        <w:rPr>
          <w:sz w:val="24"/>
          <w:szCs w:val="24"/>
        </w:rPr>
        <w:t>date</w:t>
      </w:r>
      <w:proofErr w:type="gramEnd"/>
      <w:r w:rsidRPr="00140622">
        <w:rPr>
          <w:sz w:val="24"/>
          <w:szCs w:val="24"/>
        </w:rPr>
        <w:t xml:space="preserve"> of dispensing, and amount to be administered.</w:t>
      </w:r>
      <w:bookmarkStart w:id="5" w:name="_Toc57126365"/>
    </w:p>
    <w:p w:rsidR="0041333A" w:rsidRPr="00140622" w:rsidRDefault="0041333A" w:rsidP="00FC1BDA">
      <w:pPr>
        <w:spacing w:before="0" w:after="0" w:line="480" w:lineRule="auto"/>
        <w:jc w:val="both"/>
        <w:rPr>
          <w:b/>
          <w:sz w:val="24"/>
          <w:szCs w:val="24"/>
        </w:rPr>
      </w:pPr>
    </w:p>
    <w:p w:rsidR="0041333A" w:rsidRPr="00140622" w:rsidRDefault="0041333A" w:rsidP="00FC1BDA">
      <w:pPr>
        <w:spacing w:before="0" w:after="0" w:line="480" w:lineRule="auto"/>
        <w:jc w:val="both"/>
        <w:rPr>
          <w:b/>
          <w:color w:val="800000"/>
          <w:sz w:val="24"/>
          <w:szCs w:val="24"/>
        </w:rPr>
      </w:pPr>
      <w:r w:rsidRPr="00140622">
        <w:rPr>
          <w:b/>
          <w:sz w:val="24"/>
          <w:szCs w:val="24"/>
        </w:rPr>
        <w:t>Drug A</w:t>
      </w:r>
      <w:bookmarkEnd w:id="5"/>
      <w:r w:rsidRPr="00140622">
        <w:rPr>
          <w:b/>
          <w:sz w:val="24"/>
          <w:szCs w:val="24"/>
        </w:rPr>
        <w:t>dministration</w:t>
      </w:r>
    </w:p>
    <w:p w:rsidR="0041333A" w:rsidRPr="00140622" w:rsidRDefault="0041333A" w:rsidP="00FC1BDA">
      <w:pPr>
        <w:spacing w:before="0" w:after="0" w:line="480" w:lineRule="auto"/>
        <w:ind w:firstLine="720"/>
        <w:jc w:val="both"/>
        <w:rPr>
          <w:sz w:val="24"/>
          <w:szCs w:val="24"/>
        </w:rPr>
      </w:pPr>
      <w:r w:rsidRPr="00140622">
        <w:rPr>
          <w:sz w:val="24"/>
          <w:szCs w:val="24"/>
        </w:rPr>
        <w:t>Study drug will be administered through IV infusion by nursing personnel</w:t>
      </w:r>
      <w:r w:rsidR="00800544" w:rsidRPr="00140622">
        <w:rPr>
          <w:sz w:val="24"/>
          <w:szCs w:val="24"/>
        </w:rPr>
        <w:t xml:space="preserve"> according to the package insert</w:t>
      </w:r>
      <w:r w:rsidRPr="00140622">
        <w:rPr>
          <w:sz w:val="24"/>
          <w:szCs w:val="24"/>
        </w:rPr>
        <w:t xml:space="preserve">.  </w:t>
      </w:r>
      <w:r w:rsidR="00213250">
        <w:rPr>
          <w:sz w:val="24"/>
          <w:szCs w:val="24"/>
        </w:rPr>
        <w:t>The rat</w:t>
      </w:r>
      <w:r w:rsidR="009E346E" w:rsidRPr="00140622">
        <w:rPr>
          <w:sz w:val="24"/>
          <w:szCs w:val="24"/>
        </w:rPr>
        <w:t xml:space="preserve">e of infusion will not exceed 1.1 mg/minute.  </w:t>
      </w:r>
      <w:r w:rsidRPr="00140622">
        <w:rPr>
          <w:sz w:val="24"/>
          <w:szCs w:val="24"/>
        </w:rPr>
        <w:t xml:space="preserve">If a study participant is discharged from the hospital prior to completion of preemptive therapy (minimum 14 days of treatment), they may have the </w:t>
      </w:r>
      <w:r w:rsidR="009E346E" w:rsidRPr="00140622">
        <w:rPr>
          <w:sz w:val="24"/>
          <w:szCs w:val="24"/>
        </w:rPr>
        <w:t xml:space="preserve">study drug discontinued or continue </w:t>
      </w:r>
      <w:r w:rsidRPr="00140622">
        <w:rPr>
          <w:sz w:val="24"/>
          <w:szCs w:val="24"/>
        </w:rPr>
        <w:t>daily administration of study drug by a visiting nurse at the discretion of the</w:t>
      </w:r>
      <w:r w:rsidR="009D08F2" w:rsidRPr="00140622">
        <w:rPr>
          <w:sz w:val="24"/>
          <w:szCs w:val="24"/>
        </w:rPr>
        <w:t>ir</w:t>
      </w:r>
      <w:r w:rsidRPr="00140622">
        <w:rPr>
          <w:sz w:val="24"/>
          <w:szCs w:val="24"/>
        </w:rPr>
        <w:t xml:space="preserve"> care provider.</w:t>
      </w:r>
      <w:bookmarkStart w:id="6" w:name="_Toc57126366"/>
      <w:r w:rsidRPr="00140622">
        <w:rPr>
          <w:sz w:val="24"/>
          <w:szCs w:val="24"/>
        </w:rPr>
        <w:t xml:space="preserve">  </w:t>
      </w:r>
      <w:r w:rsidR="00877AA8">
        <w:rPr>
          <w:sz w:val="24"/>
          <w:szCs w:val="24"/>
        </w:rPr>
        <w:t>The sponsor will provide study drug to complete a total of 14 days, but will not cover the cost of home health care/infusion.</w:t>
      </w:r>
    </w:p>
    <w:p w:rsidR="0041333A" w:rsidRPr="00140622" w:rsidRDefault="0041333A" w:rsidP="00FC1BDA">
      <w:pPr>
        <w:spacing w:before="0" w:after="0" w:line="480" w:lineRule="auto"/>
        <w:jc w:val="both"/>
        <w:rPr>
          <w:sz w:val="24"/>
          <w:szCs w:val="24"/>
        </w:rPr>
      </w:pPr>
    </w:p>
    <w:p w:rsidR="0041333A" w:rsidRPr="00140622" w:rsidRDefault="0041333A" w:rsidP="00FC1BDA">
      <w:pPr>
        <w:spacing w:before="0" w:after="0" w:line="480" w:lineRule="auto"/>
        <w:jc w:val="both"/>
        <w:rPr>
          <w:b/>
          <w:sz w:val="24"/>
          <w:szCs w:val="24"/>
        </w:rPr>
      </w:pPr>
      <w:r w:rsidRPr="00140622">
        <w:rPr>
          <w:b/>
          <w:sz w:val="24"/>
          <w:szCs w:val="24"/>
        </w:rPr>
        <w:lastRenderedPageBreak/>
        <w:t>D</w:t>
      </w:r>
      <w:bookmarkEnd w:id="6"/>
      <w:r w:rsidR="009D08F2" w:rsidRPr="00140622">
        <w:rPr>
          <w:b/>
          <w:sz w:val="24"/>
          <w:szCs w:val="24"/>
        </w:rPr>
        <w:t>rug Accountability</w:t>
      </w:r>
    </w:p>
    <w:p w:rsidR="0041333A" w:rsidRPr="00140622" w:rsidRDefault="009D08F2" w:rsidP="00FC1BDA">
      <w:pPr>
        <w:spacing w:before="0" w:after="0" w:line="480" w:lineRule="auto"/>
        <w:ind w:firstLine="720"/>
        <w:jc w:val="both"/>
        <w:rPr>
          <w:sz w:val="24"/>
          <w:szCs w:val="24"/>
        </w:rPr>
      </w:pPr>
      <w:r w:rsidRPr="00140622">
        <w:rPr>
          <w:sz w:val="24"/>
          <w:szCs w:val="24"/>
        </w:rPr>
        <w:t>The Investigators will</w:t>
      </w:r>
      <w:r w:rsidR="0041333A" w:rsidRPr="00140622">
        <w:rPr>
          <w:sz w:val="24"/>
          <w:szCs w:val="24"/>
        </w:rPr>
        <w:t xml:space="preserve"> maintai</w:t>
      </w:r>
      <w:r w:rsidRPr="00140622">
        <w:rPr>
          <w:sz w:val="24"/>
          <w:szCs w:val="24"/>
        </w:rPr>
        <w:t xml:space="preserve">n accurate records of dates, </w:t>
      </w:r>
      <w:r w:rsidR="0041333A" w:rsidRPr="00140622">
        <w:rPr>
          <w:sz w:val="24"/>
          <w:szCs w:val="24"/>
        </w:rPr>
        <w:t>qu</w:t>
      </w:r>
      <w:r w:rsidRPr="00140622">
        <w:rPr>
          <w:sz w:val="24"/>
          <w:szCs w:val="24"/>
        </w:rPr>
        <w:t xml:space="preserve">antities, </w:t>
      </w:r>
      <w:r w:rsidR="0041333A" w:rsidRPr="00140622">
        <w:rPr>
          <w:sz w:val="24"/>
          <w:szCs w:val="24"/>
        </w:rPr>
        <w:t>lots of product(s) received, to whom dispensed (patient-by-patient accounting), and accounts of any product accidentally or deliberately destroyed.  The Investigator</w:t>
      </w:r>
      <w:r w:rsidRPr="00140622">
        <w:rPr>
          <w:sz w:val="24"/>
          <w:szCs w:val="24"/>
        </w:rPr>
        <w:t xml:space="preserve">s will </w:t>
      </w:r>
      <w:r w:rsidR="0041333A" w:rsidRPr="00140622">
        <w:rPr>
          <w:sz w:val="24"/>
          <w:szCs w:val="24"/>
        </w:rPr>
        <w:t>retai</w:t>
      </w:r>
      <w:r w:rsidRPr="00140622">
        <w:rPr>
          <w:sz w:val="24"/>
          <w:szCs w:val="24"/>
        </w:rPr>
        <w:t xml:space="preserve">n all unused or expired product.  </w:t>
      </w:r>
      <w:r w:rsidR="0041333A" w:rsidRPr="00140622">
        <w:rPr>
          <w:sz w:val="24"/>
          <w:szCs w:val="24"/>
        </w:rPr>
        <w:t>At the conclusion of the study, all unused drug supplies will be returned to the sponsor.  An overall summary of all drug supplies received,</w:t>
      </w:r>
      <w:r w:rsidRPr="00140622">
        <w:rPr>
          <w:sz w:val="24"/>
          <w:szCs w:val="24"/>
        </w:rPr>
        <w:t xml:space="preserve"> used, wasted, and returned will</w:t>
      </w:r>
      <w:r w:rsidR="0041333A" w:rsidRPr="00140622">
        <w:rPr>
          <w:sz w:val="24"/>
          <w:szCs w:val="24"/>
        </w:rPr>
        <w:t xml:space="preserve"> be prepared at the conclusion of the study.</w:t>
      </w:r>
    </w:p>
    <w:p w:rsidR="00800544" w:rsidRPr="00140622" w:rsidRDefault="00800544" w:rsidP="00FC1BDA">
      <w:pPr>
        <w:spacing w:before="0" w:after="0" w:line="480" w:lineRule="auto"/>
        <w:jc w:val="both"/>
        <w:rPr>
          <w:sz w:val="24"/>
          <w:szCs w:val="24"/>
        </w:rPr>
      </w:pPr>
    </w:p>
    <w:p w:rsidR="00800544" w:rsidRPr="00140622" w:rsidRDefault="00800544" w:rsidP="00FC1BDA">
      <w:pPr>
        <w:spacing w:before="0" w:after="0" w:line="480" w:lineRule="auto"/>
        <w:jc w:val="both"/>
        <w:rPr>
          <w:b/>
          <w:sz w:val="24"/>
          <w:szCs w:val="24"/>
        </w:rPr>
      </w:pPr>
      <w:r w:rsidRPr="00140622">
        <w:rPr>
          <w:b/>
          <w:sz w:val="24"/>
          <w:szCs w:val="24"/>
        </w:rPr>
        <w:t>Concomitant Medications</w:t>
      </w:r>
    </w:p>
    <w:p w:rsidR="00800544" w:rsidRPr="00140622" w:rsidRDefault="00800544" w:rsidP="00FC1BDA">
      <w:pPr>
        <w:spacing w:before="0" w:after="0" w:line="480" w:lineRule="auto"/>
        <w:jc w:val="both"/>
        <w:rPr>
          <w:sz w:val="24"/>
          <w:szCs w:val="24"/>
        </w:rPr>
      </w:pPr>
      <w:r w:rsidRPr="00140622">
        <w:rPr>
          <w:b/>
          <w:sz w:val="24"/>
          <w:szCs w:val="24"/>
        </w:rPr>
        <w:tab/>
      </w:r>
      <w:r w:rsidRPr="00140622">
        <w:rPr>
          <w:sz w:val="24"/>
          <w:szCs w:val="24"/>
        </w:rPr>
        <w:t xml:space="preserve">There are no drugs that are contraindicated with </w:t>
      </w:r>
      <w:proofErr w:type="spellStart"/>
      <w:r w:rsidRPr="00140622">
        <w:rPr>
          <w:sz w:val="24"/>
          <w:szCs w:val="24"/>
        </w:rPr>
        <w:t>anidulafungin</w:t>
      </w:r>
      <w:proofErr w:type="spellEnd"/>
      <w:r w:rsidRPr="00140622">
        <w:rPr>
          <w:sz w:val="24"/>
          <w:szCs w:val="24"/>
        </w:rPr>
        <w:t>.  However, for study purposes, other systemic antifungal agents including amphotericin products, azoles, and/or investigational antifungal drugs m</w:t>
      </w:r>
      <w:r w:rsidR="00B44E35" w:rsidRPr="00140622">
        <w:rPr>
          <w:sz w:val="24"/>
          <w:szCs w:val="24"/>
        </w:rPr>
        <w:t>ay not be given during study dru</w:t>
      </w:r>
      <w:r w:rsidRPr="00140622">
        <w:rPr>
          <w:sz w:val="24"/>
          <w:szCs w:val="24"/>
        </w:rPr>
        <w:t xml:space="preserve">g dosing.  If a patient </w:t>
      </w:r>
      <w:r w:rsidR="00D609FE">
        <w:rPr>
          <w:sz w:val="24"/>
          <w:szCs w:val="24"/>
        </w:rPr>
        <w:t xml:space="preserve">in the preemptive therapy arm </w:t>
      </w:r>
      <w:r w:rsidRPr="00140622">
        <w:rPr>
          <w:sz w:val="24"/>
          <w:szCs w:val="24"/>
        </w:rPr>
        <w:t>requires one of these agents, the patient must be discontinued from the study.</w:t>
      </w:r>
    </w:p>
    <w:p w:rsidR="0034619E" w:rsidRPr="00140622" w:rsidRDefault="0034619E" w:rsidP="00FC1BDA">
      <w:pPr>
        <w:spacing w:before="0" w:after="0" w:line="480" w:lineRule="auto"/>
        <w:jc w:val="both"/>
        <w:rPr>
          <w:sz w:val="24"/>
          <w:szCs w:val="24"/>
        </w:rPr>
      </w:pPr>
    </w:p>
    <w:p w:rsidR="00900B99" w:rsidRPr="00140622" w:rsidRDefault="00FC67D5" w:rsidP="00FC1BDA">
      <w:pPr>
        <w:spacing w:before="0" w:after="0" w:line="480" w:lineRule="auto"/>
        <w:jc w:val="both"/>
        <w:rPr>
          <w:b/>
          <w:sz w:val="24"/>
          <w:szCs w:val="24"/>
        </w:rPr>
      </w:pPr>
      <w:r w:rsidRPr="00140622">
        <w:rPr>
          <w:b/>
          <w:sz w:val="24"/>
          <w:szCs w:val="24"/>
        </w:rPr>
        <w:t>SCHEDULE AND DESCRI</w:t>
      </w:r>
      <w:r w:rsidR="00A40950">
        <w:rPr>
          <w:b/>
          <w:sz w:val="24"/>
          <w:szCs w:val="24"/>
        </w:rPr>
        <w:t>P</w:t>
      </w:r>
      <w:r w:rsidRPr="00140622">
        <w:rPr>
          <w:b/>
          <w:sz w:val="24"/>
          <w:szCs w:val="24"/>
        </w:rPr>
        <w:t>TION OF STUDY PROCEDURES</w:t>
      </w:r>
      <w:bookmarkStart w:id="7" w:name="_Toc56683503"/>
      <w:bookmarkStart w:id="8" w:name="_Toc56874437"/>
      <w:bookmarkStart w:id="9" w:name="_Toc56915350"/>
      <w:bookmarkStart w:id="10" w:name="_Toc56916840"/>
      <w:bookmarkStart w:id="11" w:name="_Toc56917481"/>
      <w:bookmarkStart w:id="12" w:name="_Toc57126370"/>
      <w:r w:rsidR="00A941FC" w:rsidRPr="00140622">
        <w:rPr>
          <w:b/>
          <w:sz w:val="24"/>
          <w:szCs w:val="24"/>
        </w:rPr>
        <w:t xml:space="preserve"> </w:t>
      </w:r>
    </w:p>
    <w:p w:rsidR="005126A4" w:rsidRPr="00140622" w:rsidRDefault="005126A4" w:rsidP="00FC1BDA">
      <w:pPr>
        <w:spacing w:line="480" w:lineRule="auto"/>
        <w:jc w:val="both"/>
        <w:rPr>
          <w:b/>
          <w:sz w:val="24"/>
          <w:szCs w:val="24"/>
        </w:rPr>
      </w:pPr>
      <w:r w:rsidRPr="00140622">
        <w:rPr>
          <w:b/>
          <w:sz w:val="24"/>
          <w:szCs w:val="24"/>
        </w:rPr>
        <w:t>Identification of Potential Study Subjects</w:t>
      </w:r>
    </w:p>
    <w:p w:rsidR="005126A4" w:rsidRPr="00140622" w:rsidRDefault="005126A4" w:rsidP="00FC1BDA">
      <w:pPr>
        <w:spacing w:line="480" w:lineRule="auto"/>
        <w:jc w:val="both"/>
        <w:rPr>
          <w:sz w:val="24"/>
          <w:szCs w:val="24"/>
        </w:rPr>
      </w:pPr>
      <w:r w:rsidRPr="00140622">
        <w:rPr>
          <w:b/>
          <w:sz w:val="24"/>
          <w:szCs w:val="24"/>
        </w:rPr>
        <w:tab/>
      </w:r>
      <w:r w:rsidRPr="00140622">
        <w:rPr>
          <w:sz w:val="24"/>
          <w:szCs w:val="24"/>
        </w:rPr>
        <w:t xml:space="preserve">A waiver of HIPPA and consent will be requested from the Duke University Medical Center IRB to review </w:t>
      </w:r>
      <w:r w:rsidR="00A40950">
        <w:rPr>
          <w:sz w:val="24"/>
          <w:szCs w:val="24"/>
        </w:rPr>
        <w:t xml:space="preserve">the </w:t>
      </w:r>
      <w:r w:rsidRPr="00140622">
        <w:rPr>
          <w:sz w:val="24"/>
          <w:szCs w:val="24"/>
        </w:rPr>
        <w:t xml:space="preserve">SICU patient census </w:t>
      </w:r>
      <w:r w:rsidR="00D609FE">
        <w:rPr>
          <w:sz w:val="24"/>
          <w:szCs w:val="24"/>
        </w:rPr>
        <w:t xml:space="preserve">daily </w:t>
      </w:r>
      <w:r w:rsidR="00A40950">
        <w:rPr>
          <w:sz w:val="24"/>
          <w:szCs w:val="24"/>
        </w:rPr>
        <w:t>and</w:t>
      </w:r>
      <w:r w:rsidRPr="00140622">
        <w:rPr>
          <w:sz w:val="24"/>
          <w:szCs w:val="24"/>
        </w:rPr>
        <w:t xml:space="preserve"> identi</w:t>
      </w:r>
      <w:r w:rsidR="00A40950">
        <w:rPr>
          <w:sz w:val="24"/>
          <w:szCs w:val="24"/>
        </w:rPr>
        <w:t>fy adults who have been in the u</w:t>
      </w:r>
      <w:r w:rsidRPr="00140622">
        <w:rPr>
          <w:sz w:val="24"/>
          <w:szCs w:val="24"/>
        </w:rPr>
        <w:t>nit for at least 3 days and who are expected to stay for an additional 2 days.</w:t>
      </w:r>
    </w:p>
    <w:p w:rsidR="00002774" w:rsidRPr="00140622" w:rsidRDefault="00900B99" w:rsidP="00FC1BDA">
      <w:pPr>
        <w:spacing w:line="480" w:lineRule="auto"/>
        <w:jc w:val="both"/>
        <w:rPr>
          <w:sz w:val="24"/>
          <w:szCs w:val="24"/>
        </w:rPr>
      </w:pPr>
      <w:r w:rsidRPr="00140622">
        <w:rPr>
          <w:b/>
          <w:sz w:val="24"/>
          <w:szCs w:val="24"/>
        </w:rPr>
        <w:t xml:space="preserve">Stratification and </w:t>
      </w:r>
      <w:r w:rsidR="00FC67D5" w:rsidRPr="00140622">
        <w:rPr>
          <w:b/>
          <w:sz w:val="24"/>
          <w:szCs w:val="24"/>
        </w:rPr>
        <w:t>Randomization</w:t>
      </w:r>
    </w:p>
    <w:p w:rsidR="00002774" w:rsidRPr="00140622" w:rsidRDefault="00667939" w:rsidP="00FC1BDA">
      <w:pPr>
        <w:spacing w:before="0" w:after="0" w:line="480" w:lineRule="auto"/>
        <w:ind w:firstLine="720"/>
        <w:jc w:val="both"/>
        <w:rPr>
          <w:sz w:val="24"/>
          <w:szCs w:val="24"/>
        </w:rPr>
      </w:pPr>
      <w:r w:rsidRPr="00140622">
        <w:rPr>
          <w:sz w:val="24"/>
          <w:szCs w:val="24"/>
        </w:rPr>
        <w:t xml:space="preserve">Patients who meet inclusion/exclusion criteria and provide written informed consent will be </w:t>
      </w:r>
      <w:r w:rsidR="00900B99" w:rsidRPr="00140622">
        <w:rPr>
          <w:sz w:val="24"/>
          <w:szCs w:val="24"/>
        </w:rPr>
        <w:t xml:space="preserve">stratified into 2 groups based on </w:t>
      </w:r>
      <w:r w:rsidR="00FB3FCD" w:rsidRPr="00140622">
        <w:rPr>
          <w:sz w:val="24"/>
          <w:szCs w:val="24"/>
        </w:rPr>
        <w:t>APACHE II score</w:t>
      </w:r>
      <w:r w:rsidR="00A40950">
        <w:rPr>
          <w:sz w:val="24"/>
          <w:szCs w:val="24"/>
        </w:rPr>
        <w:t xml:space="preserve">.  Group 1 will have </w:t>
      </w:r>
      <w:r w:rsidR="00900B99" w:rsidRPr="00140622">
        <w:rPr>
          <w:sz w:val="24"/>
          <w:szCs w:val="24"/>
        </w:rPr>
        <w:t xml:space="preserve">APACHE </w:t>
      </w:r>
      <w:r w:rsidR="00A40950">
        <w:rPr>
          <w:sz w:val="24"/>
          <w:szCs w:val="24"/>
        </w:rPr>
        <w:t xml:space="preserve">II </w:t>
      </w:r>
      <w:r w:rsidR="00900B99" w:rsidRPr="00140622">
        <w:rPr>
          <w:sz w:val="24"/>
          <w:szCs w:val="24"/>
        </w:rPr>
        <w:t>score</w:t>
      </w:r>
      <w:r w:rsidR="00A40950">
        <w:rPr>
          <w:sz w:val="24"/>
          <w:szCs w:val="24"/>
        </w:rPr>
        <w:t>s</w:t>
      </w:r>
      <w:r w:rsidR="00900B99" w:rsidRPr="00140622">
        <w:rPr>
          <w:sz w:val="24"/>
          <w:szCs w:val="24"/>
        </w:rPr>
        <w:t xml:space="preserve"> </w:t>
      </w:r>
      <w:r w:rsidR="00FB3FCD" w:rsidRPr="00140622">
        <w:rPr>
          <w:sz w:val="24"/>
          <w:szCs w:val="24"/>
        </w:rPr>
        <w:t>≤</w:t>
      </w:r>
      <w:r w:rsidR="00900B99" w:rsidRPr="00140622">
        <w:rPr>
          <w:sz w:val="24"/>
          <w:szCs w:val="24"/>
        </w:rPr>
        <w:t xml:space="preserve"> </w:t>
      </w:r>
      <w:r w:rsidR="00FB3FCD" w:rsidRPr="00140622">
        <w:rPr>
          <w:sz w:val="24"/>
          <w:szCs w:val="24"/>
        </w:rPr>
        <w:t xml:space="preserve">20 and </w:t>
      </w:r>
      <w:r w:rsidR="00FB3FCD" w:rsidRPr="00140622">
        <w:rPr>
          <w:sz w:val="24"/>
          <w:szCs w:val="24"/>
        </w:rPr>
        <w:lastRenderedPageBreak/>
        <w:t>group</w:t>
      </w:r>
      <w:r w:rsidR="00A40950">
        <w:rPr>
          <w:sz w:val="24"/>
          <w:szCs w:val="24"/>
        </w:rPr>
        <w:t xml:space="preserve"> 2 &gt; 20</w:t>
      </w:r>
      <w:r w:rsidR="00900B99" w:rsidRPr="00140622">
        <w:rPr>
          <w:sz w:val="24"/>
          <w:szCs w:val="24"/>
        </w:rPr>
        <w:t xml:space="preserve">.  Subjects within each </w:t>
      </w:r>
      <w:r w:rsidR="00FB3FCD" w:rsidRPr="00140622">
        <w:rPr>
          <w:sz w:val="24"/>
          <w:szCs w:val="24"/>
        </w:rPr>
        <w:t>APACHE</w:t>
      </w:r>
      <w:r w:rsidR="00A40950">
        <w:rPr>
          <w:sz w:val="24"/>
          <w:szCs w:val="24"/>
        </w:rPr>
        <w:t xml:space="preserve"> </w:t>
      </w:r>
      <w:r w:rsidR="00FB3FCD" w:rsidRPr="00140622">
        <w:rPr>
          <w:sz w:val="24"/>
          <w:szCs w:val="24"/>
        </w:rPr>
        <w:t xml:space="preserve">II </w:t>
      </w:r>
      <w:r w:rsidR="00900B99" w:rsidRPr="00140622">
        <w:rPr>
          <w:sz w:val="24"/>
          <w:szCs w:val="24"/>
        </w:rPr>
        <w:t xml:space="preserve">group will then be </w:t>
      </w:r>
      <w:r w:rsidR="00D956D0" w:rsidRPr="00140622">
        <w:rPr>
          <w:sz w:val="24"/>
          <w:szCs w:val="24"/>
        </w:rPr>
        <w:t>assign</w:t>
      </w:r>
      <w:r w:rsidRPr="00140622">
        <w:rPr>
          <w:sz w:val="24"/>
          <w:szCs w:val="24"/>
        </w:rPr>
        <w:t>ed</w:t>
      </w:r>
      <w:r w:rsidR="008E6201" w:rsidRPr="00140622">
        <w:rPr>
          <w:sz w:val="24"/>
          <w:szCs w:val="24"/>
        </w:rPr>
        <w:t xml:space="preserve"> to either </w:t>
      </w:r>
      <w:r w:rsidR="007071E2" w:rsidRPr="00140622">
        <w:rPr>
          <w:sz w:val="24"/>
          <w:szCs w:val="24"/>
        </w:rPr>
        <w:t>active surveillance with pre</w:t>
      </w:r>
      <w:r w:rsidR="008E6201" w:rsidRPr="00140622">
        <w:rPr>
          <w:sz w:val="24"/>
          <w:szCs w:val="24"/>
        </w:rPr>
        <w:t xml:space="preserve">emptive </w:t>
      </w:r>
      <w:proofErr w:type="spellStart"/>
      <w:r w:rsidRPr="00140622">
        <w:rPr>
          <w:sz w:val="24"/>
          <w:szCs w:val="24"/>
        </w:rPr>
        <w:t>anidulafungin</w:t>
      </w:r>
      <w:proofErr w:type="spellEnd"/>
      <w:r w:rsidRPr="00140622">
        <w:rPr>
          <w:sz w:val="24"/>
          <w:szCs w:val="24"/>
        </w:rPr>
        <w:t xml:space="preserve"> </w:t>
      </w:r>
      <w:r w:rsidR="007071E2" w:rsidRPr="00140622">
        <w:rPr>
          <w:sz w:val="24"/>
          <w:szCs w:val="24"/>
        </w:rPr>
        <w:t>based on a positive BDG test or standard care</w:t>
      </w:r>
      <w:r w:rsidR="008E6201" w:rsidRPr="00140622">
        <w:rPr>
          <w:sz w:val="24"/>
          <w:szCs w:val="24"/>
        </w:rPr>
        <w:t xml:space="preserve"> </w:t>
      </w:r>
      <w:r w:rsidRPr="00140622">
        <w:rPr>
          <w:sz w:val="24"/>
          <w:szCs w:val="24"/>
        </w:rPr>
        <w:t xml:space="preserve">using a </w:t>
      </w:r>
      <w:r w:rsidR="007071E2" w:rsidRPr="00140622">
        <w:rPr>
          <w:sz w:val="24"/>
          <w:szCs w:val="24"/>
        </w:rPr>
        <w:t>3:</w:t>
      </w:r>
      <w:r w:rsidRPr="00140622">
        <w:rPr>
          <w:sz w:val="24"/>
          <w:szCs w:val="24"/>
        </w:rPr>
        <w:t>1 randomization schedule</w:t>
      </w:r>
      <w:r w:rsidR="008E6201" w:rsidRPr="00140622">
        <w:rPr>
          <w:sz w:val="24"/>
          <w:szCs w:val="24"/>
        </w:rPr>
        <w:t xml:space="preserve"> (approximately</w:t>
      </w:r>
      <w:r w:rsidR="007071E2" w:rsidRPr="00140622">
        <w:rPr>
          <w:sz w:val="24"/>
          <w:szCs w:val="24"/>
        </w:rPr>
        <w:t xml:space="preserve"> 75</w:t>
      </w:r>
      <w:r w:rsidR="00ED414F" w:rsidRPr="00140622">
        <w:rPr>
          <w:sz w:val="24"/>
          <w:szCs w:val="24"/>
        </w:rPr>
        <w:t xml:space="preserve"> </w:t>
      </w:r>
      <w:r w:rsidR="007071E2" w:rsidRPr="00140622">
        <w:rPr>
          <w:sz w:val="24"/>
          <w:szCs w:val="24"/>
        </w:rPr>
        <w:t>subjects</w:t>
      </w:r>
      <w:r w:rsidR="00002774" w:rsidRPr="00140622">
        <w:rPr>
          <w:sz w:val="24"/>
          <w:szCs w:val="24"/>
        </w:rPr>
        <w:t xml:space="preserve"> in </w:t>
      </w:r>
      <w:r w:rsidR="007071E2" w:rsidRPr="00140622">
        <w:rPr>
          <w:sz w:val="24"/>
          <w:szCs w:val="24"/>
        </w:rPr>
        <w:t xml:space="preserve">the preemptive </w:t>
      </w:r>
      <w:r w:rsidR="00002774" w:rsidRPr="00140622">
        <w:rPr>
          <w:sz w:val="24"/>
          <w:szCs w:val="24"/>
        </w:rPr>
        <w:t>group</w:t>
      </w:r>
      <w:r w:rsidR="007071E2" w:rsidRPr="00140622">
        <w:rPr>
          <w:sz w:val="24"/>
          <w:szCs w:val="24"/>
        </w:rPr>
        <w:t xml:space="preserve"> and 25 in the standard care</w:t>
      </w:r>
      <w:r w:rsidR="00B7068B" w:rsidRPr="00140622">
        <w:rPr>
          <w:sz w:val="24"/>
          <w:szCs w:val="24"/>
        </w:rPr>
        <w:t xml:space="preserve"> group</w:t>
      </w:r>
      <w:r w:rsidR="00002774" w:rsidRPr="00140622">
        <w:rPr>
          <w:sz w:val="24"/>
          <w:szCs w:val="24"/>
        </w:rPr>
        <w:t xml:space="preserve">).  </w:t>
      </w:r>
      <w:r w:rsidR="009371B5" w:rsidRPr="00140622">
        <w:rPr>
          <w:sz w:val="24"/>
          <w:szCs w:val="24"/>
        </w:rPr>
        <w:t>T</w:t>
      </w:r>
      <w:r w:rsidR="00B7068B" w:rsidRPr="00140622">
        <w:rPr>
          <w:sz w:val="24"/>
          <w:szCs w:val="24"/>
        </w:rPr>
        <w:t>he study coordinator</w:t>
      </w:r>
      <w:r w:rsidR="00002774" w:rsidRPr="00140622">
        <w:rPr>
          <w:sz w:val="24"/>
          <w:szCs w:val="24"/>
        </w:rPr>
        <w:t xml:space="preserve"> will assign each patient to </w:t>
      </w:r>
      <w:r w:rsidR="00002774" w:rsidRPr="00A40950">
        <w:rPr>
          <w:sz w:val="24"/>
          <w:szCs w:val="24"/>
        </w:rPr>
        <w:t>the next available ra</w:t>
      </w:r>
      <w:r w:rsidR="008E6201" w:rsidRPr="00A40950">
        <w:rPr>
          <w:sz w:val="24"/>
          <w:szCs w:val="24"/>
        </w:rPr>
        <w:t>ndomization number</w:t>
      </w:r>
      <w:r w:rsidR="009371B5" w:rsidRPr="00A40950">
        <w:rPr>
          <w:sz w:val="24"/>
          <w:szCs w:val="24"/>
        </w:rPr>
        <w:t xml:space="preserve"> </w:t>
      </w:r>
      <w:r w:rsidR="00FB3FCD" w:rsidRPr="00A40950">
        <w:rPr>
          <w:sz w:val="24"/>
          <w:szCs w:val="24"/>
        </w:rPr>
        <w:t xml:space="preserve">which will be </w:t>
      </w:r>
      <w:r w:rsidR="0070372B" w:rsidRPr="00A40950">
        <w:rPr>
          <w:sz w:val="24"/>
          <w:szCs w:val="24"/>
        </w:rPr>
        <w:t xml:space="preserve">generated </w:t>
      </w:r>
      <w:r w:rsidR="009371B5" w:rsidRPr="00A40950">
        <w:rPr>
          <w:sz w:val="24"/>
          <w:szCs w:val="24"/>
        </w:rPr>
        <w:t>using randomization software</w:t>
      </w:r>
      <w:r w:rsidR="00002774" w:rsidRPr="00A40950">
        <w:rPr>
          <w:sz w:val="24"/>
          <w:szCs w:val="24"/>
        </w:rPr>
        <w:t>.</w:t>
      </w:r>
      <w:bookmarkStart w:id="13" w:name="_Toc56683504"/>
      <w:bookmarkStart w:id="14" w:name="_Toc56874438"/>
      <w:bookmarkStart w:id="15" w:name="_Toc56915351"/>
      <w:bookmarkStart w:id="16" w:name="_Toc56916841"/>
      <w:bookmarkStart w:id="17" w:name="_Toc56917482"/>
      <w:bookmarkStart w:id="18" w:name="_Toc57126371"/>
      <w:bookmarkEnd w:id="7"/>
      <w:bookmarkEnd w:id="8"/>
      <w:bookmarkEnd w:id="9"/>
      <w:bookmarkEnd w:id="10"/>
      <w:bookmarkEnd w:id="11"/>
      <w:bookmarkEnd w:id="12"/>
      <w:r w:rsidR="00002774" w:rsidRPr="00140622">
        <w:rPr>
          <w:sz w:val="24"/>
          <w:szCs w:val="24"/>
        </w:rPr>
        <w:t xml:space="preserve"> </w:t>
      </w:r>
      <w:r w:rsidR="0087217B" w:rsidRPr="00140622">
        <w:rPr>
          <w:sz w:val="24"/>
          <w:szCs w:val="24"/>
        </w:rPr>
        <w:t xml:space="preserve"> </w:t>
      </w:r>
      <w:r w:rsidR="00FB3FCD" w:rsidRPr="00140622">
        <w:rPr>
          <w:sz w:val="24"/>
          <w:szCs w:val="24"/>
        </w:rPr>
        <w:t>P</w:t>
      </w:r>
      <w:r w:rsidR="0074703D" w:rsidRPr="00140622">
        <w:rPr>
          <w:sz w:val="24"/>
          <w:szCs w:val="24"/>
        </w:rPr>
        <w:t>atient</w:t>
      </w:r>
      <w:r w:rsidRPr="00140622">
        <w:rPr>
          <w:sz w:val="24"/>
          <w:szCs w:val="24"/>
        </w:rPr>
        <w:t xml:space="preserve"> </w:t>
      </w:r>
      <w:r w:rsidR="0070372B" w:rsidRPr="00140622">
        <w:rPr>
          <w:sz w:val="24"/>
          <w:szCs w:val="24"/>
        </w:rPr>
        <w:t xml:space="preserve">study </w:t>
      </w:r>
      <w:r w:rsidRPr="00140622">
        <w:rPr>
          <w:sz w:val="24"/>
          <w:szCs w:val="24"/>
        </w:rPr>
        <w:t xml:space="preserve">identification </w:t>
      </w:r>
      <w:r w:rsidR="00FB3FCD" w:rsidRPr="00140622">
        <w:rPr>
          <w:sz w:val="24"/>
          <w:szCs w:val="24"/>
        </w:rPr>
        <w:t xml:space="preserve">(ID) </w:t>
      </w:r>
      <w:r w:rsidRPr="00140622">
        <w:rPr>
          <w:sz w:val="24"/>
          <w:szCs w:val="24"/>
        </w:rPr>
        <w:t>number</w:t>
      </w:r>
      <w:r w:rsidR="00FB3FCD" w:rsidRPr="00140622">
        <w:rPr>
          <w:sz w:val="24"/>
          <w:szCs w:val="24"/>
        </w:rPr>
        <w:t>s</w:t>
      </w:r>
      <w:r w:rsidR="00002774" w:rsidRPr="00140622">
        <w:rPr>
          <w:sz w:val="24"/>
          <w:szCs w:val="24"/>
        </w:rPr>
        <w:t xml:space="preserve"> will </w:t>
      </w:r>
      <w:r w:rsidR="009D755C" w:rsidRPr="00140622">
        <w:rPr>
          <w:sz w:val="24"/>
          <w:szCs w:val="24"/>
        </w:rPr>
        <w:t xml:space="preserve">also </w:t>
      </w:r>
      <w:r w:rsidR="00002774" w:rsidRPr="00140622">
        <w:rPr>
          <w:sz w:val="24"/>
          <w:szCs w:val="24"/>
        </w:rPr>
        <w:t>be assigne</w:t>
      </w:r>
      <w:r w:rsidRPr="00140622">
        <w:rPr>
          <w:sz w:val="24"/>
          <w:szCs w:val="24"/>
        </w:rPr>
        <w:t xml:space="preserve">d sequentially </w:t>
      </w:r>
      <w:r w:rsidR="00002774" w:rsidRPr="00140622">
        <w:rPr>
          <w:sz w:val="24"/>
          <w:szCs w:val="24"/>
        </w:rPr>
        <w:t xml:space="preserve">starting with </w:t>
      </w:r>
      <w:r w:rsidR="0074703D" w:rsidRPr="00140622">
        <w:rPr>
          <w:sz w:val="24"/>
          <w:szCs w:val="24"/>
        </w:rPr>
        <w:t xml:space="preserve">Patient </w:t>
      </w:r>
      <w:r w:rsidR="00002774" w:rsidRPr="00140622">
        <w:rPr>
          <w:sz w:val="24"/>
          <w:szCs w:val="24"/>
        </w:rPr>
        <w:t>No. 1.  Dropouts will not be replaced.</w:t>
      </w:r>
      <w:bookmarkEnd w:id="13"/>
      <w:bookmarkEnd w:id="14"/>
      <w:bookmarkEnd w:id="15"/>
      <w:bookmarkEnd w:id="16"/>
      <w:bookmarkEnd w:id="17"/>
      <w:bookmarkEnd w:id="18"/>
    </w:p>
    <w:p w:rsidR="0034619E" w:rsidRPr="00140622" w:rsidRDefault="0034619E" w:rsidP="00FC1BDA">
      <w:pPr>
        <w:spacing w:line="480" w:lineRule="auto"/>
        <w:jc w:val="both"/>
        <w:rPr>
          <w:sz w:val="24"/>
          <w:szCs w:val="24"/>
        </w:rPr>
      </w:pPr>
    </w:p>
    <w:p w:rsidR="009D755C" w:rsidRPr="00140622" w:rsidRDefault="009D755C" w:rsidP="00FC1BDA">
      <w:pPr>
        <w:spacing w:before="0" w:after="0" w:line="480" w:lineRule="auto"/>
        <w:jc w:val="both"/>
        <w:rPr>
          <w:sz w:val="24"/>
          <w:szCs w:val="24"/>
        </w:rPr>
      </w:pPr>
      <w:r w:rsidRPr="00140622">
        <w:rPr>
          <w:b/>
          <w:sz w:val="24"/>
          <w:szCs w:val="24"/>
        </w:rPr>
        <w:t xml:space="preserve">Screening/Baseline </w:t>
      </w:r>
    </w:p>
    <w:p w:rsidR="009D755C" w:rsidRPr="00140622" w:rsidRDefault="009D755C" w:rsidP="00FC1BDA">
      <w:pPr>
        <w:spacing w:before="0" w:after="0" w:line="480" w:lineRule="auto"/>
        <w:jc w:val="both"/>
        <w:rPr>
          <w:sz w:val="24"/>
          <w:szCs w:val="24"/>
        </w:rPr>
      </w:pPr>
      <w:r w:rsidRPr="00140622">
        <w:rPr>
          <w:sz w:val="24"/>
          <w:szCs w:val="24"/>
        </w:rPr>
        <w:t xml:space="preserve">Procedures must be performed within </w:t>
      </w:r>
      <w:r w:rsidR="0034619E" w:rsidRPr="00140622">
        <w:rPr>
          <w:sz w:val="24"/>
          <w:szCs w:val="24"/>
        </w:rPr>
        <w:t>3</w:t>
      </w:r>
      <w:r w:rsidRPr="00140622">
        <w:rPr>
          <w:sz w:val="24"/>
          <w:szCs w:val="24"/>
        </w:rPr>
        <w:t xml:space="preserve"> days prior to randomization:  </w:t>
      </w:r>
    </w:p>
    <w:p w:rsidR="009D755C" w:rsidRPr="00140622" w:rsidRDefault="009D755C" w:rsidP="00FC1BDA">
      <w:pPr>
        <w:numPr>
          <w:ilvl w:val="0"/>
          <w:numId w:val="7"/>
        </w:numPr>
        <w:spacing w:before="0" w:after="0" w:line="480" w:lineRule="auto"/>
        <w:jc w:val="both"/>
        <w:rPr>
          <w:b/>
          <w:sz w:val="24"/>
          <w:szCs w:val="24"/>
        </w:rPr>
      </w:pPr>
      <w:r w:rsidRPr="00140622">
        <w:rPr>
          <w:b/>
          <w:sz w:val="24"/>
          <w:szCs w:val="24"/>
        </w:rPr>
        <w:t>Signed informed consent prior to the performance of any study-specific procedures.</w:t>
      </w:r>
    </w:p>
    <w:p w:rsidR="009D755C" w:rsidRPr="00140622" w:rsidRDefault="009D755C" w:rsidP="00FC1BDA">
      <w:pPr>
        <w:numPr>
          <w:ilvl w:val="0"/>
          <w:numId w:val="7"/>
        </w:numPr>
        <w:spacing w:before="0" w:after="0" w:line="480" w:lineRule="auto"/>
        <w:jc w:val="both"/>
        <w:rPr>
          <w:sz w:val="24"/>
          <w:szCs w:val="24"/>
        </w:rPr>
      </w:pPr>
      <w:r w:rsidRPr="00140622">
        <w:rPr>
          <w:sz w:val="24"/>
          <w:szCs w:val="24"/>
        </w:rPr>
        <w:t>Complete medical and medication history, including a prior antifungal therapy review.</w:t>
      </w:r>
    </w:p>
    <w:p w:rsidR="009D755C" w:rsidRPr="00140622" w:rsidRDefault="009D755C" w:rsidP="00FC1BDA">
      <w:pPr>
        <w:numPr>
          <w:ilvl w:val="0"/>
          <w:numId w:val="7"/>
        </w:numPr>
        <w:spacing w:before="0" w:after="0" w:line="480" w:lineRule="auto"/>
        <w:jc w:val="both"/>
        <w:rPr>
          <w:sz w:val="24"/>
          <w:szCs w:val="24"/>
        </w:rPr>
      </w:pPr>
      <w:r w:rsidRPr="00140622">
        <w:rPr>
          <w:sz w:val="24"/>
          <w:szCs w:val="24"/>
        </w:rPr>
        <w:t>Complete physical examination including vital signs.</w:t>
      </w:r>
    </w:p>
    <w:p w:rsidR="0034619E" w:rsidRPr="00140622" w:rsidRDefault="005126A4" w:rsidP="00FC1BDA">
      <w:pPr>
        <w:numPr>
          <w:ilvl w:val="0"/>
          <w:numId w:val="7"/>
        </w:numPr>
        <w:spacing w:before="0" w:after="0" w:line="480" w:lineRule="auto"/>
        <w:jc w:val="both"/>
        <w:rPr>
          <w:sz w:val="24"/>
          <w:szCs w:val="24"/>
        </w:rPr>
      </w:pPr>
      <w:r w:rsidRPr="00140622">
        <w:rPr>
          <w:sz w:val="24"/>
          <w:szCs w:val="24"/>
        </w:rPr>
        <w:t>Liver function tests will be drawn if not already done as a part of standard care in the preceding 3 days.</w:t>
      </w:r>
    </w:p>
    <w:p w:rsidR="0053409B" w:rsidRPr="00140622" w:rsidRDefault="0034619E" w:rsidP="00FC1BDA">
      <w:pPr>
        <w:numPr>
          <w:ilvl w:val="0"/>
          <w:numId w:val="7"/>
        </w:numPr>
        <w:spacing w:before="0" w:after="0" w:line="480" w:lineRule="auto"/>
        <w:jc w:val="both"/>
        <w:rPr>
          <w:sz w:val="24"/>
          <w:szCs w:val="24"/>
        </w:rPr>
      </w:pPr>
      <w:r w:rsidRPr="00140622">
        <w:rPr>
          <w:sz w:val="24"/>
          <w:szCs w:val="24"/>
        </w:rPr>
        <w:t>Calculate APACHE II score</w:t>
      </w:r>
      <w:r w:rsidR="00610347" w:rsidRPr="00140622">
        <w:rPr>
          <w:sz w:val="24"/>
          <w:szCs w:val="24"/>
        </w:rPr>
        <w:t xml:space="preserve"> (</w:t>
      </w:r>
      <w:hyperlink r:id="rId8" w:history="1">
        <w:r w:rsidR="0053409B" w:rsidRPr="00A721A6">
          <w:rPr>
            <w:rStyle w:val="Hyperlink"/>
            <w:sz w:val="24"/>
            <w:szCs w:val="24"/>
          </w:rPr>
          <w:t>http://www.sfar.org/scores2/apache22.html</w:t>
        </w:r>
      </w:hyperlink>
      <w:r w:rsidR="00610347" w:rsidRPr="00140622">
        <w:rPr>
          <w:sz w:val="24"/>
          <w:szCs w:val="24"/>
        </w:rPr>
        <w:t>)</w:t>
      </w:r>
    </w:p>
    <w:p w:rsidR="0053409B" w:rsidRDefault="008D5B7B" w:rsidP="0053409B">
      <w:pPr>
        <w:numPr>
          <w:ilvl w:val="0"/>
          <w:numId w:val="7"/>
        </w:numPr>
        <w:spacing w:before="0" w:after="0" w:line="480" w:lineRule="auto"/>
        <w:jc w:val="both"/>
        <w:rPr>
          <w:sz w:val="24"/>
          <w:szCs w:val="24"/>
        </w:rPr>
      </w:pPr>
      <w:r w:rsidRPr="00140622">
        <w:rPr>
          <w:sz w:val="24"/>
          <w:szCs w:val="24"/>
        </w:rPr>
        <w:t>Oral wash or ETS for semi-quantitative fungal culture</w:t>
      </w:r>
      <w:r w:rsidR="006F541F" w:rsidRPr="00140622">
        <w:rPr>
          <w:sz w:val="24"/>
          <w:szCs w:val="24"/>
        </w:rPr>
        <w:t xml:space="preserve"> with susceptibility testing</w:t>
      </w:r>
      <w:r w:rsidRPr="00140622">
        <w:rPr>
          <w:sz w:val="24"/>
          <w:szCs w:val="24"/>
        </w:rPr>
        <w:t>.</w:t>
      </w:r>
    </w:p>
    <w:p w:rsidR="0053409B" w:rsidRPr="00140622" w:rsidRDefault="0053409B" w:rsidP="0053409B">
      <w:pPr>
        <w:numPr>
          <w:ilvl w:val="0"/>
          <w:numId w:val="29"/>
        </w:numPr>
        <w:spacing w:before="0" w:after="0" w:line="480" w:lineRule="auto"/>
        <w:jc w:val="both"/>
        <w:rPr>
          <w:sz w:val="24"/>
          <w:szCs w:val="24"/>
        </w:rPr>
      </w:pPr>
      <w:r>
        <w:rPr>
          <w:sz w:val="24"/>
          <w:szCs w:val="24"/>
        </w:rPr>
        <w:t>B-HCG test for women of childbearing age</w:t>
      </w:r>
      <w:r w:rsidR="00200BB8">
        <w:rPr>
          <w:sz w:val="24"/>
          <w:szCs w:val="24"/>
        </w:rPr>
        <w:t xml:space="preserve"> if not already done as a part of standard care (&lt;60 year</w:t>
      </w:r>
      <w:r>
        <w:rPr>
          <w:sz w:val="24"/>
          <w:szCs w:val="24"/>
        </w:rPr>
        <w:t>s old)</w:t>
      </w:r>
    </w:p>
    <w:p w:rsidR="0053409B" w:rsidRDefault="0053409B" w:rsidP="00FC1BDA">
      <w:pPr>
        <w:spacing w:before="0" w:after="0" w:line="480" w:lineRule="auto"/>
        <w:jc w:val="both"/>
        <w:rPr>
          <w:b/>
          <w:sz w:val="24"/>
          <w:szCs w:val="24"/>
        </w:rPr>
      </w:pPr>
    </w:p>
    <w:p w:rsidR="009D755C" w:rsidRPr="00140622" w:rsidRDefault="009D755C" w:rsidP="00FC1BDA">
      <w:pPr>
        <w:spacing w:before="0" w:after="0" w:line="480" w:lineRule="auto"/>
        <w:jc w:val="both"/>
        <w:rPr>
          <w:b/>
          <w:sz w:val="24"/>
          <w:szCs w:val="24"/>
        </w:rPr>
      </w:pPr>
      <w:r w:rsidRPr="00140622">
        <w:rPr>
          <w:b/>
          <w:sz w:val="24"/>
          <w:szCs w:val="24"/>
        </w:rPr>
        <w:t xml:space="preserve">At Randomization </w:t>
      </w:r>
    </w:p>
    <w:p w:rsidR="008D5B7B" w:rsidRPr="00140622" w:rsidRDefault="008D5B7B" w:rsidP="00FC1BDA">
      <w:pPr>
        <w:numPr>
          <w:ilvl w:val="0"/>
          <w:numId w:val="23"/>
        </w:numPr>
        <w:tabs>
          <w:tab w:val="clear" w:pos="1440"/>
          <w:tab w:val="num" w:pos="360"/>
        </w:tabs>
        <w:spacing w:before="0" w:after="0" w:line="480" w:lineRule="auto"/>
        <w:ind w:left="360" w:firstLine="0"/>
        <w:jc w:val="both"/>
        <w:rPr>
          <w:sz w:val="24"/>
          <w:szCs w:val="24"/>
        </w:rPr>
      </w:pPr>
      <w:r w:rsidRPr="00140622">
        <w:rPr>
          <w:sz w:val="24"/>
          <w:szCs w:val="24"/>
        </w:rPr>
        <w:t xml:space="preserve">Stratify by APACHE II score </w:t>
      </w:r>
    </w:p>
    <w:p w:rsidR="009D755C" w:rsidRPr="00140622" w:rsidRDefault="009D755C" w:rsidP="00FC1BDA">
      <w:pPr>
        <w:numPr>
          <w:ilvl w:val="0"/>
          <w:numId w:val="8"/>
        </w:numPr>
        <w:spacing w:before="0" w:after="0" w:line="480" w:lineRule="auto"/>
        <w:jc w:val="both"/>
        <w:rPr>
          <w:sz w:val="24"/>
          <w:szCs w:val="24"/>
        </w:rPr>
      </w:pPr>
      <w:r w:rsidRPr="00140622">
        <w:rPr>
          <w:sz w:val="24"/>
          <w:szCs w:val="24"/>
        </w:rPr>
        <w:t>Concomitant medications will be recorded.</w:t>
      </w:r>
    </w:p>
    <w:p w:rsidR="009D755C" w:rsidRPr="00140622" w:rsidRDefault="00610347" w:rsidP="00FC1BDA">
      <w:pPr>
        <w:numPr>
          <w:ilvl w:val="0"/>
          <w:numId w:val="8"/>
        </w:numPr>
        <w:spacing w:before="0" w:after="0" w:line="480" w:lineRule="auto"/>
        <w:jc w:val="both"/>
        <w:rPr>
          <w:sz w:val="24"/>
          <w:szCs w:val="24"/>
        </w:rPr>
      </w:pPr>
      <w:r w:rsidRPr="00140622">
        <w:rPr>
          <w:sz w:val="24"/>
          <w:szCs w:val="24"/>
        </w:rPr>
        <w:lastRenderedPageBreak/>
        <w:t>A serum red-top</w:t>
      </w:r>
      <w:r w:rsidR="005126A4" w:rsidRPr="00140622">
        <w:rPr>
          <w:sz w:val="24"/>
          <w:szCs w:val="24"/>
        </w:rPr>
        <w:t xml:space="preserve"> tube for </w:t>
      </w:r>
      <w:r w:rsidR="009D755C" w:rsidRPr="00140622">
        <w:rPr>
          <w:sz w:val="24"/>
          <w:szCs w:val="24"/>
        </w:rPr>
        <w:t>B</w:t>
      </w:r>
      <w:r w:rsidR="0034619E" w:rsidRPr="00140622">
        <w:rPr>
          <w:sz w:val="24"/>
          <w:szCs w:val="24"/>
        </w:rPr>
        <w:t>D</w:t>
      </w:r>
      <w:r w:rsidR="009D755C" w:rsidRPr="00140622">
        <w:rPr>
          <w:sz w:val="24"/>
          <w:szCs w:val="24"/>
        </w:rPr>
        <w:t>G</w:t>
      </w:r>
      <w:r w:rsidR="005126A4" w:rsidRPr="00140622">
        <w:rPr>
          <w:sz w:val="24"/>
          <w:szCs w:val="24"/>
        </w:rPr>
        <w:t xml:space="preserve"> testing (3.5 ml)</w:t>
      </w:r>
      <w:r w:rsidR="0034619E" w:rsidRPr="00140622">
        <w:rPr>
          <w:sz w:val="24"/>
          <w:szCs w:val="24"/>
        </w:rPr>
        <w:t xml:space="preserve"> </w:t>
      </w:r>
      <w:r w:rsidR="00A40950">
        <w:rPr>
          <w:sz w:val="24"/>
          <w:szCs w:val="24"/>
        </w:rPr>
        <w:t xml:space="preserve">and a PAX Gene tube (5 </w:t>
      </w:r>
      <w:r w:rsidR="005126A4" w:rsidRPr="00A40950">
        <w:rPr>
          <w:sz w:val="24"/>
          <w:szCs w:val="24"/>
        </w:rPr>
        <w:t>m</w:t>
      </w:r>
      <w:r w:rsidR="005126A4" w:rsidRPr="00140622">
        <w:rPr>
          <w:sz w:val="24"/>
          <w:szCs w:val="24"/>
        </w:rPr>
        <w:t xml:space="preserve">l) for RNA analysis </w:t>
      </w:r>
      <w:r w:rsidR="009D755C" w:rsidRPr="00140622">
        <w:rPr>
          <w:sz w:val="24"/>
          <w:szCs w:val="24"/>
        </w:rPr>
        <w:t>will be obtained.</w:t>
      </w:r>
      <w:r w:rsidR="005126A4" w:rsidRPr="00140622">
        <w:rPr>
          <w:sz w:val="24"/>
          <w:szCs w:val="24"/>
        </w:rPr>
        <w:t xml:space="preserve">  *The PAX Gene tube must always be collected second due to processing requirements.</w:t>
      </w:r>
    </w:p>
    <w:p w:rsidR="009D755C" w:rsidRPr="00140622" w:rsidRDefault="009D755C" w:rsidP="00FC1BDA">
      <w:pPr>
        <w:spacing w:before="0" w:after="0" w:line="480" w:lineRule="auto"/>
        <w:jc w:val="both"/>
        <w:rPr>
          <w:b/>
          <w:sz w:val="24"/>
          <w:szCs w:val="24"/>
        </w:rPr>
      </w:pPr>
    </w:p>
    <w:p w:rsidR="0034619E" w:rsidRPr="00140622" w:rsidRDefault="00D000E1" w:rsidP="00FC1BDA">
      <w:pPr>
        <w:spacing w:before="0" w:after="0" w:line="480" w:lineRule="auto"/>
        <w:jc w:val="both"/>
        <w:rPr>
          <w:b/>
          <w:sz w:val="24"/>
          <w:szCs w:val="24"/>
        </w:rPr>
      </w:pPr>
      <w:r w:rsidRPr="00140622">
        <w:rPr>
          <w:b/>
          <w:sz w:val="24"/>
          <w:szCs w:val="24"/>
        </w:rPr>
        <w:t>All Subjects</w:t>
      </w:r>
    </w:p>
    <w:p w:rsidR="0034619E" w:rsidRPr="00140622" w:rsidRDefault="009D755C" w:rsidP="00FC1BDA">
      <w:pPr>
        <w:spacing w:before="0" w:after="0" w:line="480" w:lineRule="auto"/>
        <w:jc w:val="both"/>
        <w:rPr>
          <w:sz w:val="24"/>
          <w:szCs w:val="24"/>
        </w:rPr>
      </w:pPr>
      <w:r w:rsidRPr="00140622">
        <w:rPr>
          <w:sz w:val="24"/>
          <w:szCs w:val="24"/>
        </w:rPr>
        <w:t xml:space="preserve">The following procedures will be performed for </w:t>
      </w:r>
      <w:r w:rsidR="00444C72" w:rsidRPr="00140622">
        <w:rPr>
          <w:sz w:val="24"/>
          <w:szCs w:val="24"/>
        </w:rPr>
        <w:t xml:space="preserve">all study subjects for </w:t>
      </w:r>
      <w:r w:rsidRPr="00140622">
        <w:rPr>
          <w:sz w:val="24"/>
          <w:szCs w:val="24"/>
        </w:rPr>
        <w:t xml:space="preserve">the duration of </w:t>
      </w:r>
      <w:r w:rsidR="0034619E" w:rsidRPr="00140622">
        <w:rPr>
          <w:sz w:val="24"/>
          <w:szCs w:val="24"/>
        </w:rPr>
        <w:t>the SICU stay</w:t>
      </w:r>
      <w:r w:rsidR="00A941FC" w:rsidRPr="00140622">
        <w:rPr>
          <w:sz w:val="24"/>
          <w:szCs w:val="24"/>
        </w:rPr>
        <w:t>:</w:t>
      </w:r>
    </w:p>
    <w:p w:rsidR="009D755C" w:rsidRPr="00140622" w:rsidRDefault="009D755C" w:rsidP="00FC1BDA">
      <w:pPr>
        <w:numPr>
          <w:ilvl w:val="0"/>
          <w:numId w:val="9"/>
        </w:numPr>
        <w:tabs>
          <w:tab w:val="clear" w:pos="1440"/>
          <w:tab w:val="num" w:pos="810"/>
        </w:tabs>
        <w:spacing w:before="0" w:after="0" w:line="480" w:lineRule="auto"/>
        <w:ind w:left="810" w:hanging="450"/>
        <w:jc w:val="both"/>
        <w:rPr>
          <w:sz w:val="24"/>
          <w:szCs w:val="24"/>
        </w:rPr>
      </w:pPr>
      <w:r w:rsidRPr="00140622">
        <w:rPr>
          <w:sz w:val="24"/>
          <w:szCs w:val="24"/>
        </w:rPr>
        <w:t xml:space="preserve">Serum </w:t>
      </w:r>
      <w:r w:rsidR="00610347" w:rsidRPr="00140622">
        <w:rPr>
          <w:sz w:val="24"/>
          <w:szCs w:val="24"/>
        </w:rPr>
        <w:t xml:space="preserve">red-top </w:t>
      </w:r>
      <w:r w:rsidRPr="00140622">
        <w:rPr>
          <w:sz w:val="24"/>
          <w:szCs w:val="24"/>
        </w:rPr>
        <w:t>B</w:t>
      </w:r>
      <w:r w:rsidR="0034619E" w:rsidRPr="00140622">
        <w:rPr>
          <w:sz w:val="24"/>
          <w:szCs w:val="24"/>
        </w:rPr>
        <w:t>D</w:t>
      </w:r>
      <w:r w:rsidRPr="00140622">
        <w:rPr>
          <w:sz w:val="24"/>
          <w:szCs w:val="24"/>
        </w:rPr>
        <w:t>G</w:t>
      </w:r>
      <w:r w:rsidR="005126A4" w:rsidRPr="00140622">
        <w:rPr>
          <w:sz w:val="24"/>
          <w:szCs w:val="24"/>
        </w:rPr>
        <w:t xml:space="preserve"> and a PAX Gene tubes </w:t>
      </w:r>
      <w:r w:rsidRPr="00140622">
        <w:rPr>
          <w:sz w:val="24"/>
          <w:szCs w:val="24"/>
        </w:rPr>
        <w:t xml:space="preserve">will be obtained </w:t>
      </w:r>
      <w:proofErr w:type="gramStart"/>
      <w:r w:rsidRPr="00140622">
        <w:rPr>
          <w:sz w:val="24"/>
          <w:szCs w:val="24"/>
        </w:rPr>
        <w:t>2 times/week (generally M</w:t>
      </w:r>
      <w:r w:rsidR="005126A4" w:rsidRPr="00140622">
        <w:rPr>
          <w:sz w:val="24"/>
          <w:szCs w:val="24"/>
        </w:rPr>
        <w:t>onday and Thursdays</w:t>
      </w:r>
      <w:r w:rsidRPr="00140622">
        <w:rPr>
          <w:sz w:val="24"/>
          <w:szCs w:val="24"/>
        </w:rPr>
        <w:t>)</w:t>
      </w:r>
      <w:r w:rsidR="00D609FE">
        <w:rPr>
          <w:sz w:val="24"/>
          <w:szCs w:val="24"/>
        </w:rPr>
        <w:t xml:space="preserve"> </w:t>
      </w:r>
      <w:r w:rsidR="00605EF3">
        <w:rPr>
          <w:sz w:val="24"/>
          <w:szCs w:val="24"/>
        </w:rPr>
        <w:t>with the routine early morning blood work</w:t>
      </w:r>
      <w:proofErr w:type="gramEnd"/>
      <w:r w:rsidR="00605EF3">
        <w:rPr>
          <w:sz w:val="24"/>
          <w:szCs w:val="24"/>
        </w:rPr>
        <w:t xml:space="preserve"> </w:t>
      </w:r>
      <w:r w:rsidR="00D609FE">
        <w:rPr>
          <w:sz w:val="24"/>
          <w:szCs w:val="24"/>
        </w:rPr>
        <w:t>by the SICU nursing staff</w:t>
      </w:r>
      <w:r w:rsidR="005126A4" w:rsidRPr="00140622">
        <w:rPr>
          <w:sz w:val="24"/>
          <w:szCs w:val="24"/>
        </w:rPr>
        <w:t xml:space="preserve">.  </w:t>
      </w:r>
      <w:r w:rsidR="00D609FE">
        <w:rPr>
          <w:sz w:val="24"/>
          <w:szCs w:val="24"/>
        </w:rPr>
        <w:t xml:space="preserve">Both phlebotomy tubes will be sent directly to the Duke Clinical Microbiology Laboratory.  </w:t>
      </w:r>
      <w:r w:rsidR="005126A4" w:rsidRPr="00140622">
        <w:rPr>
          <w:sz w:val="24"/>
          <w:szCs w:val="24"/>
        </w:rPr>
        <w:t>BDG r</w:t>
      </w:r>
      <w:r w:rsidRPr="00140622">
        <w:rPr>
          <w:sz w:val="24"/>
          <w:szCs w:val="24"/>
        </w:rPr>
        <w:t>esults will be made availab</w:t>
      </w:r>
      <w:r w:rsidR="008D5B7B" w:rsidRPr="00140622">
        <w:rPr>
          <w:sz w:val="24"/>
          <w:szCs w:val="24"/>
        </w:rPr>
        <w:t>le in real-</w:t>
      </w:r>
      <w:r w:rsidRPr="00140622">
        <w:rPr>
          <w:sz w:val="24"/>
          <w:szCs w:val="24"/>
        </w:rPr>
        <w:t xml:space="preserve">time (within 24–72 hours) </w:t>
      </w:r>
      <w:r w:rsidR="00D609FE">
        <w:rPr>
          <w:sz w:val="24"/>
          <w:szCs w:val="24"/>
        </w:rPr>
        <w:t xml:space="preserve">via a phone call directly </w:t>
      </w:r>
      <w:r w:rsidRPr="00140622">
        <w:rPr>
          <w:sz w:val="24"/>
          <w:szCs w:val="24"/>
        </w:rPr>
        <w:t xml:space="preserve">to </w:t>
      </w:r>
      <w:r w:rsidR="00D609FE">
        <w:rPr>
          <w:sz w:val="24"/>
          <w:szCs w:val="24"/>
        </w:rPr>
        <w:t>the clini</w:t>
      </w:r>
      <w:r w:rsidR="00A40950">
        <w:rPr>
          <w:sz w:val="24"/>
          <w:szCs w:val="24"/>
        </w:rPr>
        <w:t>cian (surgical house staff and u</w:t>
      </w:r>
      <w:r w:rsidR="00D609FE">
        <w:rPr>
          <w:sz w:val="24"/>
          <w:szCs w:val="24"/>
        </w:rPr>
        <w:t>nit pharmacist) caring</w:t>
      </w:r>
      <w:r w:rsidRPr="00140622">
        <w:rPr>
          <w:sz w:val="24"/>
          <w:szCs w:val="24"/>
        </w:rPr>
        <w:t xml:space="preserve"> for </w:t>
      </w:r>
      <w:r w:rsidR="00D609FE">
        <w:rPr>
          <w:sz w:val="24"/>
          <w:szCs w:val="24"/>
        </w:rPr>
        <w:t>the study subject</w:t>
      </w:r>
      <w:r w:rsidR="00D000E1" w:rsidRPr="00140622">
        <w:rPr>
          <w:sz w:val="24"/>
          <w:szCs w:val="24"/>
        </w:rPr>
        <w:t xml:space="preserve"> </w:t>
      </w:r>
      <w:r w:rsidRPr="00140622">
        <w:rPr>
          <w:sz w:val="24"/>
          <w:szCs w:val="24"/>
        </w:rPr>
        <w:t>assigned</w:t>
      </w:r>
      <w:r w:rsidR="0034619E" w:rsidRPr="00140622">
        <w:rPr>
          <w:sz w:val="24"/>
          <w:szCs w:val="24"/>
        </w:rPr>
        <w:t xml:space="preserve"> to pre</w:t>
      </w:r>
      <w:r w:rsidRPr="00140622">
        <w:rPr>
          <w:sz w:val="24"/>
          <w:szCs w:val="24"/>
        </w:rPr>
        <w:t xml:space="preserve">emptive therapy.   </w:t>
      </w:r>
      <w:r w:rsidR="00D000E1" w:rsidRPr="00140622">
        <w:rPr>
          <w:sz w:val="24"/>
          <w:szCs w:val="24"/>
        </w:rPr>
        <w:t>BDG s</w:t>
      </w:r>
      <w:r w:rsidRPr="00140622">
        <w:rPr>
          <w:sz w:val="24"/>
          <w:szCs w:val="24"/>
        </w:rPr>
        <w:t xml:space="preserve">pecimens </w:t>
      </w:r>
      <w:r w:rsidR="005126A4" w:rsidRPr="00140622">
        <w:rPr>
          <w:sz w:val="24"/>
          <w:szCs w:val="24"/>
        </w:rPr>
        <w:t xml:space="preserve">obtained </w:t>
      </w:r>
      <w:r w:rsidRPr="00140622">
        <w:rPr>
          <w:sz w:val="24"/>
          <w:szCs w:val="24"/>
        </w:rPr>
        <w:t xml:space="preserve">from patients assigned to empiric therapy </w:t>
      </w:r>
      <w:r w:rsidR="008D5B7B" w:rsidRPr="00140622">
        <w:rPr>
          <w:sz w:val="24"/>
          <w:szCs w:val="24"/>
        </w:rPr>
        <w:t xml:space="preserve">(standard care) </w:t>
      </w:r>
      <w:r w:rsidRPr="00140622">
        <w:rPr>
          <w:sz w:val="24"/>
          <w:szCs w:val="24"/>
        </w:rPr>
        <w:t xml:space="preserve">will be batched </w:t>
      </w:r>
      <w:r w:rsidR="00D000E1" w:rsidRPr="00140622">
        <w:rPr>
          <w:sz w:val="24"/>
          <w:szCs w:val="24"/>
        </w:rPr>
        <w:t xml:space="preserve">and tested at the end of study and the </w:t>
      </w:r>
      <w:r w:rsidRPr="00140622">
        <w:rPr>
          <w:sz w:val="24"/>
          <w:szCs w:val="24"/>
        </w:rPr>
        <w:t>clinicians will not be made aware of the results.</w:t>
      </w:r>
      <w:r w:rsidR="005126A4" w:rsidRPr="00140622">
        <w:rPr>
          <w:sz w:val="24"/>
          <w:szCs w:val="24"/>
        </w:rPr>
        <w:t xml:space="preserve">  All RNA analyses will </w:t>
      </w:r>
      <w:r w:rsidR="00D609FE">
        <w:rPr>
          <w:sz w:val="24"/>
          <w:szCs w:val="24"/>
        </w:rPr>
        <w:t xml:space="preserve">also </w:t>
      </w:r>
      <w:r w:rsidR="005126A4" w:rsidRPr="00140622">
        <w:rPr>
          <w:sz w:val="24"/>
          <w:szCs w:val="24"/>
        </w:rPr>
        <w:t>be performed retrospectively for research purposes only.</w:t>
      </w:r>
    </w:p>
    <w:p w:rsidR="002E1CE2" w:rsidRPr="00140622" w:rsidRDefault="005126A4" w:rsidP="00FC1BDA">
      <w:pPr>
        <w:spacing w:before="0" w:after="0" w:line="480" w:lineRule="auto"/>
        <w:ind w:left="1440"/>
        <w:jc w:val="both"/>
        <w:rPr>
          <w:sz w:val="24"/>
          <w:szCs w:val="24"/>
        </w:rPr>
      </w:pPr>
      <w:r w:rsidRPr="00140622">
        <w:rPr>
          <w:sz w:val="24"/>
          <w:szCs w:val="24"/>
        </w:rPr>
        <w:t>*</w:t>
      </w:r>
      <w:r w:rsidR="002E1CE2" w:rsidRPr="00140622">
        <w:rPr>
          <w:sz w:val="24"/>
          <w:szCs w:val="24"/>
        </w:rPr>
        <w:t>Patients in the active surveillance/preemptive therapy arm may have BDG testing performe</w:t>
      </w:r>
      <w:r w:rsidR="00D000E1" w:rsidRPr="00140622">
        <w:rPr>
          <w:sz w:val="24"/>
          <w:szCs w:val="24"/>
        </w:rPr>
        <w:t xml:space="preserve">d on other days if the </w:t>
      </w:r>
      <w:r w:rsidR="002E1CE2" w:rsidRPr="00140622">
        <w:rPr>
          <w:sz w:val="24"/>
          <w:szCs w:val="24"/>
        </w:rPr>
        <w:t>providers feel that the result would immediately impact initiation of antifungal therapy.</w:t>
      </w:r>
      <w:r w:rsidRPr="00140622">
        <w:rPr>
          <w:sz w:val="24"/>
          <w:szCs w:val="24"/>
        </w:rPr>
        <w:t xml:space="preserve">  </w:t>
      </w:r>
      <w:r w:rsidR="00D609FE">
        <w:rPr>
          <w:sz w:val="24"/>
          <w:szCs w:val="24"/>
        </w:rPr>
        <w:t>The test will be available daily Monday through Friday.</w:t>
      </w:r>
    </w:p>
    <w:p w:rsidR="005126A4" w:rsidRPr="00140622" w:rsidRDefault="005126A4" w:rsidP="00FC1BDA">
      <w:pPr>
        <w:spacing w:before="0" w:after="0" w:line="480" w:lineRule="auto"/>
        <w:ind w:left="720"/>
        <w:jc w:val="both"/>
        <w:rPr>
          <w:sz w:val="24"/>
          <w:szCs w:val="24"/>
        </w:rPr>
      </w:pPr>
    </w:p>
    <w:p w:rsidR="008D5B7B" w:rsidRPr="00140622" w:rsidRDefault="008D5B7B" w:rsidP="00FC1BDA">
      <w:pPr>
        <w:numPr>
          <w:ilvl w:val="0"/>
          <w:numId w:val="9"/>
        </w:numPr>
        <w:tabs>
          <w:tab w:val="clear" w:pos="1440"/>
          <w:tab w:val="num" w:pos="810"/>
        </w:tabs>
        <w:spacing w:before="0" w:after="0" w:line="480" w:lineRule="auto"/>
        <w:ind w:left="810" w:hanging="450"/>
        <w:jc w:val="both"/>
        <w:rPr>
          <w:sz w:val="24"/>
          <w:szCs w:val="24"/>
        </w:rPr>
      </w:pPr>
      <w:r w:rsidRPr="00140622">
        <w:rPr>
          <w:sz w:val="24"/>
          <w:szCs w:val="24"/>
        </w:rPr>
        <w:t>IFI assessments will be made weekly</w:t>
      </w:r>
      <w:r w:rsidR="006F541F" w:rsidRPr="00140622">
        <w:rPr>
          <w:sz w:val="24"/>
          <w:szCs w:val="24"/>
        </w:rPr>
        <w:t xml:space="preserve"> (EORTC/MSG criteria for proven or probable IFI</w:t>
      </w:r>
      <w:r w:rsidR="005126A4" w:rsidRPr="00140622">
        <w:rPr>
          <w:sz w:val="24"/>
          <w:szCs w:val="24"/>
        </w:rPr>
        <w:t xml:space="preserve"> will be applied</w:t>
      </w:r>
      <w:r w:rsidR="006F541F" w:rsidRPr="00140622">
        <w:rPr>
          <w:sz w:val="24"/>
          <w:szCs w:val="24"/>
        </w:rPr>
        <w:t xml:space="preserve"> [</w:t>
      </w:r>
      <w:r w:rsidR="00A941FC" w:rsidRPr="00140622">
        <w:rPr>
          <w:b/>
          <w:sz w:val="24"/>
          <w:szCs w:val="24"/>
        </w:rPr>
        <w:t>Tables 3</w:t>
      </w:r>
      <w:r w:rsidR="006F541F" w:rsidRPr="00140622">
        <w:rPr>
          <w:b/>
          <w:sz w:val="24"/>
          <w:szCs w:val="24"/>
        </w:rPr>
        <w:t xml:space="preserve"> &amp; </w:t>
      </w:r>
      <w:r w:rsidR="00A941FC" w:rsidRPr="00140622">
        <w:rPr>
          <w:b/>
          <w:sz w:val="24"/>
          <w:szCs w:val="24"/>
        </w:rPr>
        <w:t>4</w:t>
      </w:r>
      <w:r w:rsidR="006F541F" w:rsidRPr="00140622">
        <w:rPr>
          <w:sz w:val="24"/>
          <w:szCs w:val="24"/>
        </w:rPr>
        <w:t>])</w:t>
      </w:r>
      <w:r w:rsidR="00D609FE">
        <w:rPr>
          <w:sz w:val="24"/>
          <w:szCs w:val="24"/>
        </w:rPr>
        <w:t xml:space="preserve"> and documented on the CRF</w:t>
      </w:r>
      <w:r w:rsidR="006F541F" w:rsidRPr="00140622">
        <w:rPr>
          <w:sz w:val="24"/>
          <w:szCs w:val="24"/>
        </w:rPr>
        <w:t>.</w:t>
      </w:r>
    </w:p>
    <w:p w:rsidR="00444C72" w:rsidRPr="00140622" w:rsidRDefault="005126A4" w:rsidP="00FC1BDA">
      <w:pPr>
        <w:numPr>
          <w:ilvl w:val="0"/>
          <w:numId w:val="9"/>
        </w:numPr>
        <w:tabs>
          <w:tab w:val="clear" w:pos="1440"/>
          <w:tab w:val="num" w:pos="810"/>
        </w:tabs>
        <w:spacing w:before="0" w:after="0" w:line="480" w:lineRule="auto"/>
        <w:ind w:left="810" w:hanging="450"/>
        <w:jc w:val="both"/>
        <w:rPr>
          <w:sz w:val="24"/>
          <w:szCs w:val="24"/>
        </w:rPr>
      </w:pPr>
      <w:r w:rsidRPr="00140622">
        <w:rPr>
          <w:sz w:val="24"/>
          <w:szCs w:val="24"/>
        </w:rPr>
        <w:lastRenderedPageBreak/>
        <w:t>S</w:t>
      </w:r>
      <w:r w:rsidR="00444C72" w:rsidRPr="00140622">
        <w:rPr>
          <w:sz w:val="24"/>
          <w:szCs w:val="24"/>
        </w:rPr>
        <w:t xml:space="preserve">upporting evidence of IFI obtained as part of routine care </w:t>
      </w:r>
      <w:r w:rsidRPr="00140622">
        <w:rPr>
          <w:sz w:val="24"/>
          <w:szCs w:val="24"/>
        </w:rPr>
        <w:t xml:space="preserve">will be recorded </w:t>
      </w:r>
      <w:r w:rsidR="00444C72" w:rsidRPr="00140622">
        <w:rPr>
          <w:sz w:val="24"/>
          <w:szCs w:val="24"/>
        </w:rPr>
        <w:t>weekly</w:t>
      </w:r>
      <w:r w:rsidR="00FD6108" w:rsidRPr="00140622">
        <w:rPr>
          <w:sz w:val="24"/>
          <w:szCs w:val="24"/>
        </w:rPr>
        <w:t xml:space="preserve"> (i.e. routine laboratory testing, microbiology and blood culture results, imaging studies, biopsy reports)</w:t>
      </w:r>
      <w:r w:rsidR="00D609FE">
        <w:rPr>
          <w:sz w:val="24"/>
          <w:szCs w:val="24"/>
        </w:rPr>
        <w:t xml:space="preserve"> and documented on the CRF</w:t>
      </w:r>
      <w:r w:rsidR="00444C72" w:rsidRPr="00140622">
        <w:rPr>
          <w:sz w:val="24"/>
          <w:szCs w:val="24"/>
        </w:rPr>
        <w:t>.</w:t>
      </w:r>
    </w:p>
    <w:p w:rsidR="008D5B7B" w:rsidRPr="00140622" w:rsidRDefault="008D5B7B" w:rsidP="00FC1BDA">
      <w:pPr>
        <w:numPr>
          <w:ilvl w:val="0"/>
          <w:numId w:val="9"/>
        </w:numPr>
        <w:tabs>
          <w:tab w:val="clear" w:pos="1440"/>
          <w:tab w:val="num" w:pos="810"/>
        </w:tabs>
        <w:spacing w:before="0" w:after="0" w:line="480" w:lineRule="auto"/>
        <w:ind w:left="810" w:hanging="450"/>
        <w:jc w:val="both"/>
        <w:rPr>
          <w:sz w:val="24"/>
          <w:szCs w:val="24"/>
        </w:rPr>
      </w:pPr>
      <w:r w:rsidRPr="00140622">
        <w:rPr>
          <w:sz w:val="24"/>
          <w:szCs w:val="24"/>
        </w:rPr>
        <w:t>Clinical risk factors for IC will be documented weekly</w:t>
      </w:r>
      <w:r w:rsidR="006F541F" w:rsidRPr="00140622">
        <w:rPr>
          <w:sz w:val="24"/>
          <w:szCs w:val="24"/>
        </w:rPr>
        <w:t xml:space="preserve"> (</w:t>
      </w:r>
      <w:r w:rsidR="006F541F" w:rsidRPr="00140622">
        <w:rPr>
          <w:b/>
          <w:sz w:val="24"/>
          <w:szCs w:val="24"/>
        </w:rPr>
        <w:t xml:space="preserve">Table </w:t>
      </w:r>
      <w:r w:rsidR="00A941FC" w:rsidRPr="00140622">
        <w:rPr>
          <w:b/>
          <w:sz w:val="24"/>
          <w:szCs w:val="24"/>
        </w:rPr>
        <w:t>1</w:t>
      </w:r>
      <w:r w:rsidR="006F541F" w:rsidRPr="00140622">
        <w:rPr>
          <w:sz w:val="24"/>
          <w:szCs w:val="24"/>
        </w:rPr>
        <w:t>)</w:t>
      </w:r>
      <w:r w:rsidR="00D609FE">
        <w:rPr>
          <w:sz w:val="24"/>
          <w:szCs w:val="24"/>
        </w:rPr>
        <w:t xml:space="preserve"> and documented on the CRF</w:t>
      </w:r>
      <w:r w:rsidR="006F541F" w:rsidRPr="00140622">
        <w:rPr>
          <w:sz w:val="24"/>
          <w:szCs w:val="24"/>
        </w:rPr>
        <w:t>.</w:t>
      </w:r>
    </w:p>
    <w:p w:rsidR="008D5B7B" w:rsidRPr="00140622" w:rsidRDefault="008D5B7B" w:rsidP="00FC1BDA">
      <w:pPr>
        <w:numPr>
          <w:ilvl w:val="0"/>
          <w:numId w:val="9"/>
        </w:numPr>
        <w:tabs>
          <w:tab w:val="clear" w:pos="1440"/>
          <w:tab w:val="num" w:pos="810"/>
        </w:tabs>
        <w:spacing w:before="0" w:after="0" w:line="480" w:lineRule="auto"/>
        <w:ind w:left="810" w:hanging="450"/>
        <w:jc w:val="both"/>
        <w:rPr>
          <w:sz w:val="24"/>
          <w:szCs w:val="24"/>
        </w:rPr>
      </w:pPr>
      <w:r w:rsidRPr="00140622">
        <w:rPr>
          <w:sz w:val="24"/>
          <w:szCs w:val="24"/>
        </w:rPr>
        <w:t>Factors known to be associated with false positive BDG tests will be documented weekly</w:t>
      </w:r>
      <w:r w:rsidR="006F541F" w:rsidRPr="00140622">
        <w:rPr>
          <w:sz w:val="24"/>
          <w:szCs w:val="24"/>
        </w:rPr>
        <w:t xml:space="preserve"> (</w:t>
      </w:r>
      <w:r w:rsidR="006F541F" w:rsidRPr="00140622">
        <w:rPr>
          <w:b/>
          <w:sz w:val="24"/>
          <w:szCs w:val="24"/>
        </w:rPr>
        <w:t xml:space="preserve">Table </w:t>
      </w:r>
      <w:r w:rsidR="00A941FC" w:rsidRPr="00140622">
        <w:rPr>
          <w:b/>
          <w:sz w:val="24"/>
          <w:szCs w:val="24"/>
        </w:rPr>
        <w:t>2</w:t>
      </w:r>
      <w:r w:rsidR="006F541F" w:rsidRPr="00140622">
        <w:rPr>
          <w:sz w:val="24"/>
          <w:szCs w:val="24"/>
        </w:rPr>
        <w:t>)</w:t>
      </w:r>
      <w:r w:rsidR="00D609FE">
        <w:rPr>
          <w:sz w:val="24"/>
          <w:szCs w:val="24"/>
        </w:rPr>
        <w:t xml:space="preserve"> and documented on the CRF</w:t>
      </w:r>
      <w:r w:rsidR="006F541F" w:rsidRPr="00140622">
        <w:rPr>
          <w:sz w:val="24"/>
          <w:szCs w:val="24"/>
        </w:rPr>
        <w:t>.</w:t>
      </w:r>
    </w:p>
    <w:p w:rsidR="009D755C" w:rsidRPr="00140622" w:rsidRDefault="00A40950" w:rsidP="00FC1BDA">
      <w:pPr>
        <w:numPr>
          <w:ilvl w:val="0"/>
          <w:numId w:val="9"/>
        </w:numPr>
        <w:tabs>
          <w:tab w:val="clear" w:pos="1440"/>
          <w:tab w:val="num" w:pos="810"/>
        </w:tabs>
        <w:spacing w:before="0" w:after="0" w:line="480" w:lineRule="auto"/>
        <w:ind w:left="810" w:hanging="450"/>
        <w:jc w:val="both"/>
        <w:rPr>
          <w:sz w:val="24"/>
          <w:szCs w:val="24"/>
        </w:rPr>
      </w:pPr>
      <w:r>
        <w:rPr>
          <w:sz w:val="24"/>
          <w:szCs w:val="24"/>
        </w:rPr>
        <w:t>Concomitant antimicrobials and immunosuppressive drugs</w:t>
      </w:r>
      <w:r w:rsidR="009D755C" w:rsidRPr="00140622">
        <w:rPr>
          <w:sz w:val="24"/>
          <w:szCs w:val="24"/>
        </w:rPr>
        <w:t xml:space="preserve"> will be documented weekly</w:t>
      </w:r>
      <w:r w:rsidR="00D609FE">
        <w:rPr>
          <w:sz w:val="24"/>
          <w:szCs w:val="24"/>
        </w:rPr>
        <w:t xml:space="preserve"> on the CRF</w:t>
      </w:r>
      <w:r w:rsidR="00444C72" w:rsidRPr="00140622">
        <w:rPr>
          <w:sz w:val="24"/>
          <w:szCs w:val="24"/>
        </w:rPr>
        <w:t>.</w:t>
      </w:r>
      <w:r w:rsidR="009D755C" w:rsidRPr="00140622">
        <w:rPr>
          <w:sz w:val="24"/>
          <w:szCs w:val="24"/>
        </w:rPr>
        <w:t xml:space="preserve"> </w:t>
      </w:r>
    </w:p>
    <w:p w:rsidR="009D755C" w:rsidRPr="00140622" w:rsidRDefault="009D755C" w:rsidP="00FC1BDA">
      <w:pPr>
        <w:numPr>
          <w:ilvl w:val="0"/>
          <w:numId w:val="9"/>
        </w:numPr>
        <w:tabs>
          <w:tab w:val="num" w:pos="810"/>
        </w:tabs>
        <w:spacing w:before="0" w:after="0" w:line="480" w:lineRule="auto"/>
        <w:ind w:left="810" w:hanging="450"/>
        <w:jc w:val="both"/>
        <w:rPr>
          <w:sz w:val="24"/>
          <w:szCs w:val="24"/>
        </w:rPr>
      </w:pPr>
      <w:r w:rsidRPr="00140622">
        <w:rPr>
          <w:sz w:val="24"/>
          <w:szCs w:val="24"/>
        </w:rPr>
        <w:t>AEs will be recorded</w:t>
      </w:r>
      <w:r w:rsidR="005126A4" w:rsidRPr="00140622">
        <w:rPr>
          <w:sz w:val="24"/>
          <w:szCs w:val="24"/>
        </w:rPr>
        <w:t xml:space="preserve"> weekly</w:t>
      </w:r>
      <w:r w:rsidR="00A40950">
        <w:rPr>
          <w:sz w:val="24"/>
          <w:szCs w:val="24"/>
        </w:rPr>
        <w:t xml:space="preserve"> and do</w:t>
      </w:r>
      <w:r w:rsidR="00D609FE">
        <w:rPr>
          <w:sz w:val="24"/>
          <w:szCs w:val="24"/>
        </w:rPr>
        <w:t>c</w:t>
      </w:r>
      <w:r w:rsidR="00A40950">
        <w:rPr>
          <w:sz w:val="24"/>
          <w:szCs w:val="24"/>
        </w:rPr>
        <w:t>u</w:t>
      </w:r>
      <w:r w:rsidR="00D609FE">
        <w:rPr>
          <w:sz w:val="24"/>
          <w:szCs w:val="24"/>
        </w:rPr>
        <w:t>ment</w:t>
      </w:r>
      <w:r w:rsidR="00A40950">
        <w:rPr>
          <w:sz w:val="24"/>
          <w:szCs w:val="24"/>
        </w:rPr>
        <w:t>ed</w:t>
      </w:r>
      <w:r w:rsidR="00D609FE">
        <w:rPr>
          <w:sz w:val="24"/>
          <w:szCs w:val="24"/>
        </w:rPr>
        <w:t xml:space="preserve"> on a dedicated CRF</w:t>
      </w:r>
      <w:r w:rsidRPr="00140622">
        <w:rPr>
          <w:sz w:val="24"/>
          <w:szCs w:val="24"/>
        </w:rPr>
        <w:t xml:space="preserve">. </w:t>
      </w:r>
    </w:p>
    <w:p w:rsidR="009D755C" w:rsidRPr="00140622" w:rsidRDefault="009D755C" w:rsidP="00FC1BDA">
      <w:pPr>
        <w:spacing w:before="0" w:after="0" w:line="480" w:lineRule="auto"/>
        <w:jc w:val="both"/>
        <w:rPr>
          <w:b/>
          <w:sz w:val="24"/>
          <w:szCs w:val="24"/>
        </w:rPr>
      </w:pPr>
    </w:p>
    <w:p w:rsidR="009D755C" w:rsidRPr="00140622" w:rsidRDefault="009D755C" w:rsidP="00FC1BDA">
      <w:pPr>
        <w:spacing w:before="0" w:after="0" w:line="480" w:lineRule="auto"/>
        <w:jc w:val="both"/>
        <w:rPr>
          <w:b/>
          <w:sz w:val="24"/>
          <w:szCs w:val="24"/>
        </w:rPr>
      </w:pPr>
      <w:r w:rsidRPr="00140622">
        <w:rPr>
          <w:b/>
          <w:sz w:val="24"/>
          <w:szCs w:val="24"/>
        </w:rPr>
        <w:t>INITIATION OF PRE-EMPTIVE OR EMPIRIC THERAPY</w:t>
      </w:r>
    </w:p>
    <w:p w:rsidR="000C715E" w:rsidRPr="00140622" w:rsidRDefault="000C715E" w:rsidP="00FC1BDA">
      <w:pPr>
        <w:numPr>
          <w:ilvl w:val="0"/>
          <w:numId w:val="10"/>
        </w:numPr>
        <w:spacing w:before="0" w:after="0" w:line="480" w:lineRule="auto"/>
        <w:jc w:val="both"/>
        <w:rPr>
          <w:sz w:val="24"/>
          <w:szCs w:val="24"/>
        </w:rPr>
      </w:pPr>
      <w:r w:rsidRPr="00140622">
        <w:rPr>
          <w:sz w:val="24"/>
          <w:szCs w:val="24"/>
        </w:rPr>
        <w:t>APACHE II score</w:t>
      </w:r>
      <w:r w:rsidR="00610347" w:rsidRPr="00140622">
        <w:rPr>
          <w:sz w:val="24"/>
          <w:szCs w:val="24"/>
        </w:rPr>
        <w:t xml:space="preserve"> </w:t>
      </w:r>
      <w:r w:rsidR="00FD6108" w:rsidRPr="00140622">
        <w:rPr>
          <w:sz w:val="24"/>
          <w:szCs w:val="24"/>
        </w:rPr>
        <w:t>re</w:t>
      </w:r>
      <w:r w:rsidR="00610347" w:rsidRPr="00140622">
        <w:rPr>
          <w:sz w:val="24"/>
          <w:szCs w:val="24"/>
        </w:rPr>
        <w:t>calculated based on laboratory and clinical features in preceding 24 hours</w:t>
      </w:r>
      <w:r w:rsidR="00FD6108" w:rsidRPr="00140622">
        <w:rPr>
          <w:sz w:val="24"/>
          <w:szCs w:val="24"/>
        </w:rPr>
        <w:t xml:space="preserve"> (http://www.sfar.org/scores2/apache22.html).</w:t>
      </w:r>
    </w:p>
    <w:p w:rsidR="009D755C" w:rsidRPr="00140622" w:rsidRDefault="009D755C" w:rsidP="00FC1BDA">
      <w:pPr>
        <w:numPr>
          <w:ilvl w:val="0"/>
          <w:numId w:val="10"/>
        </w:numPr>
        <w:spacing w:before="0" w:after="0" w:line="480" w:lineRule="auto"/>
        <w:jc w:val="both"/>
        <w:rPr>
          <w:sz w:val="24"/>
          <w:szCs w:val="24"/>
        </w:rPr>
      </w:pPr>
      <w:r w:rsidRPr="00140622">
        <w:rPr>
          <w:sz w:val="24"/>
          <w:szCs w:val="24"/>
        </w:rPr>
        <w:t>Complete physical ex</w:t>
      </w:r>
      <w:r w:rsidR="006F541F" w:rsidRPr="00140622">
        <w:rPr>
          <w:sz w:val="24"/>
          <w:szCs w:val="24"/>
        </w:rPr>
        <w:t>amination including vital signs</w:t>
      </w:r>
      <w:r w:rsidR="00D609FE">
        <w:rPr>
          <w:sz w:val="24"/>
          <w:szCs w:val="24"/>
        </w:rPr>
        <w:t xml:space="preserve"> will be obtained within 72 hours of study drug initiation</w:t>
      </w:r>
      <w:r w:rsidRPr="00140622">
        <w:rPr>
          <w:sz w:val="24"/>
          <w:szCs w:val="24"/>
        </w:rPr>
        <w:t>.</w:t>
      </w:r>
    </w:p>
    <w:p w:rsidR="008200F1" w:rsidRPr="00140622" w:rsidRDefault="008200F1" w:rsidP="00FC1BDA">
      <w:pPr>
        <w:numPr>
          <w:ilvl w:val="0"/>
          <w:numId w:val="10"/>
        </w:numPr>
        <w:spacing w:before="0" w:after="0" w:line="480" w:lineRule="auto"/>
        <w:jc w:val="both"/>
        <w:rPr>
          <w:sz w:val="24"/>
          <w:szCs w:val="24"/>
        </w:rPr>
      </w:pPr>
      <w:r w:rsidRPr="00140622">
        <w:rPr>
          <w:sz w:val="24"/>
          <w:szCs w:val="24"/>
        </w:rPr>
        <w:t xml:space="preserve">Assess </w:t>
      </w:r>
      <w:r w:rsidR="00D609FE">
        <w:rPr>
          <w:sz w:val="24"/>
          <w:szCs w:val="24"/>
        </w:rPr>
        <w:t xml:space="preserve">and document </w:t>
      </w:r>
      <w:r w:rsidRPr="00140622">
        <w:rPr>
          <w:sz w:val="24"/>
          <w:szCs w:val="24"/>
        </w:rPr>
        <w:t>whether patient meets EORTC/MSG criteria for proven or probable IFI</w:t>
      </w:r>
      <w:r w:rsidR="00610347" w:rsidRPr="00140622">
        <w:rPr>
          <w:sz w:val="24"/>
          <w:szCs w:val="24"/>
        </w:rPr>
        <w:t>.</w:t>
      </w:r>
    </w:p>
    <w:p w:rsidR="009D755C" w:rsidRPr="00140622" w:rsidRDefault="009D755C" w:rsidP="00FC1BDA">
      <w:pPr>
        <w:numPr>
          <w:ilvl w:val="0"/>
          <w:numId w:val="10"/>
        </w:numPr>
        <w:spacing w:before="0" w:after="0" w:line="480" w:lineRule="auto"/>
        <w:jc w:val="both"/>
        <w:rPr>
          <w:sz w:val="24"/>
          <w:szCs w:val="24"/>
        </w:rPr>
      </w:pPr>
      <w:r w:rsidRPr="00140622">
        <w:rPr>
          <w:sz w:val="24"/>
          <w:szCs w:val="24"/>
        </w:rPr>
        <w:t>La</w:t>
      </w:r>
      <w:r w:rsidR="005126A4" w:rsidRPr="00140622">
        <w:rPr>
          <w:sz w:val="24"/>
          <w:szCs w:val="24"/>
        </w:rPr>
        <w:t>boratory evaluation</w:t>
      </w:r>
      <w:r w:rsidR="000C715E" w:rsidRPr="00140622">
        <w:rPr>
          <w:sz w:val="24"/>
          <w:szCs w:val="24"/>
        </w:rPr>
        <w:t xml:space="preserve"> (</w:t>
      </w:r>
      <w:r w:rsidR="005126A4" w:rsidRPr="00140622">
        <w:rPr>
          <w:sz w:val="24"/>
          <w:szCs w:val="24"/>
        </w:rPr>
        <w:t>LFTs</w:t>
      </w:r>
      <w:r w:rsidR="00FD6108" w:rsidRPr="00140622">
        <w:rPr>
          <w:sz w:val="24"/>
          <w:szCs w:val="24"/>
        </w:rPr>
        <w:t xml:space="preserve"> </w:t>
      </w:r>
      <w:r w:rsidR="00605EF3">
        <w:rPr>
          <w:sz w:val="24"/>
          <w:szCs w:val="24"/>
        </w:rPr>
        <w:t xml:space="preserve">will be obtained </w:t>
      </w:r>
      <w:r w:rsidR="00FD6108" w:rsidRPr="00140622">
        <w:rPr>
          <w:sz w:val="24"/>
          <w:szCs w:val="24"/>
        </w:rPr>
        <w:t xml:space="preserve">if not </w:t>
      </w:r>
      <w:r w:rsidR="00605EF3">
        <w:rPr>
          <w:sz w:val="24"/>
          <w:szCs w:val="24"/>
        </w:rPr>
        <w:t xml:space="preserve">already </w:t>
      </w:r>
      <w:r w:rsidR="00FD6108" w:rsidRPr="00140622">
        <w:rPr>
          <w:sz w:val="24"/>
          <w:szCs w:val="24"/>
        </w:rPr>
        <w:t>done in preceding 3 days).</w:t>
      </w:r>
    </w:p>
    <w:p w:rsidR="008200F1" w:rsidRPr="00140622" w:rsidRDefault="008200F1" w:rsidP="00FC1BDA">
      <w:pPr>
        <w:numPr>
          <w:ilvl w:val="0"/>
          <w:numId w:val="10"/>
        </w:numPr>
        <w:spacing w:before="0" w:after="0" w:line="480" w:lineRule="auto"/>
        <w:jc w:val="both"/>
        <w:rPr>
          <w:sz w:val="24"/>
          <w:szCs w:val="24"/>
        </w:rPr>
      </w:pPr>
      <w:r w:rsidRPr="00140622">
        <w:rPr>
          <w:sz w:val="24"/>
          <w:szCs w:val="24"/>
        </w:rPr>
        <w:t>Oral wash or ETS for semi-quantitative fungal culture with susceptibility testing will be performed.</w:t>
      </w:r>
    </w:p>
    <w:p w:rsidR="009D755C" w:rsidRPr="00140622" w:rsidRDefault="00444C72" w:rsidP="00FC1BDA">
      <w:pPr>
        <w:numPr>
          <w:ilvl w:val="0"/>
          <w:numId w:val="10"/>
        </w:numPr>
        <w:spacing w:before="0" w:after="0" w:line="480" w:lineRule="auto"/>
        <w:jc w:val="both"/>
        <w:rPr>
          <w:sz w:val="24"/>
          <w:szCs w:val="24"/>
        </w:rPr>
      </w:pPr>
      <w:r w:rsidRPr="00140622">
        <w:rPr>
          <w:sz w:val="24"/>
          <w:szCs w:val="24"/>
        </w:rPr>
        <w:t>S</w:t>
      </w:r>
      <w:r w:rsidR="009D755C" w:rsidRPr="00140622">
        <w:rPr>
          <w:sz w:val="24"/>
          <w:szCs w:val="24"/>
        </w:rPr>
        <w:t>upporting evidence of IFI obtained as part of routine care will be documented.</w:t>
      </w:r>
    </w:p>
    <w:p w:rsidR="009D755C" w:rsidRPr="00140622" w:rsidRDefault="00FD6108" w:rsidP="00FC1BDA">
      <w:pPr>
        <w:numPr>
          <w:ilvl w:val="0"/>
          <w:numId w:val="10"/>
        </w:numPr>
        <w:spacing w:before="0" w:after="0" w:line="480" w:lineRule="auto"/>
        <w:jc w:val="both"/>
        <w:rPr>
          <w:sz w:val="24"/>
          <w:szCs w:val="24"/>
        </w:rPr>
      </w:pPr>
      <w:r w:rsidRPr="00140622">
        <w:rPr>
          <w:sz w:val="24"/>
          <w:szCs w:val="24"/>
        </w:rPr>
        <w:lastRenderedPageBreak/>
        <w:t>P</w:t>
      </w:r>
      <w:r w:rsidR="009D755C" w:rsidRPr="00140622">
        <w:rPr>
          <w:sz w:val="24"/>
          <w:szCs w:val="24"/>
        </w:rPr>
        <w:t>ositive B</w:t>
      </w:r>
      <w:r w:rsidR="008D5B7B" w:rsidRPr="00140622">
        <w:rPr>
          <w:sz w:val="24"/>
          <w:szCs w:val="24"/>
        </w:rPr>
        <w:t>D</w:t>
      </w:r>
      <w:r w:rsidRPr="00140622">
        <w:rPr>
          <w:sz w:val="24"/>
          <w:szCs w:val="24"/>
        </w:rPr>
        <w:t xml:space="preserve">G test will prompt </w:t>
      </w:r>
      <w:r w:rsidR="00610347" w:rsidRPr="00A40950">
        <w:rPr>
          <w:sz w:val="24"/>
          <w:szCs w:val="24"/>
        </w:rPr>
        <w:t>two sets</w:t>
      </w:r>
      <w:r w:rsidR="00610347" w:rsidRPr="00140622">
        <w:rPr>
          <w:sz w:val="24"/>
          <w:szCs w:val="24"/>
        </w:rPr>
        <w:t xml:space="preserve"> of </w:t>
      </w:r>
      <w:r w:rsidRPr="00140622">
        <w:rPr>
          <w:sz w:val="24"/>
          <w:szCs w:val="24"/>
        </w:rPr>
        <w:t>blood cultures to</w:t>
      </w:r>
      <w:r w:rsidR="009D755C" w:rsidRPr="00140622">
        <w:rPr>
          <w:sz w:val="24"/>
          <w:szCs w:val="24"/>
        </w:rPr>
        <w:t xml:space="preserve"> be obtained within 12 hours,</w:t>
      </w:r>
      <w:r w:rsidR="005126A4" w:rsidRPr="00140622">
        <w:rPr>
          <w:sz w:val="24"/>
          <w:szCs w:val="24"/>
        </w:rPr>
        <w:t xml:space="preserve"> if not already collected a part of</w:t>
      </w:r>
      <w:r w:rsidR="009D755C" w:rsidRPr="00140622">
        <w:rPr>
          <w:sz w:val="24"/>
          <w:szCs w:val="24"/>
        </w:rPr>
        <w:t xml:space="preserve"> routine care.</w:t>
      </w:r>
      <w:r w:rsidR="00610347" w:rsidRPr="00140622">
        <w:rPr>
          <w:sz w:val="24"/>
          <w:szCs w:val="24"/>
        </w:rPr>
        <w:t xml:space="preserve">  Culture results will be made available for clinical care.</w:t>
      </w:r>
    </w:p>
    <w:p w:rsidR="009D755C" w:rsidRPr="00140622" w:rsidRDefault="009D755C" w:rsidP="00FC1BDA">
      <w:pPr>
        <w:numPr>
          <w:ilvl w:val="0"/>
          <w:numId w:val="10"/>
        </w:numPr>
        <w:spacing w:before="0" w:after="0" w:line="480" w:lineRule="auto"/>
        <w:jc w:val="both"/>
        <w:rPr>
          <w:sz w:val="24"/>
          <w:szCs w:val="24"/>
        </w:rPr>
      </w:pPr>
      <w:r w:rsidRPr="00140622">
        <w:rPr>
          <w:sz w:val="24"/>
          <w:szCs w:val="24"/>
        </w:rPr>
        <w:t>Concomitant medications will be documented.</w:t>
      </w:r>
    </w:p>
    <w:p w:rsidR="009D755C" w:rsidRPr="00140622" w:rsidRDefault="009D755C" w:rsidP="00FC1BDA">
      <w:pPr>
        <w:numPr>
          <w:ilvl w:val="0"/>
          <w:numId w:val="10"/>
        </w:numPr>
        <w:spacing w:before="0" w:after="0" w:line="480" w:lineRule="auto"/>
        <w:jc w:val="both"/>
        <w:rPr>
          <w:sz w:val="24"/>
          <w:szCs w:val="24"/>
        </w:rPr>
      </w:pPr>
      <w:r w:rsidRPr="00140622">
        <w:rPr>
          <w:sz w:val="24"/>
          <w:szCs w:val="24"/>
        </w:rPr>
        <w:t>AEs will be recorded.</w:t>
      </w:r>
    </w:p>
    <w:p w:rsidR="009D755C" w:rsidRPr="00140622" w:rsidRDefault="009D755C" w:rsidP="00FC1BDA">
      <w:pPr>
        <w:spacing w:before="0" w:after="0" w:line="480" w:lineRule="auto"/>
        <w:jc w:val="both"/>
        <w:rPr>
          <w:b/>
          <w:sz w:val="24"/>
          <w:szCs w:val="24"/>
        </w:rPr>
      </w:pPr>
    </w:p>
    <w:p w:rsidR="009D755C" w:rsidRPr="00140622" w:rsidRDefault="006F541F" w:rsidP="00FC1BDA">
      <w:pPr>
        <w:spacing w:before="0" w:after="0" w:line="480" w:lineRule="auto"/>
        <w:jc w:val="both"/>
        <w:rPr>
          <w:b/>
          <w:sz w:val="24"/>
          <w:szCs w:val="24"/>
        </w:rPr>
      </w:pPr>
      <w:r w:rsidRPr="00140622">
        <w:rPr>
          <w:b/>
          <w:sz w:val="24"/>
          <w:szCs w:val="24"/>
        </w:rPr>
        <w:t>WHILE ON PRE</w:t>
      </w:r>
      <w:r w:rsidR="009D755C" w:rsidRPr="00140622">
        <w:rPr>
          <w:b/>
          <w:sz w:val="24"/>
          <w:szCs w:val="24"/>
        </w:rPr>
        <w:t>EMPTIVE THERAPY</w:t>
      </w:r>
    </w:p>
    <w:p w:rsidR="00FD6108" w:rsidRPr="00140622" w:rsidRDefault="00FD6108" w:rsidP="00FC1BDA">
      <w:pPr>
        <w:numPr>
          <w:ilvl w:val="0"/>
          <w:numId w:val="16"/>
        </w:numPr>
        <w:tabs>
          <w:tab w:val="clear" w:pos="1440"/>
        </w:tabs>
        <w:spacing w:before="0" w:after="0" w:line="480" w:lineRule="auto"/>
        <w:ind w:left="360" w:firstLine="0"/>
        <w:jc w:val="both"/>
        <w:rPr>
          <w:sz w:val="24"/>
          <w:szCs w:val="24"/>
        </w:rPr>
      </w:pPr>
      <w:r w:rsidRPr="00140622">
        <w:rPr>
          <w:sz w:val="24"/>
          <w:szCs w:val="24"/>
        </w:rPr>
        <w:t>Serum for BDG will be collected every other day until negative.  Once the test becomes negative, twice weekly surveillance will be resumed.</w:t>
      </w:r>
    </w:p>
    <w:p w:rsidR="009D755C" w:rsidRDefault="009D755C" w:rsidP="00FC1BDA">
      <w:pPr>
        <w:numPr>
          <w:ilvl w:val="0"/>
          <w:numId w:val="16"/>
        </w:numPr>
        <w:tabs>
          <w:tab w:val="clear" w:pos="1440"/>
          <w:tab w:val="num" w:pos="720"/>
        </w:tabs>
        <w:spacing w:before="0" w:after="0" w:line="480" w:lineRule="auto"/>
        <w:ind w:left="720"/>
        <w:jc w:val="both"/>
        <w:rPr>
          <w:sz w:val="24"/>
          <w:szCs w:val="24"/>
        </w:rPr>
      </w:pPr>
      <w:r w:rsidRPr="00140622">
        <w:rPr>
          <w:sz w:val="24"/>
          <w:szCs w:val="24"/>
        </w:rPr>
        <w:t>Complete physical examination including vital signs once weekly.</w:t>
      </w:r>
    </w:p>
    <w:p w:rsidR="00605EF3" w:rsidRPr="00140622" w:rsidRDefault="00605EF3" w:rsidP="00FC1BDA">
      <w:pPr>
        <w:numPr>
          <w:ilvl w:val="0"/>
          <w:numId w:val="16"/>
        </w:numPr>
        <w:tabs>
          <w:tab w:val="clear" w:pos="1440"/>
          <w:tab w:val="num" w:pos="720"/>
        </w:tabs>
        <w:spacing w:before="0" w:after="0" w:line="480" w:lineRule="auto"/>
        <w:ind w:left="720"/>
        <w:jc w:val="both"/>
        <w:rPr>
          <w:sz w:val="24"/>
          <w:szCs w:val="24"/>
        </w:rPr>
      </w:pPr>
      <w:r>
        <w:rPr>
          <w:sz w:val="24"/>
          <w:szCs w:val="24"/>
        </w:rPr>
        <w:t xml:space="preserve">Assessment for breakthrough IFI as defined by </w:t>
      </w:r>
      <w:r w:rsidRPr="00140622">
        <w:rPr>
          <w:sz w:val="24"/>
          <w:szCs w:val="24"/>
        </w:rPr>
        <w:t>EORTC/MSG criteria</w:t>
      </w:r>
      <w:r>
        <w:rPr>
          <w:sz w:val="24"/>
          <w:szCs w:val="24"/>
        </w:rPr>
        <w:t>.</w:t>
      </w:r>
    </w:p>
    <w:p w:rsidR="009D755C" w:rsidRPr="00140622" w:rsidRDefault="008200F1" w:rsidP="00FC1BDA">
      <w:pPr>
        <w:numPr>
          <w:ilvl w:val="0"/>
          <w:numId w:val="16"/>
        </w:numPr>
        <w:tabs>
          <w:tab w:val="clear" w:pos="1440"/>
          <w:tab w:val="num" w:pos="720"/>
        </w:tabs>
        <w:spacing w:before="0" w:after="0" w:line="480" w:lineRule="auto"/>
        <w:ind w:left="720"/>
        <w:jc w:val="both"/>
        <w:rPr>
          <w:sz w:val="24"/>
          <w:szCs w:val="24"/>
        </w:rPr>
      </w:pPr>
      <w:r w:rsidRPr="00140622">
        <w:rPr>
          <w:sz w:val="24"/>
          <w:szCs w:val="24"/>
        </w:rPr>
        <w:t xml:space="preserve">LFTs </w:t>
      </w:r>
      <w:r w:rsidR="009D755C" w:rsidRPr="00140622">
        <w:rPr>
          <w:sz w:val="24"/>
          <w:szCs w:val="24"/>
        </w:rPr>
        <w:t>once weekly.</w:t>
      </w:r>
    </w:p>
    <w:p w:rsidR="00610347" w:rsidRPr="00140622" w:rsidRDefault="00610347" w:rsidP="00FC1BDA">
      <w:pPr>
        <w:numPr>
          <w:ilvl w:val="0"/>
          <w:numId w:val="16"/>
        </w:numPr>
        <w:tabs>
          <w:tab w:val="clear" w:pos="1440"/>
          <w:tab w:val="num" w:pos="360"/>
        </w:tabs>
        <w:spacing w:before="0" w:after="0" w:line="480" w:lineRule="auto"/>
        <w:ind w:hanging="1080"/>
        <w:jc w:val="both"/>
        <w:rPr>
          <w:sz w:val="24"/>
          <w:szCs w:val="24"/>
        </w:rPr>
      </w:pPr>
      <w:r w:rsidRPr="00140622">
        <w:rPr>
          <w:sz w:val="24"/>
          <w:szCs w:val="24"/>
        </w:rPr>
        <w:t>AEs will be recorded and drug tolerability assessed at the time of the physical examination.</w:t>
      </w:r>
    </w:p>
    <w:p w:rsidR="008200F1" w:rsidRPr="00140622" w:rsidRDefault="008200F1" w:rsidP="00FC1BDA">
      <w:pPr>
        <w:numPr>
          <w:ilvl w:val="0"/>
          <w:numId w:val="16"/>
        </w:numPr>
        <w:tabs>
          <w:tab w:val="clear" w:pos="1440"/>
          <w:tab w:val="num" w:pos="720"/>
        </w:tabs>
        <w:spacing w:before="0" w:after="0" w:line="480" w:lineRule="auto"/>
        <w:ind w:left="720"/>
        <w:jc w:val="both"/>
        <w:rPr>
          <w:sz w:val="24"/>
          <w:szCs w:val="24"/>
        </w:rPr>
      </w:pPr>
      <w:r w:rsidRPr="00140622">
        <w:rPr>
          <w:sz w:val="24"/>
          <w:szCs w:val="24"/>
        </w:rPr>
        <w:t xml:space="preserve">PAX Gene tubes </w:t>
      </w:r>
      <w:r w:rsidR="009D755C" w:rsidRPr="00140622">
        <w:rPr>
          <w:sz w:val="24"/>
          <w:szCs w:val="24"/>
        </w:rPr>
        <w:t>will continue to be obtaine</w:t>
      </w:r>
      <w:r w:rsidRPr="00140622">
        <w:rPr>
          <w:sz w:val="24"/>
          <w:szCs w:val="24"/>
        </w:rPr>
        <w:t xml:space="preserve">d </w:t>
      </w:r>
      <w:proofErr w:type="gramStart"/>
      <w:r w:rsidRPr="00140622">
        <w:rPr>
          <w:sz w:val="24"/>
          <w:szCs w:val="24"/>
        </w:rPr>
        <w:t>2 times/week</w:t>
      </w:r>
      <w:proofErr w:type="gramEnd"/>
      <w:r w:rsidR="00605EF3">
        <w:rPr>
          <w:sz w:val="24"/>
          <w:szCs w:val="24"/>
        </w:rPr>
        <w:t>.</w:t>
      </w:r>
    </w:p>
    <w:p w:rsidR="009D755C" w:rsidRPr="00140622" w:rsidRDefault="009D755C" w:rsidP="00FC1BDA">
      <w:pPr>
        <w:numPr>
          <w:ilvl w:val="0"/>
          <w:numId w:val="16"/>
        </w:numPr>
        <w:tabs>
          <w:tab w:val="clear" w:pos="1440"/>
          <w:tab w:val="num" w:pos="720"/>
        </w:tabs>
        <w:spacing w:before="0" w:after="0" w:line="480" w:lineRule="auto"/>
        <w:ind w:left="720"/>
        <w:jc w:val="both"/>
        <w:rPr>
          <w:sz w:val="24"/>
          <w:szCs w:val="24"/>
        </w:rPr>
      </w:pPr>
      <w:r w:rsidRPr="00140622">
        <w:rPr>
          <w:sz w:val="24"/>
          <w:szCs w:val="24"/>
        </w:rPr>
        <w:t>Concomitant medic</w:t>
      </w:r>
      <w:r w:rsidR="006F541F" w:rsidRPr="00140622">
        <w:rPr>
          <w:sz w:val="24"/>
          <w:szCs w:val="24"/>
        </w:rPr>
        <w:t xml:space="preserve">ations will be documented </w:t>
      </w:r>
      <w:r w:rsidR="00444C72" w:rsidRPr="00140622">
        <w:rPr>
          <w:sz w:val="24"/>
          <w:szCs w:val="24"/>
        </w:rPr>
        <w:t>weekly.</w:t>
      </w:r>
    </w:p>
    <w:p w:rsidR="009D755C" w:rsidRPr="00140622" w:rsidRDefault="009D755C" w:rsidP="00FC1BDA">
      <w:pPr>
        <w:spacing w:before="0" w:after="0" w:line="480" w:lineRule="auto"/>
        <w:jc w:val="both"/>
        <w:rPr>
          <w:b/>
          <w:sz w:val="24"/>
          <w:szCs w:val="24"/>
        </w:rPr>
      </w:pPr>
    </w:p>
    <w:p w:rsidR="009D755C" w:rsidRPr="00140622" w:rsidRDefault="009D755C" w:rsidP="00FC1BDA">
      <w:pPr>
        <w:spacing w:before="0" w:after="0" w:line="480" w:lineRule="auto"/>
        <w:jc w:val="both"/>
        <w:rPr>
          <w:sz w:val="24"/>
          <w:szCs w:val="24"/>
        </w:rPr>
      </w:pPr>
      <w:r w:rsidRPr="00140622">
        <w:rPr>
          <w:b/>
          <w:sz w:val="24"/>
          <w:szCs w:val="24"/>
        </w:rPr>
        <w:t xml:space="preserve">END OF </w:t>
      </w:r>
      <w:r w:rsidR="006F541F" w:rsidRPr="00140622">
        <w:rPr>
          <w:b/>
          <w:sz w:val="24"/>
          <w:szCs w:val="24"/>
        </w:rPr>
        <w:t>PREEMTPIVE THERAPY</w:t>
      </w:r>
    </w:p>
    <w:p w:rsidR="00444C72" w:rsidRPr="00140622" w:rsidRDefault="00444C72" w:rsidP="00FC1BDA">
      <w:pPr>
        <w:numPr>
          <w:ilvl w:val="0"/>
          <w:numId w:val="11"/>
        </w:numPr>
        <w:spacing w:before="0" w:after="0" w:line="480" w:lineRule="auto"/>
        <w:jc w:val="both"/>
        <w:rPr>
          <w:sz w:val="24"/>
          <w:szCs w:val="24"/>
        </w:rPr>
      </w:pPr>
      <w:r w:rsidRPr="00140622">
        <w:rPr>
          <w:sz w:val="24"/>
          <w:szCs w:val="24"/>
        </w:rPr>
        <w:t>Clinical response to therapy will be recorded</w:t>
      </w:r>
      <w:r w:rsidR="007E17F2" w:rsidRPr="00140622">
        <w:rPr>
          <w:sz w:val="24"/>
          <w:szCs w:val="24"/>
        </w:rPr>
        <w:t xml:space="preserve"> </w:t>
      </w:r>
      <w:r w:rsidR="00605EF3">
        <w:rPr>
          <w:sz w:val="24"/>
          <w:szCs w:val="24"/>
        </w:rPr>
        <w:t xml:space="preserve">on the CRF </w:t>
      </w:r>
      <w:r w:rsidR="007E17F2" w:rsidRPr="00140622">
        <w:rPr>
          <w:sz w:val="24"/>
          <w:szCs w:val="24"/>
        </w:rPr>
        <w:t>(</w:t>
      </w:r>
      <w:r w:rsidR="00A941FC" w:rsidRPr="00140622">
        <w:rPr>
          <w:b/>
          <w:sz w:val="24"/>
          <w:szCs w:val="24"/>
        </w:rPr>
        <w:t>Table 5</w:t>
      </w:r>
      <w:r w:rsidR="007E17F2" w:rsidRPr="00140622">
        <w:rPr>
          <w:b/>
          <w:sz w:val="24"/>
          <w:szCs w:val="24"/>
        </w:rPr>
        <w:t>)</w:t>
      </w:r>
      <w:r w:rsidRPr="00140622">
        <w:rPr>
          <w:sz w:val="24"/>
          <w:szCs w:val="24"/>
        </w:rPr>
        <w:t>.</w:t>
      </w:r>
    </w:p>
    <w:p w:rsidR="009D755C" w:rsidRPr="00140622" w:rsidRDefault="00610347" w:rsidP="00FC1BDA">
      <w:pPr>
        <w:numPr>
          <w:ilvl w:val="0"/>
          <w:numId w:val="11"/>
        </w:numPr>
        <w:spacing w:before="0" w:after="0" w:line="480" w:lineRule="auto"/>
        <w:jc w:val="both"/>
        <w:rPr>
          <w:sz w:val="24"/>
          <w:szCs w:val="24"/>
        </w:rPr>
      </w:pPr>
      <w:r w:rsidRPr="00140622">
        <w:rPr>
          <w:sz w:val="24"/>
          <w:szCs w:val="24"/>
        </w:rPr>
        <w:t xml:space="preserve">Subjects will </w:t>
      </w:r>
      <w:r w:rsidR="00605EF3">
        <w:rPr>
          <w:sz w:val="24"/>
          <w:szCs w:val="24"/>
        </w:rPr>
        <w:t xml:space="preserve">again </w:t>
      </w:r>
      <w:r w:rsidRPr="00140622">
        <w:rPr>
          <w:sz w:val="24"/>
          <w:szCs w:val="24"/>
        </w:rPr>
        <w:t xml:space="preserve">be assessed for </w:t>
      </w:r>
      <w:r w:rsidR="009D755C" w:rsidRPr="00140622">
        <w:rPr>
          <w:sz w:val="24"/>
          <w:szCs w:val="24"/>
        </w:rPr>
        <w:t>EORTC/MSG criteria for proven or probable IFI</w:t>
      </w:r>
      <w:r w:rsidRPr="00140622">
        <w:rPr>
          <w:sz w:val="24"/>
          <w:szCs w:val="24"/>
        </w:rPr>
        <w:t>.</w:t>
      </w:r>
    </w:p>
    <w:p w:rsidR="006F541F" w:rsidRPr="00140622" w:rsidRDefault="006F541F" w:rsidP="00FC1BDA">
      <w:pPr>
        <w:numPr>
          <w:ilvl w:val="0"/>
          <w:numId w:val="11"/>
        </w:numPr>
        <w:spacing w:before="0" w:after="0" w:line="480" w:lineRule="auto"/>
        <w:jc w:val="both"/>
        <w:rPr>
          <w:sz w:val="24"/>
          <w:szCs w:val="24"/>
        </w:rPr>
      </w:pPr>
      <w:r w:rsidRPr="00140622">
        <w:rPr>
          <w:sz w:val="24"/>
          <w:szCs w:val="24"/>
        </w:rPr>
        <w:t>Oral wash or ETS for semi-quantitative fungal culture with susceptibility testing.</w:t>
      </w:r>
    </w:p>
    <w:p w:rsidR="009D755C" w:rsidRPr="00140622" w:rsidRDefault="009D755C" w:rsidP="00FC1BDA">
      <w:pPr>
        <w:spacing w:before="0" w:after="0" w:line="480" w:lineRule="auto"/>
        <w:jc w:val="both"/>
        <w:rPr>
          <w:b/>
          <w:sz w:val="24"/>
          <w:szCs w:val="24"/>
        </w:rPr>
      </w:pPr>
      <w:bookmarkStart w:id="19" w:name="_Toc57126383"/>
    </w:p>
    <w:p w:rsidR="00444C72" w:rsidRPr="00140622" w:rsidRDefault="00444C72" w:rsidP="00FC1BDA">
      <w:pPr>
        <w:spacing w:before="0" w:after="0" w:line="480" w:lineRule="auto"/>
        <w:jc w:val="both"/>
        <w:rPr>
          <w:b/>
          <w:sz w:val="24"/>
          <w:szCs w:val="24"/>
        </w:rPr>
      </w:pPr>
      <w:r w:rsidRPr="00140622">
        <w:rPr>
          <w:b/>
          <w:sz w:val="24"/>
          <w:szCs w:val="24"/>
        </w:rPr>
        <w:t>EMPIRIC THERAPY</w:t>
      </w:r>
    </w:p>
    <w:p w:rsidR="008200F1" w:rsidRPr="00140622" w:rsidRDefault="008200F1" w:rsidP="00FC1BDA">
      <w:pPr>
        <w:numPr>
          <w:ilvl w:val="0"/>
          <w:numId w:val="10"/>
        </w:numPr>
        <w:spacing w:before="0" w:after="0" w:line="480" w:lineRule="auto"/>
        <w:jc w:val="both"/>
        <w:rPr>
          <w:sz w:val="24"/>
          <w:szCs w:val="24"/>
        </w:rPr>
      </w:pPr>
      <w:r w:rsidRPr="00140622">
        <w:rPr>
          <w:sz w:val="24"/>
          <w:szCs w:val="24"/>
        </w:rPr>
        <w:t>Antifungal agent will be documented.</w:t>
      </w:r>
    </w:p>
    <w:p w:rsidR="00610347" w:rsidRPr="00140622" w:rsidRDefault="00610347" w:rsidP="00FC1BDA">
      <w:pPr>
        <w:numPr>
          <w:ilvl w:val="0"/>
          <w:numId w:val="10"/>
        </w:numPr>
        <w:spacing w:before="0" w:after="0" w:line="480" w:lineRule="auto"/>
        <w:jc w:val="both"/>
        <w:rPr>
          <w:sz w:val="24"/>
          <w:szCs w:val="24"/>
        </w:rPr>
      </w:pPr>
      <w:r w:rsidRPr="00140622">
        <w:rPr>
          <w:sz w:val="24"/>
          <w:szCs w:val="24"/>
        </w:rPr>
        <w:lastRenderedPageBreak/>
        <w:t xml:space="preserve">APACHE II score </w:t>
      </w:r>
      <w:r w:rsidR="007E17F2" w:rsidRPr="00140622">
        <w:rPr>
          <w:sz w:val="24"/>
          <w:szCs w:val="24"/>
        </w:rPr>
        <w:t>re</w:t>
      </w:r>
      <w:r w:rsidRPr="00140622">
        <w:rPr>
          <w:sz w:val="24"/>
          <w:szCs w:val="24"/>
        </w:rPr>
        <w:t>calculated based on laboratory and clinical features in preceding 24 hours</w:t>
      </w:r>
      <w:r w:rsidR="007E17F2" w:rsidRPr="00140622">
        <w:rPr>
          <w:sz w:val="24"/>
          <w:szCs w:val="24"/>
        </w:rPr>
        <w:t>.</w:t>
      </w:r>
    </w:p>
    <w:p w:rsidR="00444C72" w:rsidRPr="00140622" w:rsidRDefault="00444C72" w:rsidP="00FC1BDA">
      <w:pPr>
        <w:numPr>
          <w:ilvl w:val="0"/>
          <w:numId w:val="10"/>
        </w:numPr>
        <w:spacing w:before="0" w:after="0" w:line="480" w:lineRule="auto"/>
        <w:jc w:val="both"/>
        <w:rPr>
          <w:sz w:val="24"/>
          <w:szCs w:val="24"/>
        </w:rPr>
      </w:pPr>
      <w:r w:rsidRPr="00140622">
        <w:rPr>
          <w:sz w:val="24"/>
          <w:szCs w:val="24"/>
        </w:rPr>
        <w:t xml:space="preserve">EORTC/MSG criteria for proven or probable IFI </w:t>
      </w:r>
      <w:r w:rsidR="008200F1" w:rsidRPr="00140622">
        <w:rPr>
          <w:sz w:val="24"/>
          <w:szCs w:val="24"/>
        </w:rPr>
        <w:t>will be determined</w:t>
      </w:r>
      <w:r w:rsidR="00605EF3">
        <w:rPr>
          <w:sz w:val="24"/>
          <w:szCs w:val="24"/>
        </w:rPr>
        <w:t xml:space="preserve"> and documented on the CRF</w:t>
      </w:r>
      <w:r w:rsidR="007E17F2" w:rsidRPr="00140622">
        <w:rPr>
          <w:sz w:val="24"/>
          <w:szCs w:val="24"/>
        </w:rPr>
        <w:t>.</w:t>
      </w:r>
      <w:r w:rsidR="008200F1" w:rsidRPr="00140622">
        <w:rPr>
          <w:sz w:val="24"/>
          <w:szCs w:val="24"/>
        </w:rPr>
        <w:t xml:space="preserve"> </w:t>
      </w:r>
    </w:p>
    <w:p w:rsidR="00444C72" w:rsidRPr="00140622" w:rsidRDefault="00444C72" w:rsidP="00FC1BDA">
      <w:pPr>
        <w:numPr>
          <w:ilvl w:val="0"/>
          <w:numId w:val="10"/>
        </w:numPr>
        <w:spacing w:before="0" w:after="0" w:line="480" w:lineRule="auto"/>
        <w:jc w:val="both"/>
        <w:rPr>
          <w:sz w:val="24"/>
          <w:szCs w:val="24"/>
        </w:rPr>
      </w:pPr>
      <w:r w:rsidRPr="00140622">
        <w:rPr>
          <w:sz w:val="24"/>
          <w:szCs w:val="24"/>
        </w:rPr>
        <w:t>Supporting evidence of IFI o</w:t>
      </w:r>
      <w:r w:rsidR="007E17F2" w:rsidRPr="00140622">
        <w:rPr>
          <w:sz w:val="24"/>
          <w:szCs w:val="24"/>
        </w:rPr>
        <w:t>btained as part of routine care</w:t>
      </w:r>
      <w:r w:rsidRPr="00140622">
        <w:rPr>
          <w:sz w:val="24"/>
          <w:szCs w:val="24"/>
        </w:rPr>
        <w:t xml:space="preserve"> will be documented.</w:t>
      </w:r>
    </w:p>
    <w:p w:rsidR="00444C72" w:rsidRPr="00140622" w:rsidRDefault="00444C72" w:rsidP="00FC1BDA">
      <w:pPr>
        <w:numPr>
          <w:ilvl w:val="0"/>
          <w:numId w:val="10"/>
        </w:numPr>
        <w:spacing w:before="0" w:after="0" w:line="480" w:lineRule="auto"/>
        <w:jc w:val="both"/>
        <w:rPr>
          <w:sz w:val="24"/>
          <w:szCs w:val="24"/>
        </w:rPr>
      </w:pPr>
      <w:r w:rsidRPr="00140622">
        <w:rPr>
          <w:sz w:val="24"/>
          <w:szCs w:val="24"/>
        </w:rPr>
        <w:t>AEs will be recorded</w:t>
      </w:r>
      <w:r w:rsidR="00610347" w:rsidRPr="00140622">
        <w:rPr>
          <w:sz w:val="24"/>
          <w:szCs w:val="24"/>
        </w:rPr>
        <w:t xml:space="preserve"> </w:t>
      </w:r>
      <w:r w:rsidR="008200F1" w:rsidRPr="00140622">
        <w:rPr>
          <w:sz w:val="24"/>
          <w:szCs w:val="24"/>
        </w:rPr>
        <w:t>weekly</w:t>
      </w:r>
      <w:r w:rsidR="007E17F2" w:rsidRPr="00140622">
        <w:rPr>
          <w:sz w:val="24"/>
          <w:szCs w:val="24"/>
        </w:rPr>
        <w:t>.</w:t>
      </w:r>
    </w:p>
    <w:p w:rsidR="009D08F2" w:rsidRPr="00140622" w:rsidRDefault="009D08F2" w:rsidP="00FC1BDA">
      <w:pPr>
        <w:numPr>
          <w:ilvl w:val="0"/>
          <w:numId w:val="10"/>
        </w:numPr>
        <w:spacing w:before="0" w:after="0" w:line="480" w:lineRule="auto"/>
        <w:jc w:val="both"/>
        <w:rPr>
          <w:sz w:val="24"/>
          <w:szCs w:val="24"/>
        </w:rPr>
      </w:pPr>
      <w:r w:rsidRPr="00140622">
        <w:rPr>
          <w:sz w:val="24"/>
          <w:szCs w:val="24"/>
        </w:rPr>
        <w:t>Oral wash or ETS for semi-quantitative fungal culture with susceptibility testing</w:t>
      </w:r>
      <w:r w:rsidR="008200F1" w:rsidRPr="00140622">
        <w:rPr>
          <w:sz w:val="24"/>
          <w:szCs w:val="24"/>
        </w:rPr>
        <w:t xml:space="preserve"> will be collected at the beginning and end of empiric therapy</w:t>
      </w:r>
      <w:r w:rsidRPr="00140622">
        <w:rPr>
          <w:sz w:val="24"/>
          <w:szCs w:val="24"/>
        </w:rPr>
        <w:t>.</w:t>
      </w:r>
    </w:p>
    <w:p w:rsidR="00444C72" w:rsidRPr="00140622" w:rsidRDefault="00444C72" w:rsidP="00FC1BDA">
      <w:pPr>
        <w:spacing w:before="0" w:after="0" w:line="480" w:lineRule="auto"/>
        <w:jc w:val="both"/>
        <w:rPr>
          <w:b/>
          <w:sz w:val="24"/>
          <w:szCs w:val="24"/>
        </w:rPr>
      </w:pPr>
    </w:p>
    <w:bookmarkEnd w:id="19"/>
    <w:p w:rsidR="00444C72" w:rsidRPr="00140622" w:rsidRDefault="00444C72" w:rsidP="00FC1BDA">
      <w:pPr>
        <w:spacing w:before="0" w:after="0" w:line="480" w:lineRule="auto"/>
        <w:jc w:val="both"/>
        <w:rPr>
          <w:sz w:val="24"/>
          <w:szCs w:val="24"/>
        </w:rPr>
      </w:pPr>
      <w:r w:rsidRPr="00140622">
        <w:rPr>
          <w:b/>
          <w:sz w:val="24"/>
          <w:szCs w:val="24"/>
        </w:rPr>
        <w:t>FOLLOW-UP (SICU DISCHARGE)</w:t>
      </w:r>
    </w:p>
    <w:p w:rsidR="00444C72" w:rsidRPr="00140622" w:rsidRDefault="00444C72" w:rsidP="00FC1BDA">
      <w:pPr>
        <w:spacing w:before="0" w:after="0" w:line="480" w:lineRule="auto"/>
        <w:ind w:firstLine="360"/>
        <w:jc w:val="both"/>
        <w:rPr>
          <w:b/>
          <w:sz w:val="24"/>
          <w:szCs w:val="24"/>
        </w:rPr>
      </w:pPr>
      <w:r w:rsidRPr="00140622">
        <w:rPr>
          <w:sz w:val="24"/>
          <w:szCs w:val="24"/>
        </w:rPr>
        <w:t>All study subjects will be followed until SICU discharge or for as long as they are receiving study drug, whichever is longer.</w:t>
      </w:r>
    </w:p>
    <w:p w:rsidR="009D755C" w:rsidRPr="00140622" w:rsidRDefault="009D755C" w:rsidP="00FC1BDA">
      <w:pPr>
        <w:numPr>
          <w:ilvl w:val="0"/>
          <w:numId w:val="24"/>
        </w:numPr>
        <w:spacing w:before="0" w:after="0" w:line="480" w:lineRule="auto"/>
        <w:jc w:val="both"/>
        <w:rPr>
          <w:b/>
          <w:sz w:val="24"/>
          <w:szCs w:val="24"/>
        </w:rPr>
      </w:pPr>
      <w:r w:rsidRPr="00140622">
        <w:rPr>
          <w:sz w:val="24"/>
          <w:szCs w:val="24"/>
        </w:rPr>
        <w:t xml:space="preserve">Assess whether patient </w:t>
      </w:r>
      <w:r w:rsidR="00EC1FDA" w:rsidRPr="00140622">
        <w:rPr>
          <w:sz w:val="24"/>
          <w:szCs w:val="24"/>
        </w:rPr>
        <w:t xml:space="preserve">has evidence </w:t>
      </w:r>
      <w:r w:rsidRPr="00140622">
        <w:rPr>
          <w:sz w:val="24"/>
          <w:szCs w:val="24"/>
        </w:rPr>
        <w:t>IFI or meets EORTC/MSG criteria for a new proven or probable IFI</w:t>
      </w:r>
      <w:r w:rsidR="00F32573" w:rsidRPr="00140622">
        <w:rPr>
          <w:sz w:val="24"/>
          <w:szCs w:val="24"/>
        </w:rPr>
        <w:t xml:space="preserve"> at SICU discharge</w:t>
      </w:r>
      <w:r w:rsidR="001E769E" w:rsidRPr="00140622">
        <w:rPr>
          <w:sz w:val="24"/>
          <w:szCs w:val="24"/>
        </w:rPr>
        <w:t>.</w:t>
      </w:r>
      <w:r w:rsidRPr="00140622">
        <w:rPr>
          <w:sz w:val="24"/>
          <w:szCs w:val="24"/>
        </w:rPr>
        <w:t xml:space="preserve">  </w:t>
      </w:r>
    </w:p>
    <w:p w:rsidR="009D755C" w:rsidRPr="00140622" w:rsidRDefault="00EC1FDA" w:rsidP="00FC1BDA">
      <w:pPr>
        <w:numPr>
          <w:ilvl w:val="0"/>
          <w:numId w:val="17"/>
        </w:numPr>
        <w:tabs>
          <w:tab w:val="clear" w:pos="1440"/>
          <w:tab w:val="num" w:pos="360"/>
        </w:tabs>
        <w:spacing w:before="0" w:after="0" w:line="480" w:lineRule="auto"/>
        <w:ind w:left="360" w:firstLine="0"/>
        <w:jc w:val="both"/>
        <w:rPr>
          <w:sz w:val="24"/>
          <w:szCs w:val="24"/>
        </w:rPr>
      </w:pPr>
      <w:r w:rsidRPr="00140622">
        <w:rPr>
          <w:sz w:val="24"/>
          <w:szCs w:val="24"/>
        </w:rPr>
        <w:t xml:space="preserve">Assess mortality </w:t>
      </w:r>
      <w:r w:rsidR="00444C72" w:rsidRPr="00140622">
        <w:rPr>
          <w:sz w:val="24"/>
          <w:szCs w:val="24"/>
        </w:rPr>
        <w:t>at SICU and hospital discharge</w:t>
      </w:r>
      <w:r w:rsidR="001E769E" w:rsidRPr="00140622">
        <w:rPr>
          <w:sz w:val="24"/>
          <w:szCs w:val="24"/>
        </w:rPr>
        <w:t>.  Cause of d</w:t>
      </w:r>
      <w:r w:rsidR="009D755C" w:rsidRPr="00140622">
        <w:rPr>
          <w:sz w:val="24"/>
          <w:szCs w:val="24"/>
        </w:rPr>
        <w:t>eath and date of death will be documented.</w:t>
      </w:r>
    </w:p>
    <w:p w:rsidR="009D08F2" w:rsidRPr="00140622" w:rsidRDefault="009D08F2" w:rsidP="00FC1BDA">
      <w:pPr>
        <w:numPr>
          <w:ilvl w:val="0"/>
          <w:numId w:val="17"/>
        </w:numPr>
        <w:tabs>
          <w:tab w:val="clear" w:pos="1440"/>
          <w:tab w:val="num" w:pos="360"/>
        </w:tabs>
        <w:spacing w:before="0" w:after="0" w:line="480" w:lineRule="auto"/>
        <w:ind w:left="360" w:firstLine="0"/>
        <w:jc w:val="both"/>
        <w:rPr>
          <w:sz w:val="24"/>
          <w:szCs w:val="24"/>
        </w:rPr>
      </w:pPr>
      <w:r w:rsidRPr="00140622">
        <w:rPr>
          <w:sz w:val="24"/>
          <w:szCs w:val="24"/>
        </w:rPr>
        <w:t>Oral wash or ETS for semi-quantitative fungal culture with susceptibility testing</w:t>
      </w:r>
      <w:r w:rsidR="001E769E" w:rsidRPr="00140622">
        <w:rPr>
          <w:sz w:val="24"/>
          <w:szCs w:val="24"/>
        </w:rPr>
        <w:t xml:space="preserve"> </w:t>
      </w:r>
      <w:r w:rsidR="00EC1FDA" w:rsidRPr="00140622">
        <w:rPr>
          <w:sz w:val="24"/>
          <w:szCs w:val="24"/>
        </w:rPr>
        <w:t xml:space="preserve">will again be obtained </w:t>
      </w:r>
      <w:r w:rsidR="001E769E" w:rsidRPr="00140622">
        <w:rPr>
          <w:sz w:val="24"/>
          <w:szCs w:val="24"/>
        </w:rPr>
        <w:t>at SICU discharge.</w:t>
      </w:r>
    </w:p>
    <w:p w:rsidR="003540EB" w:rsidRPr="00140622" w:rsidRDefault="003540EB" w:rsidP="00FC1BDA">
      <w:pPr>
        <w:spacing w:before="0" w:after="0" w:line="480" w:lineRule="auto"/>
        <w:ind w:left="360"/>
        <w:jc w:val="both"/>
        <w:rPr>
          <w:sz w:val="24"/>
          <w:szCs w:val="24"/>
        </w:rPr>
      </w:pPr>
    </w:p>
    <w:p w:rsidR="003540EB" w:rsidRPr="00140622" w:rsidRDefault="003540EB" w:rsidP="00FC1BDA">
      <w:pPr>
        <w:spacing w:before="0" w:after="0" w:line="480" w:lineRule="auto"/>
        <w:jc w:val="both"/>
        <w:rPr>
          <w:b/>
          <w:sz w:val="24"/>
          <w:szCs w:val="24"/>
        </w:rPr>
      </w:pPr>
      <w:r w:rsidRPr="00140622">
        <w:rPr>
          <w:b/>
          <w:sz w:val="24"/>
          <w:szCs w:val="24"/>
        </w:rPr>
        <w:t>DIAGNOSTIC TESTS</w:t>
      </w:r>
    </w:p>
    <w:p w:rsidR="003540EB" w:rsidRDefault="003540EB" w:rsidP="00FC1BDA">
      <w:pPr>
        <w:spacing w:before="0" w:after="0" w:line="480" w:lineRule="auto"/>
        <w:ind w:firstLine="720"/>
        <w:jc w:val="both"/>
        <w:outlineLvl w:val="0"/>
        <w:rPr>
          <w:sz w:val="24"/>
          <w:szCs w:val="24"/>
        </w:rPr>
      </w:pPr>
      <w:r w:rsidRPr="00140622">
        <w:rPr>
          <w:sz w:val="24"/>
          <w:szCs w:val="24"/>
        </w:rPr>
        <w:t xml:space="preserve">Serum </w:t>
      </w:r>
      <w:r w:rsidR="006712ED" w:rsidRPr="00140622">
        <w:rPr>
          <w:sz w:val="24"/>
          <w:szCs w:val="24"/>
        </w:rPr>
        <w:t xml:space="preserve">for </w:t>
      </w:r>
      <w:r w:rsidRPr="00140622">
        <w:rPr>
          <w:sz w:val="24"/>
          <w:szCs w:val="24"/>
        </w:rPr>
        <w:t>BDG</w:t>
      </w:r>
      <w:r w:rsidR="006712ED" w:rsidRPr="00140622">
        <w:rPr>
          <w:sz w:val="24"/>
          <w:szCs w:val="24"/>
        </w:rPr>
        <w:t xml:space="preserve"> and a PAX Gene tube </w:t>
      </w:r>
      <w:r w:rsidRPr="00140622">
        <w:rPr>
          <w:sz w:val="24"/>
          <w:szCs w:val="24"/>
        </w:rPr>
        <w:t xml:space="preserve">will be obtained </w:t>
      </w:r>
      <w:r w:rsidR="006712ED" w:rsidRPr="00140622">
        <w:rPr>
          <w:sz w:val="24"/>
          <w:szCs w:val="24"/>
        </w:rPr>
        <w:t xml:space="preserve">along </w:t>
      </w:r>
      <w:r w:rsidRPr="00140622">
        <w:rPr>
          <w:sz w:val="24"/>
          <w:szCs w:val="24"/>
        </w:rPr>
        <w:t xml:space="preserve">with the routine morning </w:t>
      </w:r>
      <w:r w:rsidR="006712ED" w:rsidRPr="00140622">
        <w:rPr>
          <w:sz w:val="24"/>
          <w:szCs w:val="24"/>
        </w:rPr>
        <w:t xml:space="preserve">SICU </w:t>
      </w:r>
      <w:r w:rsidRPr="00140622">
        <w:rPr>
          <w:sz w:val="24"/>
          <w:szCs w:val="24"/>
        </w:rPr>
        <w:t>blood</w:t>
      </w:r>
      <w:r w:rsidR="006712ED" w:rsidRPr="00140622">
        <w:rPr>
          <w:sz w:val="24"/>
          <w:szCs w:val="24"/>
        </w:rPr>
        <w:t xml:space="preserve"> </w:t>
      </w:r>
      <w:r w:rsidRPr="00140622">
        <w:rPr>
          <w:sz w:val="24"/>
          <w:szCs w:val="24"/>
        </w:rPr>
        <w:t xml:space="preserve">work twice weekly </w:t>
      </w:r>
      <w:r w:rsidR="00610347" w:rsidRPr="00140622">
        <w:rPr>
          <w:sz w:val="24"/>
          <w:szCs w:val="24"/>
        </w:rPr>
        <w:t>on Monday and Thursday.  Samples</w:t>
      </w:r>
      <w:r w:rsidRPr="00140622">
        <w:rPr>
          <w:sz w:val="24"/>
          <w:szCs w:val="24"/>
        </w:rPr>
        <w:t xml:space="preserve"> will be sent to the Duke Cli</w:t>
      </w:r>
      <w:r w:rsidR="006712ED" w:rsidRPr="00140622">
        <w:rPr>
          <w:sz w:val="24"/>
          <w:szCs w:val="24"/>
        </w:rPr>
        <w:t xml:space="preserve">nical Microbiology Laboratory.  Serum for BDG will be </w:t>
      </w:r>
      <w:r w:rsidRPr="00140622">
        <w:rPr>
          <w:sz w:val="24"/>
          <w:szCs w:val="24"/>
        </w:rPr>
        <w:t xml:space="preserve">processed by the study technologist within 6 </w:t>
      </w:r>
      <w:r w:rsidRPr="00140622">
        <w:rPr>
          <w:sz w:val="24"/>
          <w:szCs w:val="24"/>
        </w:rPr>
        <w:lastRenderedPageBreak/>
        <w:t>hours of collection</w:t>
      </w:r>
      <w:r w:rsidR="006712ED" w:rsidRPr="00140622">
        <w:rPr>
          <w:sz w:val="24"/>
          <w:szCs w:val="24"/>
        </w:rPr>
        <w:t>.</w:t>
      </w:r>
      <w:r w:rsidRPr="00140622">
        <w:rPr>
          <w:sz w:val="24"/>
          <w:szCs w:val="24"/>
        </w:rPr>
        <w:t xml:space="preserve">  </w:t>
      </w:r>
      <w:r w:rsidR="006712ED" w:rsidRPr="00140622">
        <w:rPr>
          <w:sz w:val="24"/>
          <w:szCs w:val="24"/>
        </w:rPr>
        <w:t>BDG will be performed by the study technologist</w:t>
      </w:r>
      <w:r w:rsidR="00610347" w:rsidRPr="00140622">
        <w:rPr>
          <w:sz w:val="24"/>
          <w:szCs w:val="24"/>
        </w:rPr>
        <w:t xml:space="preserve"> </w:t>
      </w:r>
      <w:r w:rsidRPr="00140622">
        <w:rPr>
          <w:sz w:val="24"/>
          <w:szCs w:val="24"/>
        </w:rPr>
        <w:t xml:space="preserve">and </w:t>
      </w:r>
      <w:r w:rsidR="00610347" w:rsidRPr="00140622">
        <w:rPr>
          <w:sz w:val="24"/>
          <w:szCs w:val="24"/>
        </w:rPr>
        <w:t xml:space="preserve">the results reported immediately </w:t>
      </w:r>
      <w:r w:rsidR="006712ED" w:rsidRPr="00140622">
        <w:rPr>
          <w:sz w:val="24"/>
          <w:szCs w:val="24"/>
        </w:rPr>
        <w:t xml:space="preserve">to the SICU </w:t>
      </w:r>
      <w:r w:rsidR="00610347" w:rsidRPr="00140622">
        <w:rPr>
          <w:sz w:val="24"/>
          <w:szCs w:val="24"/>
        </w:rPr>
        <w:t>for patients in the active surveillance arm.  Serum from p</w:t>
      </w:r>
      <w:r w:rsidRPr="00140622">
        <w:rPr>
          <w:sz w:val="24"/>
          <w:szCs w:val="24"/>
        </w:rPr>
        <w:t xml:space="preserve">atients in </w:t>
      </w:r>
      <w:r w:rsidR="00610347" w:rsidRPr="00140622">
        <w:rPr>
          <w:sz w:val="24"/>
          <w:szCs w:val="24"/>
        </w:rPr>
        <w:t xml:space="preserve">the standard care arm will be </w:t>
      </w:r>
      <w:r w:rsidRPr="00140622">
        <w:rPr>
          <w:sz w:val="24"/>
          <w:szCs w:val="24"/>
        </w:rPr>
        <w:t>stored at -70</w:t>
      </w:r>
      <w:r w:rsidRPr="00140622">
        <w:rPr>
          <w:sz w:val="24"/>
          <w:szCs w:val="24"/>
        </w:rPr>
        <w:sym w:font="Symbol" w:char="F0B0"/>
      </w:r>
      <w:r w:rsidRPr="00140622">
        <w:rPr>
          <w:sz w:val="24"/>
          <w:szCs w:val="24"/>
        </w:rPr>
        <w:t>C</w:t>
      </w:r>
      <w:r w:rsidR="00605EF3">
        <w:rPr>
          <w:sz w:val="24"/>
          <w:szCs w:val="24"/>
        </w:rPr>
        <w:t xml:space="preserve"> and</w:t>
      </w:r>
      <w:r w:rsidR="006712ED" w:rsidRPr="00140622">
        <w:rPr>
          <w:sz w:val="24"/>
          <w:szCs w:val="24"/>
        </w:rPr>
        <w:t xml:space="preserve"> tested at the completion of the study</w:t>
      </w:r>
      <w:r w:rsidRPr="00140622">
        <w:rPr>
          <w:sz w:val="24"/>
          <w:szCs w:val="24"/>
        </w:rPr>
        <w:t xml:space="preserve">.  The BDG assay will be performed as per manufacturer’s instructions, using a positive cutoff of ≥ 60 </w:t>
      </w:r>
      <w:proofErr w:type="spellStart"/>
      <w:r w:rsidRPr="00140622">
        <w:rPr>
          <w:sz w:val="24"/>
          <w:szCs w:val="24"/>
        </w:rPr>
        <w:t>pg</w:t>
      </w:r>
      <w:proofErr w:type="spellEnd"/>
      <w:r w:rsidRPr="00140622">
        <w:rPr>
          <w:sz w:val="24"/>
          <w:szCs w:val="24"/>
        </w:rPr>
        <w:t>/</w:t>
      </w:r>
      <w:proofErr w:type="spellStart"/>
      <w:r w:rsidRPr="00140622">
        <w:rPr>
          <w:sz w:val="24"/>
          <w:szCs w:val="24"/>
        </w:rPr>
        <w:t>mL.</w:t>
      </w:r>
      <w:proofErr w:type="spellEnd"/>
      <w:r w:rsidRPr="00140622">
        <w:rPr>
          <w:sz w:val="24"/>
          <w:szCs w:val="24"/>
        </w:rPr>
        <w:t xml:space="preserve">  </w:t>
      </w:r>
      <w:r w:rsidR="00610347" w:rsidRPr="00140622">
        <w:rPr>
          <w:sz w:val="24"/>
          <w:szCs w:val="24"/>
        </w:rPr>
        <w:t>Other study related l</w:t>
      </w:r>
      <w:r w:rsidRPr="00140622">
        <w:rPr>
          <w:sz w:val="24"/>
          <w:szCs w:val="24"/>
        </w:rPr>
        <w:t xml:space="preserve">aboratory tests </w:t>
      </w:r>
      <w:r w:rsidR="00610347" w:rsidRPr="00140622">
        <w:rPr>
          <w:sz w:val="24"/>
          <w:szCs w:val="24"/>
        </w:rPr>
        <w:t xml:space="preserve">(i.e., LFTs) will be performed by the </w:t>
      </w:r>
      <w:r w:rsidRPr="00140622">
        <w:rPr>
          <w:sz w:val="24"/>
          <w:szCs w:val="24"/>
        </w:rPr>
        <w:t xml:space="preserve">Duke Clinical Laboratories.  </w:t>
      </w:r>
      <w:r w:rsidR="00610347" w:rsidRPr="00140622">
        <w:rPr>
          <w:sz w:val="24"/>
          <w:szCs w:val="24"/>
        </w:rPr>
        <w:t>Blood cultures, s</w:t>
      </w:r>
      <w:r w:rsidR="00034771" w:rsidRPr="00140622">
        <w:rPr>
          <w:sz w:val="24"/>
          <w:szCs w:val="24"/>
        </w:rPr>
        <w:t>urveillance fungal cultures</w:t>
      </w:r>
      <w:r w:rsidR="00610347" w:rsidRPr="00140622">
        <w:rPr>
          <w:sz w:val="24"/>
          <w:szCs w:val="24"/>
        </w:rPr>
        <w:t>,</w:t>
      </w:r>
      <w:r w:rsidR="00034771" w:rsidRPr="00140622">
        <w:rPr>
          <w:sz w:val="24"/>
          <w:szCs w:val="24"/>
        </w:rPr>
        <w:t xml:space="preserve"> and susceptibility testing will be perform</w:t>
      </w:r>
      <w:r w:rsidR="00610347" w:rsidRPr="00140622">
        <w:rPr>
          <w:sz w:val="24"/>
          <w:szCs w:val="24"/>
        </w:rPr>
        <w:t>ed by the Duke Clinical Microbiology</w:t>
      </w:r>
      <w:r w:rsidR="00034771" w:rsidRPr="00140622">
        <w:rPr>
          <w:sz w:val="24"/>
          <w:szCs w:val="24"/>
        </w:rPr>
        <w:t xml:space="preserve"> Laboratory</w:t>
      </w:r>
      <w:r w:rsidR="006712ED" w:rsidRPr="00140622">
        <w:rPr>
          <w:sz w:val="24"/>
          <w:szCs w:val="24"/>
        </w:rPr>
        <w:t xml:space="preserve"> as per standard operating procedure</w:t>
      </w:r>
      <w:r w:rsidR="00034771" w:rsidRPr="00140622">
        <w:rPr>
          <w:sz w:val="24"/>
          <w:szCs w:val="24"/>
        </w:rPr>
        <w:t>.</w:t>
      </w:r>
      <w:r w:rsidR="006712ED" w:rsidRPr="00140622">
        <w:rPr>
          <w:sz w:val="24"/>
          <w:szCs w:val="24"/>
        </w:rPr>
        <w:t xml:space="preserve">  </w:t>
      </w:r>
      <w:r w:rsidR="00605EF3">
        <w:rPr>
          <w:sz w:val="24"/>
          <w:szCs w:val="24"/>
        </w:rPr>
        <w:t xml:space="preserve">All but the surveillance fungal culture will be reported in the medical record for clinical use.  </w:t>
      </w:r>
      <w:r w:rsidR="006712ED" w:rsidRPr="00140622">
        <w:rPr>
          <w:sz w:val="24"/>
          <w:szCs w:val="24"/>
        </w:rPr>
        <w:t>The PAX Gene collection system can remain at room temperature for up to 72hrs, samples will be processed by Dr. Aimee Zaas and all RNA analyses will be performed retrospectively after study completion.</w:t>
      </w:r>
    </w:p>
    <w:p w:rsidR="00605EF3" w:rsidRDefault="00605EF3" w:rsidP="00FC1BDA">
      <w:pPr>
        <w:spacing w:before="0" w:after="0" w:line="480" w:lineRule="auto"/>
        <w:jc w:val="both"/>
        <w:outlineLvl w:val="0"/>
        <w:rPr>
          <w:sz w:val="24"/>
          <w:szCs w:val="24"/>
        </w:rPr>
      </w:pPr>
    </w:p>
    <w:p w:rsidR="00A96710" w:rsidRDefault="00605EF3" w:rsidP="00FC1BDA">
      <w:pPr>
        <w:spacing w:before="0" w:after="0" w:line="480" w:lineRule="auto"/>
        <w:jc w:val="both"/>
        <w:outlineLvl w:val="0"/>
        <w:rPr>
          <w:b/>
          <w:sz w:val="24"/>
          <w:szCs w:val="24"/>
        </w:rPr>
      </w:pPr>
      <w:r w:rsidRPr="00A96710">
        <w:rPr>
          <w:b/>
          <w:sz w:val="24"/>
          <w:szCs w:val="24"/>
        </w:rPr>
        <w:t>RNA ANALYSIS METHODS</w:t>
      </w:r>
      <w:r w:rsidR="00F1400E" w:rsidRPr="00A96710">
        <w:rPr>
          <w:b/>
          <w:sz w:val="24"/>
          <w:szCs w:val="24"/>
        </w:rPr>
        <w:t>:</w:t>
      </w:r>
      <w:r w:rsidR="00F1400E">
        <w:rPr>
          <w:b/>
          <w:sz w:val="24"/>
          <w:szCs w:val="24"/>
        </w:rPr>
        <w:t xml:space="preserve">  </w:t>
      </w:r>
    </w:p>
    <w:p w:rsidR="00605EF3" w:rsidRPr="00605EF3" w:rsidRDefault="00F1400E" w:rsidP="00FC1BDA">
      <w:pPr>
        <w:spacing w:before="0" w:after="0" w:line="480" w:lineRule="auto"/>
        <w:ind w:firstLine="720"/>
        <w:jc w:val="both"/>
        <w:outlineLvl w:val="0"/>
        <w:rPr>
          <w:b/>
          <w:sz w:val="24"/>
          <w:szCs w:val="24"/>
        </w:rPr>
      </w:pPr>
      <w:r w:rsidRPr="00495CF9">
        <w:rPr>
          <w:sz w:val="24"/>
          <w:szCs w:val="24"/>
        </w:rPr>
        <w:t xml:space="preserve">For initial mining of gene expression data, subjects with known positive blood cultures (cases) and those with known negative blood cultures and negative BDG testing (controls) will be selected for initial gene expression studies. </w:t>
      </w:r>
      <w:r w:rsidR="00A96710">
        <w:rPr>
          <w:sz w:val="24"/>
          <w:szCs w:val="24"/>
        </w:rPr>
        <w:t xml:space="preserve"> </w:t>
      </w:r>
      <w:r w:rsidRPr="00495CF9">
        <w:rPr>
          <w:sz w:val="24"/>
          <w:szCs w:val="24"/>
        </w:rPr>
        <w:t xml:space="preserve">RNA will be extracted from </w:t>
      </w:r>
      <w:proofErr w:type="spellStart"/>
      <w:r w:rsidRPr="00495CF9">
        <w:rPr>
          <w:sz w:val="24"/>
          <w:szCs w:val="24"/>
        </w:rPr>
        <w:t>PAXgene</w:t>
      </w:r>
      <w:proofErr w:type="spellEnd"/>
      <w:r w:rsidRPr="00495CF9">
        <w:rPr>
          <w:sz w:val="24"/>
          <w:szCs w:val="24"/>
        </w:rPr>
        <w:t xml:space="preserve"> tubes using standard methodology (</w:t>
      </w:r>
      <w:proofErr w:type="spellStart"/>
      <w:r w:rsidRPr="00495CF9">
        <w:rPr>
          <w:sz w:val="24"/>
          <w:szCs w:val="24"/>
        </w:rPr>
        <w:t>RNeasy</w:t>
      </w:r>
      <w:proofErr w:type="spellEnd"/>
      <w:r w:rsidRPr="00495CF9">
        <w:rPr>
          <w:sz w:val="24"/>
          <w:szCs w:val="24"/>
        </w:rPr>
        <w:t xml:space="preserve">, </w:t>
      </w:r>
      <w:proofErr w:type="spellStart"/>
      <w:r w:rsidRPr="00495CF9">
        <w:rPr>
          <w:sz w:val="24"/>
          <w:szCs w:val="24"/>
        </w:rPr>
        <w:t>Qiagen</w:t>
      </w:r>
      <w:proofErr w:type="spellEnd"/>
      <w:r w:rsidRPr="00495CF9">
        <w:rPr>
          <w:sz w:val="24"/>
          <w:szCs w:val="24"/>
        </w:rPr>
        <w:t>) and subject to globin reduction (</w:t>
      </w:r>
      <w:proofErr w:type="spellStart"/>
      <w:r w:rsidRPr="00495CF9">
        <w:rPr>
          <w:sz w:val="24"/>
          <w:szCs w:val="24"/>
        </w:rPr>
        <w:t>Ambion</w:t>
      </w:r>
      <w:proofErr w:type="spellEnd"/>
      <w:r w:rsidRPr="00495CF9">
        <w:rPr>
          <w:sz w:val="24"/>
          <w:szCs w:val="24"/>
        </w:rPr>
        <w:t>) by standard methodology.  The Duke University Microarray Core will perform quality assurance and hybridization to Operon Human 4.0 Microarrays per standard methodology (</w:t>
      </w:r>
      <w:hyperlink r:id="rId9" w:history="1">
        <w:r w:rsidRPr="00495CF9">
          <w:rPr>
            <w:rStyle w:val="Hyperlink"/>
            <w:sz w:val="24"/>
            <w:szCs w:val="24"/>
          </w:rPr>
          <w:t>www.microarray.duke.edu</w:t>
        </w:r>
      </w:hyperlink>
      <w:r w:rsidRPr="00495CF9">
        <w:rPr>
          <w:sz w:val="24"/>
          <w:szCs w:val="24"/>
        </w:rPr>
        <w:t xml:space="preserve">).  We will then use the decision tree approach to find gene expression patterns that are correlated with </w:t>
      </w:r>
      <w:proofErr w:type="spellStart"/>
      <w:r w:rsidR="00842D00">
        <w:rPr>
          <w:sz w:val="24"/>
          <w:szCs w:val="24"/>
        </w:rPr>
        <w:t>candidemia</w:t>
      </w:r>
      <w:proofErr w:type="spellEnd"/>
      <w:r w:rsidRPr="00495CF9">
        <w:rPr>
          <w:sz w:val="24"/>
          <w:szCs w:val="24"/>
        </w:rPr>
        <w:t xml:space="preserve"> </w:t>
      </w:r>
      <w:r w:rsidR="00842D00">
        <w:rPr>
          <w:sz w:val="24"/>
          <w:szCs w:val="24"/>
        </w:rPr>
        <w:t xml:space="preserve">and absence of </w:t>
      </w:r>
      <w:proofErr w:type="spellStart"/>
      <w:r w:rsidR="00842D00">
        <w:rPr>
          <w:sz w:val="24"/>
          <w:szCs w:val="24"/>
        </w:rPr>
        <w:t>candidemia</w:t>
      </w:r>
      <w:proofErr w:type="spellEnd"/>
      <w:r w:rsidR="00842D00">
        <w:rPr>
          <w:sz w:val="24"/>
          <w:szCs w:val="24"/>
        </w:rPr>
        <w:t xml:space="preserve"> </w:t>
      </w:r>
      <w:r w:rsidRPr="00495CF9">
        <w:rPr>
          <w:sz w:val="24"/>
          <w:szCs w:val="24"/>
        </w:rPr>
        <w:t>to determine the predictive capability of those gene pat</w:t>
      </w:r>
      <w:r w:rsidR="00F1693E">
        <w:rPr>
          <w:sz w:val="24"/>
          <w:szCs w:val="24"/>
        </w:rPr>
        <w:t>terns as a diagnostic test</w:t>
      </w:r>
      <w:r w:rsidRPr="00495CF9">
        <w:rPr>
          <w:sz w:val="24"/>
          <w:szCs w:val="24"/>
        </w:rPr>
        <w:t xml:space="preserve">. </w:t>
      </w:r>
      <w:r w:rsidR="00A96710">
        <w:rPr>
          <w:sz w:val="24"/>
          <w:szCs w:val="24"/>
        </w:rPr>
        <w:t xml:space="preserve"> </w:t>
      </w:r>
    </w:p>
    <w:p w:rsidR="00FC67D5" w:rsidRPr="00140622" w:rsidRDefault="00FC67D5" w:rsidP="00FC1BDA">
      <w:pPr>
        <w:spacing w:before="0" w:after="0" w:line="480" w:lineRule="auto"/>
        <w:jc w:val="both"/>
        <w:rPr>
          <w:b/>
          <w:sz w:val="24"/>
          <w:szCs w:val="24"/>
        </w:rPr>
      </w:pPr>
    </w:p>
    <w:p w:rsidR="001E769E" w:rsidRPr="00140622" w:rsidRDefault="00A40950" w:rsidP="00FC1BDA">
      <w:pPr>
        <w:spacing w:before="0" w:after="0" w:line="480" w:lineRule="auto"/>
        <w:jc w:val="both"/>
        <w:rPr>
          <w:b/>
          <w:sz w:val="24"/>
          <w:szCs w:val="24"/>
        </w:rPr>
      </w:pPr>
      <w:r>
        <w:rPr>
          <w:b/>
          <w:sz w:val="24"/>
          <w:szCs w:val="24"/>
        </w:rPr>
        <w:t>DESCRIPTI</w:t>
      </w:r>
      <w:r w:rsidR="0041333A" w:rsidRPr="00140622">
        <w:rPr>
          <w:b/>
          <w:sz w:val="24"/>
          <w:szCs w:val="24"/>
        </w:rPr>
        <w:t xml:space="preserve">ON OF STUDY </w:t>
      </w:r>
      <w:r w:rsidR="00FC67D5" w:rsidRPr="00140622">
        <w:rPr>
          <w:b/>
          <w:sz w:val="24"/>
          <w:szCs w:val="24"/>
        </w:rPr>
        <w:t>END POINTS</w:t>
      </w:r>
    </w:p>
    <w:p w:rsidR="001E769E" w:rsidRPr="00140622" w:rsidRDefault="001E769E" w:rsidP="00FC1BDA">
      <w:pPr>
        <w:spacing w:before="0" w:after="0" w:line="480" w:lineRule="auto"/>
        <w:jc w:val="both"/>
        <w:rPr>
          <w:b/>
          <w:sz w:val="24"/>
          <w:szCs w:val="24"/>
        </w:rPr>
      </w:pPr>
      <w:r w:rsidRPr="00140622">
        <w:rPr>
          <w:b/>
          <w:sz w:val="24"/>
          <w:szCs w:val="24"/>
        </w:rPr>
        <w:lastRenderedPageBreak/>
        <w:t>Primary Endpoints</w:t>
      </w:r>
    </w:p>
    <w:p w:rsidR="001E769E" w:rsidRPr="00140622" w:rsidRDefault="00E100FA" w:rsidP="00FC1BDA">
      <w:pPr>
        <w:numPr>
          <w:ilvl w:val="0"/>
          <w:numId w:val="25"/>
        </w:numPr>
        <w:spacing w:before="0" w:after="0" w:line="480" w:lineRule="auto"/>
        <w:jc w:val="both"/>
        <w:rPr>
          <w:b/>
          <w:sz w:val="24"/>
          <w:szCs w:val="24"/>
        </w:rPr>
      </w:pPr>
      <w:r w:rsidRPr="00140622">
        <w:rPr>
          <w:bCs/>
          <w:sz w:val="24"/>
          <w:szCs w:val="24"/>
        </w:rPr>
        <w:t>Feasibility of</w:t>
      </w:r>
      <w:r w:rsidR="00553827" w:rsidRPr="00140622">
        <w:rPr>
          <w:bCs/>
          <w:sz w:val="24"/>
          <w:szCs w:val="24"/>
        </w:rPr>
        <w:t xml:space="preserve"> </w:t>
      </w:r>
      <w:r w:rsidR="009D08F2" w:rsidRPr="00140622">
        <w:rPr>
          <w:bCs/>
          <w:sz w:val="24"/>
          <w:szCs w:val="24"/>
        </w:rPr>
        <w:t xml:space="preserve">preemptive </w:t>
      </w:r>
      <w:r w:rsidR="00553827" w:rsidRPr="00140622">
        <w:rPr>
          <w:bCs/>
          <w:sz w:val="24"/>
          <w:szCs w:val="24"/>
        </w:rPr>
        <w:t>monitoring</w:t>
      </w:r>
      <w:r w:rsidR="009F0DFD" w:rsidRPr="00140622">
        <w:rPr>
          <w:bCs/>
          <w:sz w:val="24"/>
          <w:szCs w:val="24"/>
        </w:rPr>
        <w:t xml:space="preserve"> strategy</w:t>
      </w:r>
      <w:r w:rsidR="001E769E" w:rsidRPr="00140622">
        <w:rPr>
          <w:bCs/>
          <w:sz w:val="24"/>
          <w:szCs w:val="24"/>
        </w:rPr>
        <w:t>.</w:t>
      </w:r>
    </w:p>
    <w:p w:rsidR="001E769E" w:rsidRPr="00140622" w:rsidRDefault="009D08F2" w:rsidP="00FC1BDA">
      <w:pPr>
        <w:numPr>
          <w:ilvl w:val="0"/>
          <w:numId w:val="25"/>
        </w:numPr>
        <w:spacing w:before="0" w:after="0" w:line="480" w:lineRule="auto"/>
        <w:jc w:val="both"/>
        <w:rPr>
          <w:b/>
          <w:sz w:val="24"/>
          <w:szCs w:val="24"/>
        </w:rPr>
      </w:pPr>
      <w:proofErr w:type="gramStart"/>
      <w:r w:rsidRPr="00140622">
        <w:rPr>
          <w:bCs/>
          <w:sz w:val="24"/>
          <w:szCs w:val="24"/>
        </w:rPr>
        <w:t>β-D-</w:t>
      </w:r>
      <w:proofErr w:type="spellStart"/>
      <w:r w:rsidRPr="00140622">
        <w:rPr>
          <w:bCs/>
          <w:sz w:val="24"/>
          <w:szCs w:val="24"/>
        </w:rPr>
        <w:t>glucan</w:t>
      </w:r>
      <w:proofErr w:type="spellEnd"/>
      <w:proofErr w:type="gramEnd"/>
      <w:r w:rsidRPr="00140622">
        <w:rPr>
          <w:bCs/>
          <w:sz w:val="24"/>
          <w:szCs w:val="24"/>
        </w:rPr>
        <w:t xml:space="preserve"> test performance in </w:t>
      </w:r>
      <w:r w:rsidR="001E769E" w:rsidRPr="00140622">
        <w:rPr>
          <w:bCs/>
          <w:sz w:val="24"/>
          <w:szCs w:val="24"/>
        </w:rPr>
        <w:t>the stand care (empiric therapy) group.</w:t>
      </w:r>
    </w:p>
    <w:p w:rsidR="009D08F2" w:rsidRPr="00140622" w:rsidRDefault="001E769E" w:rsidP="00FC1BDA">
      <w:pPr>
        <w:numPr>
          <w:ilvl w:val="0"/>
          <w:numId w:val="25"/>
        </w:numPr>
        <w:spacing w:before="0" w:after="0" w:line="480" w:lineRule="auto"/>
        <w:jc w:val="both"/>
        <w:rPr>
          <w:b/>
          <w:sz w:val="24"/>
          <w:szCs w:val="24"/>
        </w:rPr>
      </w:pPr>
      <w:r w:rsidRPr="00140622">
        <w:rPr>
          <w:bCs/>
          <w:sz w:val="24"/>
          <w:szCs w:val="24"/>
        </w:rPr>
        <w:t>S</w:t>
      </w:r>
      <w:r w:rsidR="009D08F2" w:rsidRPr="00140622">
        <w:rPr>
          <w:bCs/>
          <w:sz w:val="24"/>
          <w:szCs w:val="24"/>
        </w:rPr>
        <w:t xml:space="preserve">afety </w:t>
      </w:r>
      <w:r w:rsidRPr="00140622">
        <w:rPr>
          <w:bCs/>
          <w:sz w:val="24"/>
          <w:szCs w:val="24"/>
        </w:rPr>
        <w:t xml:space="preserve">and tolerability of preemptive </w:t>
      </w:r>
      <w:proofErr w:type="spellStart"/>
      <w:r w:rsidRPr="00140622">
        <w:rPr>
          <w:bCs/>
          <w:sz w:val="24"/>
          <w:szCs w:val="24"/>
        </w:rPr>
        <w:t>a</w:t>
      </w:r>
      <w:r w:rsidR="009D08F2" w:rsidRPr="00140622">
        <w:rPr>
          <w:bCs/>
          <w:sz w:val="24"/>
          <w:szCs w:val="24"/>
        </w:rPr>
        <w:t>nidulafungin</w:t>
      </w:r>
      <w:proofErr w:type="spellEnd"/>
      <w:r w:rsidRPr="00140622">
        <w:rPr>
          <w:bCs/>
          <w:sz w:val="24"/>
          <w:szCs w:val="24"/>
        </w:rPr>
        <w:t>.</w:t>
      </w:r>
    </w:p>
    <w:p w:rsidR="001E769E" w:rsidRPr="00140622" w:rsidRDefault="009D08F2" w:rsidP="00FC1BDA">
      <w:pPr>
        <w:spacing w:before="0" w:after="0" w:line="480" w:lineRule="auto"/>
        <w:jc w:val="both"/>
        <w:rPr>
          <w:sz w:val="24"/>
          <w:szCs w:val="24"/>
        </w:rPr>
      </w:pPr>
      <w:r w:rsidRPr="00140622">
        <w:rPr>
          <w:b/>
          <w:sz w:val="24"/>
          <w:szCs w:val="24"/>
        </w:rPr>
        <w:t xml:space="preserve">Secondary </w:t>
      </w:r>
      <w:r w:rsidR="001E769E" w:rsidRPr="00140622">
        <w:rPr>
          <w:b/>
          <w:sz w:val="24"/>
          <w:szCs w:val="24"/>
        </w:rPr>
        <w:t>Endpoints</w:t>
      </w:r>
    </w:p>
    <w:p w:rsidR="001E769E" w:rsidRPr="00140622" w:rsidRDefault="001E769E" w:rsidP="00FC1BDA">
      <w:pPr>
        <w:numPr>
          <w:ilvl w:val="0"/>
          <w:numId w:val="26"/>
        </w:numPr>
        <w:spacing w:before="0" w:after="0" w:line="480" w:lineRule="auto"/>
        <w:jc w:val="both"/>
        <w:rPr>
          <w:sz w:val="24"/>
          <w:szCs w:val="24"/>
        </w:rPr>
      </w:pPr>
      <w:r w:rsidRPr="00140622">
        <w:rPr>
          <w:bCs/>
          <w:sz w:val="24"/>
          <w:szCs w:val="24"/>
        </w:rPr>
        <w:t>P</w:t>
      </w:r>
      <w:r w:rsidR="009D08F2" w:rsidRPr="00140622">
        <w:rPr>
          <w:bCs/>
          <w:sz w:val="24"/>
          <w:szCs w:val="24"/>
        </w:rPr>
        <w:t xml:space="preserve">revalence of IC </w:t>
      </w:r>
      <w:r w:rsidRPr="00140622">
        <w:rPr>
          <w:bCs/>
          <w:sz w:val="24"/>
          <w:szCs w:val="24"/>
        </w:rPr>
        <w:t>by treatment group</w:t>
      </w:r>
      <w:r w:rsidR="009D08F2" w:rsidRPr="00140622">
        <w:rPr>
          <w:bCs/>
          <w:sz w:val="24"/>
          <w:szCs w:val="24"/>
        </w:rPr>
        <w:t xml:space="preserve"> (i.e., preemptive therapy versus standard care)</w:t>
      </w:r>
      <w:r w:rsidRPr="00140622">
        <w:rPr>
          <w:bCs/>
          <w:sz w:val="24"/>
          <w:szCs w:val="24"/>
        </w:rPr>
        <w:t>.</w:t>
      </w:r>
      <w:r w:rsidR="009D08F2" w:rsidRPr="00140622">
        <w:rPr>
          <w:bCs/>
          <w:sz w:val="24"/>
          <w:szCs w:val="24"/>
        </w:rPr>
        <w:t xml:space="preserve"> </w:t>
      </w:r>
    </w:p>
    <w:p w:rsidR="001E769E" w:rsidRPr="00140622" w:rsidRDefault="001E769E" w:rsidP="00FC1BDA">
      <w:pPr>
        <w:numPr>
          <w:ilvl w:val="0"/>
          <w:numId w:val="26"/>
        </w:numPr>
        <w:spacing w:before="0" w:after="0" w:line="480" w:lineRule="auto"/>
        <w:jc w:val="both"/>
        <w:rPr>
          <w:sz w:val="24"/>
          <w:szCs w:val="24"/>
        </w:rPr>
      </w:pPr>
      <w:r w:rsidRPr="00140622">
        <w:rPr>
          <w:bCs/>
          <w:sz w:val="24"/>
          <w:szCs w:val="24"/>
        </w:rPr>
        <w:t>D</w:t>
      </w:r>
      <w:r w:rsidR="009D08F2" w:rsidRPr="00140622">
        <w:rPr>
          <w:bCs/>
          <w:sz w:val="24"/>
          <w:szCs w:val="24"/>
        </w:rPr>
        <w:t>uration of SICU stay by treatment group</w:t>
      </w:r>
      <w:r w:rsidRPr="00140622">
        <w:rPr>
          <w:bCs/>
          <w:sz w:val="24"/>
          <w:szCs w:val="24"/>
        </w:rPr>
        <w:t>.</w:t>
      </w:r>
      <w:r w:rsidR="009D08F2" w:rsidRPr="00140622">
        <w:rPr>
          <w:bCs/>
          <w:sz w:val="24"/>
          <w:szCs w:val="24"/>
        </w:rPr>
        <w:t xml:space="preserve"> </w:t>
      </w:r>
    </w:p>
    <w:p w:rsidR="001E769E" w:rsidRPr="00140622" w:rsidRDefault="001E769E" w:rsidP="00FC1BDA">
      <w:pPr>
        <w:numPr>
          <w:ilvl w:val="0"/>
          <w:numId w:val="26"/>
        </w:numPr>
        <w:spacing w:before="0" w:after="0" w:line="480" w:lineRule="auto"/>
        <w:jc w:val="both"/>
        <w:rPr>
          <w:sz w:val="24"/>
          <w:szCs w:val="24"/>
        </w:rPr>
      </w:pPr>
      <w:r w:rsidRPr="00140622">
        <w:rPr>
          <w:bCs/>
          <w:sz w:val="24"/>
          <w:szCs w:val="24"/>
        </w:rPr>
        <w:t>N</w:t>
      </w:r>
      <w:r w:rsidR="009D08F2" w:rsidRPr="00140622">
        <w:rPr>
          <w:bCs/>
          <w:sz w:val="24"/>
          <w:szCs w:val="24"/>
        </w:rPr>
        <w:t>umber febrile days by treatment group</w:t>
      </w:r>
      <w:r w:rsidRPr="00140622">
        <w:rPr>
          <w:bCs/>
          <w:sz w:val="24"/>
          <w:szCs w:val="24"/>
        </w:rPr>
        <w:t>.</w:t>
      </w:r>
    </w:p>
    <w:p w:rsidR="001E769E" w:rsidRPr="00140622" w:rsidRDefault="001E769E" w:rsidP="00FC1BDA">
      <w:pPr>
        <w:numPr>
          <w:ilvl w:val="0"/>
          <w:numId w:val="26"/>
        </w:numPr>
        <w:spacing w:before="0" w:after="0" w:line="480" w:lineRule="auto"/>
        <w:jc w:val="both"/>
        <w:rPr>
          <w:sz w:val="24"/>
          <w:szCs w:val="24"/>
        </w:rPr>
      </w:pPr>
      <w:r w:rsidRPr="00140622">
        <w:rPr>
          <w:bCs/>
          <w:sz w:val="24"/>
          <w:szCs w:val="24"/>
        </w:rPr>
        <w:t>A</w:t>
      </w:r>
      <w:r w:rsidR="009D08F2" w:rsidRPr="00140622">
        <w:rPr>
          <w:bCs/>
          <w:sz w:val="24"/>
          <w:szCs w:val="24"/>
        </w:rPr>
        <w:t>nt</w:t>
      </w:r>
      <w:r w:rsidRPr="00140622">
        <w:rPr>
          <w:bCs/>
          <w:sz w:val="24"/>
          <w:szCs w:val="24"/>
        </w:rPr>
        <w:t>ifungal drug utilization by treatment group.</w:t>
      </w:r>
    </w:p>
    <w:p w:rsidR="001E769E" w:rsidRPr="00140622" w:rsidRDefault="001E769E" w:rsidP="00FC1BDA">
      <w:pPr>
        <w:numPr>
          <w:ilvl w:val="0"/>
          <w:numId w:val="26"/>
        </w:numPr>
        <w:spacing w:before="0" w:after="0" w:line="480" w:lineRule="auto"/>
        <w:jc w:val="both"/>
        <w:rPr>
          <w:sz w:val="24"/>
          <w:szCs w:val="24"/>
        </w:rPr>
      </w:pPr>
      <w:r w:rsidRPr="00140622">
        <w:rPr>
          <w:bCs/>
          <w:sz w:val="24"/>
          <w:szCs w:val="24"/>
        </w:rPr>
        <w:t>O</w:t>
      </w:r>
      <w:r w:rsidR="009D08F2" w:rsidRPr="00140622">
        <w:rPr>
          <w:bCs/>
          <w:sz w:val="24"/>
          <w:szCs w:val="24"/>
        </w:rPr>
        <w:t>verall mortality rate between treatment arms at SICU and hospital discharge.</w:t>
      </w:r>
    </w:p>
    <w:p w:rsidR="008D2B03" w:rsidRPr="00140622" w:rsidRDefault="008D2B03" w:rsidP="00FC1BDA">
      <w:pPr>
        <w:numPr>
          <w:ilvl w:val="0"/>
          <w:numId w:val="26"/>
        </w:numPr>
        <w:tabs>
          <w:tab w:val="left" w:pos="2895"/>
          <w:tab w:val="left" w:pos="5775"/>
          <w:tab w:val="left" w:pos="8640"/>
        </w:tabs>
        <w:spacing w:before="0" w:after="0" w:line="480" w:lineRule="auto"/>
        <w:jc w:val="both"/>
        <w:rPr>
          <w:bCs/>
          <w:sz w:val="24"/>
          <w:szCs w:val="24"/>
        </w:rPr>
      </w:pPr>
      <w:r w:rsidRPr="00140622">
        <w:rPr>
          <w:bCs/>
          <w:sz w:val="24"/>
          <w:szCs w:val="24"/>
        </w:rPr>
        <w:t>Response to preemptive or empiric antifungal therapy will be assessed.</w:t>
      </w:r>
    </w:p>
    <w:p w:rsidR="001E769E" w:rsidRPr="00140622" w:rsidRDefault="001E769E" w:rsidP="00FC1BDA">
      <w:pPr>
        <w:numPr>
          <w:ilvl w:val="0"/>
          <w:numId w:val="26"/>
        </w:numPr>
        <w:spacing w:before="0" w:after="0" w:line="480" w:lineRule="auto"/>
        <w:jc w:val="both"/>
        <w:rPr>
          <w:sz w:val="24"/>
          <w:szCs w:val="24"/>
        </w:rPr>
      </w:pPr>
      <w:r w:rsidRPr="00140622">
        <w:rPr>
          <w:bCs/>
          <w:sz w:val="24"/>
          <w:szCs w:val="24"/>
        </w:rPr>
        <w:t>F</w:t>
      </w:r>
      <w:r w:rsidR="009D08F2" w:rsidRPr="00140622">
        <w:rPr>
          <w:bCs/>
          <w:sz w:val="24"/>
          <w:szCs w:val="24"/>
        </w:rPr>
        <w:t xml:space="preserve">ungal colonization </w:t>
      </w:r>
      <w:r w:rsidRPr="00140622">
        <w:rPr>
          <w:bCs/>
          <w:sz w:val="24"/>
          <w:szCs w:val="24"/>
        </w:rPr>
        <w:t xml:space="preserve">rate </w:t>
      </w:r>
      <w:r w:rsidR="009D08F2" w:rsidRPr="00140622">
        <w:rPr>
          <w:bCs/>
          <w:sz w:val="24"/>
          <w:szCs w:val="24"/>
        </w:rPr>
        <w:t>by group at baseline, at the end of antifungal therapy, and at SICU discharge.</w:t>
      </w:r>
    </w:p>
    <w:p w:rsidR="001E769E" w:rsidRPr="00140622" w:rsidRDefault="001E769E" w:rsidP="00FC1BDA">
      <w:pPr>
        <w:numPr>
          <w:ilvl w:val="0"/>
          <w:numId w:val="26"/>
        </w:numPr>
        <w:spacing w:before="0" w:after="0" w:line="480" w:lineRule="auto"/>
        <w:jc w:val="both"/>
        <w:rPr>
          <w:sz w:val="24"/>
          <w:szCs w:val="24"/>
        </w:rPr>
      </w:pPr>
      <w:r w:rsidRPr="00140622">
        <w:rPr>
          <w:bCs/>
          <w:sz w:val="24"/>
          <w:szCs w:val="24"/>
        </w:rPr>
        <w:t>S</w:t>
      </w:r>
      <w:r w:rsidR="009D08F2" w:rsidRPr="00140622">
        <w:rPr>
          <w:bCs/>
          <w:sz w:val="24"/>
          <w:szCs w:val="24"/>
        </w:rPr>
        <w:t>usceptibility of fungal pathogens identified (if any)</w:t>
      </w:r>
      <w:r w:rsidRPr="00140622">
        <w:rPr>
          <w:bCs/>
          <w:sz w:val="24"/>
          <w:szCs w:val="24"/>
        </w:rPr>
        <w:t>.</w:t>
      </w:r>
    </w:p>
    <w:p w:rsidR="001E769E" w:rsidRPr="00140622" w:rsidRDefault="001E769E" w:rsidP="00FC1BDA">
      <w:pPr>
        <w:numPr>
          <w:ilvl w:val="0"/>
          <w:numId w:val="26"/>
        </w:numPr>
        <w:spacing w:before="0" w:after="0" w:line="480" w:lineRule="auto"/>
        <w:jc w:val="both"/>
        <w:rPr>
          <w:sz w:val="24"/>
          <w:szCs w:val="24"/>
        </w:rPr>
      </w:pPr>
      <w:r w:rsidRPr="00140622">
        <w:rPr>
          <w:sz w:val="24"/>
          <w:szCs w:val="24"/>
        </w:rPr>
        <w:t>N</w:t>
      </w:r>
      <w:r w:rsidR="009D08F2" w:rsidRPr="00140622">
        <w:rPr>
          <w:sz w:val="24"/>
          <w:szCs w:val="24"/>
        </w:rPr>
        <w:t xml:space="preserve">umber of breakthrough IFIs </w:t>
      </w:r>
      <w:r w:rsidRPr="00140622">
        <w:rPr>
          <w:sz w:val="24"/>
          <w:szCs w:val="24"/>
        </w:rPr>
        <w:t>by group.</w:t>
      </w:r>
    </w:p>
    <w:p w:rsidR="001E769E" w:rsidRPr="00140622" w:rsidRDefault="001E769E" w:rsidP="00FC1BDA">
      <w:pPr>
        <w:numPr>
          <w:ilvl w:val="0"/>
          <w:numId w:val="26"/>
        </w:numPr>
        <w:spacing w:before="0" w:after="0" w:line="480" w:lineRule="auto"/>
        <w:jc w:val="both"/>
        <w:rPr>
          <w:sz w:val="24"/>
          <w:szCs w:val="24"/>
        </w:rPr>
      </w:pPr>
      <w:r w:rsidRPr="00140622">
        <w:rPr>
          <w:sz w:val="24"/>
          <w:szCs w:val="24"/>
        </w:rPr>
        <w:t>Number of</w:t>
      </w:r>
      <w:r w:rsidR="009D08F2" w:rsidRPr="00140622">
        <w:rPr>
          <w:sz w:val="24"/>
          <w:szCs w:val="24"/>
        </w:rPr>
        <w:t xml:space="preserve"> premature withdrawals from assigned strategy.</w:t>
      </w:r>
    </w:p>
    <w:p w:rsidR="001E769E" w:rsidRPr="00140622" w:rsidRDefault="001E769E" w:rsidP="00FC1BDA">
      <w:pPr>
        <w:numPr>
          <w:ilvl w:val="0"/>
          <w:numId w:val="26"/>
        </w:numPr>
        <w:spacing w:before="0" w:after="0" w:line="480" w:lineRule="auto"/>
        <w:jc w:val="both"/>
        <w:rPr>
          <w:sz w:val="24"/>
          <w:szCs w:val="24"/>
        </w:rPr>
      </w:pPr>
      <w:r w:rsidRPr="00140622">
        <w:rPr>
          <w:sz w:val="24"/>
          <w:szCs w:val="24"/>
        </w:rPr>
        <w:t>C</w:t>
      </w:r>
      <w:r w:rsidR="009D08F2" w:rsidRPr="00140622">
        <w:rPr>
          <w:sz w:val="24"/>
          <w:szCs w:val="24"/>
        </w:rPr>
        <w:t xml:space="preserve">osts (antifungal drugs + </w:t>
      </w:r>
      <w:r w:rsidRPr="00140622">
        <w:rPr>
          <w:sz w:val="24"/>
          <w:szCs w:val="24"/>
        </w:rPr>
        <w:t>diagnostic testing) by group</w:t>
      </w:r>
      <w:r w:rsidR="009D08F2" w:rsidRPr="00140622">
        <w:rPr>
          <w:sz w:val="24"/>
          <w:szCs w:val="24"/>
        </w:rPr>
        <w:t>.</w:t>
      </w:r>
    </w:p>
    <w:p w:rsidR="001F0429" w:rsidRPr="00140622" w:rsidRDefault="001F0429" w:rsidP="00FC1BDA">
      <w:pPr>
        <w:numPr>
          <w:ilvl w:val="0"/>
          <w:numId w:val="26"/>
        </w:numPr>
        <w:spacing w:before="0" w:after="0" w:line="480" w:lineRule="auto"/>
        <w:jc w:val="both"/>
        <w:rPr>
          <w:sz w:val="24"/>
          <w:szCs w:val="24"/>
        </w:rPr>
      </w:pPr>
      <w:r w:rsidRPr="00140622">
        <w:rPr>
          <w:sz w:val="24"/>
          <w:szCs w:val="24"/>
        </w:rPr>
        <w:t xml:space="preserve">Gene expression signatures related to early </w:t>
      </w:r>
      <w:proofErr w:type="spellStart"/>
      <w:r w:rsidRPr="00140622">
        <w:rPr>
          <w:sz w:val="24"/>
          <w:szCs w:val="24"/>
        </w:rPr>
        <w:t>candidemia</w:t>
      </w:r>
      <w:proofErr w:type="spellEnd"/>
      <w:r w:rsidRPr="00140622">
        <w:rPr>
          <w:sz w:val="24"/>
          <w:szCs w:val="24"/>
        </w:rPr>
        <w:t xml:space="preserve"> (prior to blood culture positivity) and late </w:t>
      </w:r>
      <w:proofErr w:type="spellStart"/>
      <w:r w:rsidRPr="00140622">
        <w:rPr>
          <w:sz w:val="24"/>
          <w:szCs w:val="24"/>
        </w:rPr>
        <w:t>candidemia</w:t>
      </w:r>
      <w:proofErr w:type="spellEnd"/>
      <w:r w:rsidRPr="00140622">
        <w:rPr>
          <w:sz w:val="24"/>
          <w:szCs w:val="24"/>
        </w:rPr>
        <w:t xml:space="preserve"> (</w:t>
      </w:r>
      <w:proofErr w:type="gramStart"/>
      <w:r w:rsidRPr="00140622">
        <w:rPr>
          <w:sz w:val="24"/>
          <w:szCs w:val="24"/>
        </w:rPr>
        <w:t>after  blood</w:t>
      </w:r>
      <w:proofErr w:type="gramEnd"/>
      <w:r w:rsidRPr="00140622">
        <w:rPr>
          <w:sz w:val="24"/>
          <w:szCs w:val="24"/>
        </w:rPr>
        <w:t xml:space="preserve"> culture positivity) and no </w:t>
      </w:r>
      <w:proofErr w:type="spellStart"/>
      <w:r w:rsidRPr="00140622">
        <w:rPr>
          <w:sz w:val="24"/>
          <w:szCs w:val="24"/>
        </w:rPr>
        <w:t>candidemia</w:t>
      </w:r>
      <w:proofErr w:type="spellEnd"/>
      <w:r w:rsidRPr="00140622">
        <w:rPr>
          <w:sz w:val="24"/>
          <w:szCs w:val="24"/>
        </w:rPr>
        <w:t xml:space="preserve"> (negative blood culture and negative B-D-</w:t>
      </w:r>
      <w:proofErr w:type="spellStart"/>
      <w:r w:rsidRPr="00140622">
        <w:rPr>
          <w:sz w:val="24"/>
          <w:szCs w:val="24"/>
        </w:rPr>
        <w:t>glucan</w:t>
      </w:r>
      <w:proofErr w:type="spellEnd"/>
      <w:r w:rsidRPr="00140622">
        <w:rPr>
          <w:sz w:val="24"/>
          <w:szCs w:val="24"/>
        </w:rPr>
        <w:t xml:space="preserve"> testing). </w:t>
      </w:r>
    </w:p>
    <w:p w:rsidR="0009331F" w:rsidRPr="00140622" w:rsidRDefault="0009331F" w:rsidP="00FC1BDA">
      <w:pPr>
        <w:spacing w:before="0" w:after="0" w:line="480" w:lineRule="auto"/>
        <w:jc w:val="both"/>
        <w:rPr>
          <w:b/>
          <w:sz w:val="24"/>
          <w:szCs w:val="24"/>
        </w:rPr>
      </w:pPr>
      <w:bookmarkStart w:id="20" w:name="_Toc57126391"/>
    </w:p>
    <w:p w:rsidR="00DA690C" w:rsidRPr="00140622" w:rsidRDefault="00E100FA" w:rsidP="00FC1BDA">
      <w:pPr>
        <w:spacing w:before="0" w:after="0" w:line="480" w:lineRule="auto"/>
        <w:jc w:val="both"/>
        <w:rPr>
          <w:b/>
          <w:sz w:val="24"/>
          <w:szCs w:val="24"/>
        </w:rPr>
      </w:pPr>
      <w:r w:rsidRPr="00140622">
        <w:rPr>
          <w:b/>
          <w:sz w:val="24"/>
          <w:szCs w:val="24"/>
        </w:rPr>
        <w:t xml:space="preserve">END POINT </w:t>
      </w:r>
      <w:r w:rsidR="00DA690C" w:rsidRPr="00140622">
        <w:rPr>
          <w:b/>
          <w:sz w:val="24"/>
          <w:szCs w:val="24"/>
        </w:rPr>
        <w:t>DEFINITIONS</w:t>
      </w:r>
    </w:p>
    <w:p w:rsidR="00E100FA" w:rsidRPr="00A40950" w:rsidRDefault="00E100FA" w:rsidP="00FC1BDA">
      <w:pPr>
        <w:spacing w:before="0" w:after="0" w:line="480" w:lineRule="auto"/>
        <w:jc w:val="both"/>
        <w:rPr>
          <w:b/>
          <w:sz w:val="24"/>
          <w:szCs w:val="24"/>
        </w:rPr>
      </w:pPr>
      <w:r w:rsidRPr="00A40950">
        <w:rPr>
          <w:b/>
          <w:sz w:val="24"/>
          <w:szCs w:val="24"/>
        </w:rPr>
        <w:t>Feasibility</w:t>
      </w:r>
    </w:p>
    <w:p w:rsidR="00E100FA" w:rsidRPr="00140622" w:rsidRDefault="00E100FA" w:rsidP="00FC1BDA">
      <w:pPr>
        <w:spacing w:before="0" w:after="0" w:line="480" w:lineRule="auto"/>
        <w:ind w:firstLine="720"/>
        <w:jc w:val="both"/>
        <w:rPr>
          <w:sz w:val="24"/>
          <w:szCs w:val="24"/>
        </w:rPr>
      </w:pPr>
      <w:r w:rsidRPr="00A40950">
        <w:rPr>
          <w:sz w:val="24"/>
          <w:szCs w:val="24"/>
        </w:rPr>
        <w:lastRenderedPageBreak/>
        <w:t xml:space="preserve">The feasibility of the preemptive monitoring and treatment strategy will be assessed by </w:t>
      </w:r>
      <w:r w:rsidR="00A941FC" w:rsidRPr="00A40950">
        <w:rPr>
          <w:sz w:val="24"/>
          <w:szCs w:val="24"/>
        </w:rPr>
        <w:t xml:space="preserve">evaluating </w:t>
      </w:r>
      <w:r w:rsidRPr="00A40950">
        <w:rPr>
          <w:sz w:val="24"/>
          <w:szCs w:val="24"/>
        </w:rPr>
        <w:t>adherence to the surveillance protocol in combination with the number of instances where BDG was ordered off schedul</w:t>
      </w:r>
      <w:r w:rsidR="008C3B7C" w:rsidRPr="00A40950">
        <w:rPr>
          <w:sz w:val="24"/>
          <w:szCs w:val="24"/>
        </w:rPr>
        <w:t>e</w:t>
      </w:r>
      <w:r w:rsidR="00396E1F" w:rsidRPr="00A40950">
        <w:rPr>
          <w:sz w:val="24"/>
          <w:szCs w:val="24"/>
        </w:rPr>
        <w:t xml:space="preserve"> to inform treatment decisions </w:t>
      </w:r>
      <w:r w:rsidR="008C3B7C" w:rsidRPr="00A40950">
        <w:rPr>
          <w:sz w:val="24"/>
          <w:szCs w:val="24"/>
        </w:rPr>
        <w:t xml:space="preserve">and/or </w:t>
      </w:r>
      <w:r w:rsidRPr="00A40950">
        <w:rPr>
          <w:sz w:val="24"/>
          <w:szCs w:val="24"/>
        </w:rPr>
        <w:t>systemic antifungal therapy</w:t>
      </w:r>
      <w:r w:rsidR="008C3B7C" w:rsidRPr="00A40950">
        <w:rPr>
          <w:sz w:val="24"/>
          <w:szCs w:val="24"/>
        </w:rPr>
        <w:t xml:space="preserve"> was initiated despite a negative BDG result</w:t>
      </w:r>
      <w:r w:rsidRPr="00A40950">
        <w:rPr>
          <w:sz w:val="24"/>
          <w:szCs w:val="24"/>
        </w:rPr>
        <w:t>.</w:t>
      </w:r>
      <w:r w:rsidR="00DE0EE2" w:rsidRPr="00140622">
        <w:rPr>
          <w:sz w:val="24"/>
          <w:szCs w:val="24"/>
        </w:rPr>
        <w:t xml:space="preserve">  </w:t>
      </w:r>
    </w:p>
    <w:p w:rsidR="00E100FA" w:rsidRPr="00140622" w:rsidRDefault="00E100FA" w:rsidP="00FC1BDA">
      <w:pPr>
        <w:spacing w:before="0" w:after="0" w:line="480" w:lineRule="auto"/>
        <w:jc w:val="both"/>
        <w:rPr>
          <w:sz w:val="24"/>
          <w:szCs w:val="24"/>
        </w:rPr>
      </w:pPr>
    </w:p>
    <w:p w:rsidR="00DA690C" w:rsidRPr="00140622" w:rsidRDefault="00E100FA" w:rsidP="00FC1BDA">
      <w:pPr>
        <w:spacing w:before="0" w:after="0" w:line="480" w:lineRule="auto"/>
        <w:jc w:val="both"/>
        <w:rPr>
          <w:b/>
          <w:sz w:val="24"/>
          <w:szCs w:val="24"/>
        </w:rPr>
      </w:pPr>
      <w:r w:rsidRPr="00140622">
        <w:rPr>
          <w:b/>
          <w:sz w:val="24"/>
          <w:szCs w:val="24"/>
        </w:rPr>
        <w:t>Invasive F</w:t>
      </w:r>
      <w:r w:rsidR="00A134F8" w:rsidRPr="00140622">
        <w:rPr>
          <w:b/>
          <w:sz w:val="24"/>
          <w:szCs w:val="24"/>
        </w:rPr>
        <w:t>ungal Infection</w:t>
      </w:r>
    </w:p>
    <w:p w:rsidR="008C3B7C" w:rsidRPr="00140622" w:rsidRDefault="008C3B7C" w:rsidP="00FC1BDA">
      <w:pPr>
        <w:spacing w:before="0" w:after="0" w:line="480" w:lineRule="auto"/>
        <w:jc w:val="both"/>
        <w:rPr>
          <w:sz w:val="24"/>
          <w:szCs w:val="24"/>
        </w:rPr>
      </w:pPr>
      <w:r w:rsidRPr="00140622">
        <w:rPr>
          <w:b/>
          <w:sz w:val="24"/>
          <w:szCs w:val="24"/>
        </w:rPr>
        <w:tab/>
      </w:r>
      <w:r w:rsidRPr="00140622">
        <w:rPr>
          <w:sz w:val="24"/>
          <w:szCs w:val="24"/>
        </w:rPr>
        <w:t>The European Organization for Research and Treatment of Cancer/Invasive Fungal Infections Cooperative Group and the National Institute of Allergy and Infectious Diseases Mycos</w:t>
      </w:r>
      <w:r w:rsidR="00396E1F" w:rsidRPr="00140622">
        <w:rPr>
          <w:sz w:val="24"/>
          <w:szCs w:val="24"/>
        </w:rPr>
        <w:t xml:space="preserve">es Study Group (EORTC/MSG) </w:t>
      </w:r>
      <w:r w:rsidRPr="00140622">
        <w:rPr>
          <w:sz w:val="24"/>
          <w:szCs w:val="24"/>
        </w:rPr>
        <w:t xml:space="preserve">established standard definitions for IFIs for </w:t>
      </w:r>
      <w:r w:rsidR="00B563E8" w:rsidRPr="00140622">
        <w:rPr>
          <w:sz w:val="24"/>
          <w:szCs w:val="24"/>
        </w:rPr>
        <w:t xml:space="preserve">use in </w:t>
      </w:r>
      <w:r w:rsidRPr="00140622">
        <w:rPr>
          <w:sz w:val="24"/>
          <w:szCs w:val="24"/>
        </w:rPr>
        <w:t>clinical researc</w:t>
      </w:r>
      <w:r w:rsidR="00B563E8" w:rsidRPr="00140622">
        <w:rPr>
          <w:sz w:val="24"/>
          <w:szCs w:val="24"/>
        </w:rPr>
        <w:t>h</w:t>
      </w:r>
      <w:r w:rsidR="00706A77" w:rsidRPr="00140622">
        <w:rPr>
          <w:sz w:val="24"/>
          <w:szCs w:val="24"/>
        </w:rPr>
        <w:fldChar w:fldCharType="begin"/>
      </w:r>
      <w:r w:rsidR="0053409B">
        <w:rPr>
          <w:sz w:val="24"/>
          <w:szCs w:val="24"/>
        </w:rPr>
        <w:instrText xml:space="preserve"> ADDIN REFMGR.CITE &lt;Refman&gt;&lt;Cite&gt;&lt;Author&gt;Ascioglu&lt;/Author&gt;&lt;Year&gt;2002&lt;/Year&gt;&lt;RecNum&gt;77&lt;/RecNum&gt;&lt;IDText&gt;Defining Opportunistic Invasive Fungal Infections in Immunocompromised Patients with Cancer and Hematopoietic Stem Cell Transplants: An International Consensus&amp;#xA;1&lt;/IDText&gt;&lt;MDL Ref_Type="Journal"&gt;&lt;Ref_Type&gt;Journal&lt;/Ref_Type&gt;&lt;Ref_ID&gt;77&lt;/Ref_ID&gt;&lt;Title_Primary&gt;Defining Opportunistic Invasive Fungal Infections in Immunocompromised Patients with Cancer and Hematopoietic Stem Cell Transplants: An International Consensus&amp;#xA;1&lt;/Title_Primary&gt;&lt;Authors_Primary&gt;Ascioglu,S.&lt;/Authors_Primary&gt;&lt;Authors_Primary&gt;Rex,J.H.&lt;/Authors_Primary&gt;&lt;Authors_Primary&gt;de Pauw,B.&lt;/Authors_Primary&gt;&lt;Authors_Primary&gt;Bennett,J.E.&lt;/Authors_Primary&gt;&lt;Authors_Primary&gt;BIlle,J.&lt;/Authors_Primary&gt;&lt;Authors_Primary&gt;Crokaert,F.&lt;/Authors_Primary&gt;&lt;Authors_Primary&gt;Denning,D.W.&lt;/Authors_Primary&gt;&lt;Authors_Primary&gt;Donnelly,J.P.&lt;/Authors_Primary&gt;&lt;Authors_Primary&gt;Edwards,J.E.&lt;/Authors_Primary&gt;&lt;Authors_Primary&gt;Erjavec,Z.&lt;/Authors_Primary&gt;&lt;Authors_Primary&gt;Fiere,D.&lt;/Authors_Primary&gt;&lt;Authors_Primary&gt;Lortholary,O.&lt;/Authors_Primary&gt;&lt;Authors_Primary&gt;Maertens,J.&lt;/Authors_Primary&gt;&lt;Authors_Primary&gt;Meis,J.F.&lt;/Authors_Primary&gt;&lt;Authors_Primary&gt;Patterson,T.F.&lt;/Authors_Primary&gt;&lt;Authors_Primary&gt;Ritter,J.&lt;/Authors_Primary&gt;&lt;Authors_Primary&gt;Selleslag,D.&lt;/Authors_Primary&gt;&lt;Authors_Primary&gt;Shah,P.M.&lt;/Authors_Primary&gt;&lt;Authors_Primary&gt;Stevens,D.A.&lt;/Authors_Primary&gt;&lt;Date_Primary&gt;2002/1/1&lt;/Date_Primary&gt;&lt;Keywords&gt;CANCER -- Patients&lt;/Keywords&gt;&lt;Keywords&gt;HEMATOPOIETIC stem cells&lt;/Keywords&gt;&lt;Keywords&gt;Infection&lt;/Keywords&gt;&lt;Keywords&gt;Mycoses&lt;/Keywords&gt;&lt;Keywords&gt;OPPORTUNISTIC infections&lt;/Keywords&gt;&lt;Keywords&gt;Transplantation&lt;/Keywords&gt;&lt;Reprint&gt;Not in File&lt;/Reprint&gt;&lt;Start_Page&gt;7&lt;/Start_Page&gt;&lt;Periodical&gt;Clin Infect Dis&lt;/Periodical&gt;&lt;Volume&gt;34&lt;/Volume&gt;&lt;Issue&gt;1&lt;/Issue&gt;&lt;Publisher&gt;Infectious Diseases Society of America&lt;/Publisher&gt;&lt;ISSN_ISBN&gt;10584838&lt;/ISSN_ISBN&gt;&lt;Misc_3&gt;Article&lt;/Misc_3&gt;&lt;Web_URL&gt;http://search.ebscohost.com/login.aspx?direct=true&amp;amp;db=aph&amp;amp;AN=5636078&amp;amp;site=ehost-live&amp;amp;scope=site&lt;/Web_URL&gt;&lt;ZZ_JournalFull&gt;&lt;f name="System"&gt;Clinical Infectious Diseases&lt;/f&gt;&lt;/ZZ_JournalFull&gt;&lt;ZZ_JournalStdAbbrev&gt;&lt;f name="System"&gt;Clin Infect Dis&lt;/f&gt;&lt;/ZZ_JournalStdAbbrev&gt;&lt;ZZ_WorkformID&gt;1&lt;/ZZ_WorkformID&gt;&lt;/MDL&gt;&lt;/Cite&gt;&lt;/Refman&gt;</w:instrText>
      </w:r>
      <w:r w:rsidR="00706A77" w:rsidRPr="00140622">
        <w:rPr>
          <w:sz w:val="24"/>
          <w:szCs w:val="24"/>
        </w:rPr>
        <w:fldChar w:fldCharType="separate"/>
      </w:r>
      <w:r w:rsidR="00080721">
        <w:rPr>
          <w:sz w:val="24"/>
          <w:szCs w:val="24"/>
        </w:rPr>
        <w:t>(26)</w:t>
      </w:r>
      <w:r w:rsidR="00706A77" w:rsidRPr="00140622">
        <w:rPr>
          <w:sz w:val="24"/>
          <w:szCs w:val="24"/>
        </w:rPr>
        <w:fldChar w:fldCharType="end"/>
      </w:r>
      <w:r w:rsidRPr="00140622">
        <w:rPr>
          <w:sz w:val="24"/>
          <w:szCs w:val="24"/>
        </w:rPr>
        <w:t>.  The</w:t>
      </w:r>
      <w:r w:rsidR="00B563E8" w:rsidRPr="00140622">
        <w:rPr>
          <w:sz w:val="24"/>
          <w:szCs w:val="24"/>
        </w:rPr>
        <w:t>se</w:t>
      </w:r>
      <w:r w:rsidRPr="00140622">
        <w:rPr>
          <w:sz w:val="24"/>
          <w:szCs w:val="24"/>
        </w:rPr>
        <w:t xml:space="preserve"> criteria were </w:t>
      </w:r>
      <w:r w:rsidR="00FD1EDA">
        <w:rPr>
          <w:sz w:val="24"/>
          <w:szCs w:val="24"/>
        </w:rPr>
        <w:t xml:space="preserve">designed </w:t>
      </w:r>
      <w:r w:rsidRPr="00140622">
        <w:rPr>
          <w:sz w:val="24"/>
          <w:szCs w:val="24"/>
        </w:rPr>
        <w:t xml:space="preserve">for immunocompromised patients with cancer and hematopoietic stem cell </w:t>
      </w:r>
      <w:r w:rsidR="00B640E3" w:rsidRPr="00140622">
        <w:rPr>
          <w:sz w:val="24"/>
          <w:szCs w:val="24"/>
        </w:rPr>
        <w:t>transplant</w:t>
      </w:r>
      <w:r w:rsidRPr="00140622">
        <w:rPr>
          <w:sz w:val="24"/>
          <w:szCs w:val="24"/>
        </w:rPr>
        <w:t xml:space="preserve"> (HSCT) recipients.  </w:t>
      </w:r>
      <w:r w:rsidR="00B563E8" w:rsidRPr="00140622">
        <w:rPr>
          <w:sz w:val="24"/>
          <w:szCs w:val="24"/>
        </w:rPr>
        <w:t>Although not developed for ICU patients specifically, these</w:t>
      </w:r>
      <w:r w:rsidRPr="00140622">
        <w:rPr>
          <w:sz w:val="24"/>
          <w:szCs w:val="24"/>
        </w:rPr>
        <w:t xml:space="preserve"> </w:t>
      </w:r>
      <w:r w:rsidR="00B563E8" w:rsidRPr="00140622">
        <w:rPr>
          <w:sz w:val="24"/>
          <w:szCs w:val="24"/>
        </w:rPr>
        <w:t>criteria will be applied as a</w:t>
      </w:r>
      <w:r w:rsidR="00A40950">
        <w:rPr>
          <w:sz w:val="24"/>
          <w:szCs w:val="24"/>
        </w:rPr>
        <w:t xml:space="preserve"> </w:t>
      </w:r>
      <w:r w:rsidR="00B563E8" w:rsidRPr="00140622">
        <w:rPr>
          <w:sz w:val="24"/>
          <w:szCs w:val="24"/>
        </w:rPr>
        <w:t>way to</w:t>
      </w:r>
      <w:r w:rsidR="00396E1F" w:rsidRPr="00140622">
        <w:rPr>
          <w:sz w:val="24"/>
          <w:szCs w:val="24"/>
        </w:rPr>
        <w:t xml:space="preserve"> standardize the assessments </w:t>
      </w:r>
      <w:r w:rsidR="00FD1EDA">
        <w:rPr>
          <w:sz w:val="24"/>
          <w:szCs w:val="24"/>
        </w:rPr>
        <w:t xml:space="preserve">and classification </w:t>
      </w:r>
      <w:r w:rsidR="00396E1F" w:rsidRPr="00140622">
        <w:rPr>
          <w:sz w:val="24"/>
          <w:szCs w:val="24"/>
        </w:rPr>
        <w:t>of</w:t>
      </w:r>
      <w:r w:rsidR="00B563E8" w:rsidRPr="00140622">
        <w:rPr>
          <w:sz w:val="24"/>
          <w:szCs w:val="24"/>
        </w:rPr>
        <w:t xml:space="preserve"> IFI in </w:t>
      </w:r>
      <w:r w:rsidRPr="00140622">
        <w:rPr>
          <w:sz w:val="24"/>
          <w:szCs w:val="24"/>
        </w:rPr>
        <w:t>study subject</w:t>
      </w:r>
      <w:r w:rsidR="00B563E8" w:rsidRPr="00140622">
        <w:rPr>
          <w:sz w:val="24"/>
          <w:szCs w:val="24"/>
        </w:rPr>
        <w:t>s (</w:t>
      </w:r>
      <w:r w:rsidR="00667995">
        <w:rPr>
          <w:b/>
          <w:sz w:val="24"/>
          <w:szCs w:val="24"/>
        </w:rPr>
        <w:t>Tables 3 and 4</w:t>
      </w:r>
      <w:r w:rsidR="00B563E8" w:rsidRPr="00667995">
        <w:rPr>
          <w:sz w:val="24"/>
          <w:szCs w:val="24"/>
        </w:rPr>
        <w:t>)</w:t>
      </w:r>
      <w:r w:rsidRPr="00140622">
        <w:rPr>
          <w:sz w:val="24"/>
          <w:szCs w:val="24"/>
        </w:rPr>
        <w:tab/>
      </w:r>
    </w:p>
    <w:p w:rsidR="00B563E8" w:rsidRPr="00140622" w:rsidRDefault="00B563E8" w:rsidP="00FC1BDA">
      <w:pPr>
        <w:spacing w:before="0" w:after="0" w:line="480" w:lineRule="auto"/>
        <w:jc w:val="both"/>
        <w:rPr>
          <w:b/>
          <w:sz w:val="24"/>
          <w:szCs w:val="24"/>
        </w:rPr>
      </w:pPr>
    </w:p>
    <w:p w:rsidR="00D82F7B" w:rsidRPr="00140622" w:rsidRDefault="00D82F7B" w:rsidP="00FC1BDA">
      <w:pPr>
        <w:spacing w:before="0" w:after="0" w:line="480" w:lineRule="auto"/>
        <w:jc w:val="both"/>
        <w:rPr>
          <w:b/>
          <w:sz w:val="24"/>
          <w:szCs w:val="24"/>
        </w:rPr>
      </w:pPr>
      <w:r w:rsidRPr="00140622">
        <w:rPr>
          <w:b/>
          <w:sz w:val="24"/>
          <w:szCs w:val="24"/>
        </w:rPr>
        <w:t>Invasive Candidiasis</w:t>
      </w:r>
    </w:p>
    <w:p w:rsidR="00B563E8" w:rsidRDefault="00B563E8" w:rsidP="00FC1BDA">
      <w:pPr>
        <w:spacing w:before="0" w:after="0" w:line="480" w:lineRule="auto"/>
        <w:jc w:val="both"/>
        <w:rPr>
          <w:sz w:val="24"/>
          <w:szCs w:val="24"/>
        </w:rPr>
      </w:pPr>
      <w:r w:rsidRPr="00140622">
        <w:rPr>
          <w:b/>
          <w:sz w:val="24"/>
          <w:szCs w:val="24"/>
        </w:rPr>
        <w:tab/>
      </w:r>
      <w:r w:rsidRPr="00140622">
        <w:rPr>
          <w:sz w:val="24"/>
          <w:szCs w:val="24"/>
        </w:rPr>
        <w:t xml:space="preserve">IC will be defined as proven deep tissue </w:t>
      </w:r>
      <w:r w:rsidRPr="00140622">
        <w:rPr>
          <w:i/>
          <w:sz w:val="24"/>
          <w:szCs w:val="24"/>
        </w:rPr>
        <w:t xml:space="preserve">Candida </w:t>
      </w:r>
      <w:r w:rsidRPr="00140622">
        <w:rPr>
          <w:sz w:val="24"/>
          <w:szCs w:val="24"/>
        </w:rPr>
        <w:t xml:space="preserve">infection or </w:t>
      </w:r>
      <w:proofErr w:type="spellStart"/>
      <w:r w:rsidRPr="00140622">
        <w:rPr>
          <w:sz w:val="24"/>
          <w:szCs w:val="24"/>
        </w:rPr>
        <w:t>candidemia</w:t>
      </w:r>
      <w:proofErr w:type="spellEnd"/>
      <w:r w:rsidRPr="00140622">
        <w:rPr>
          <w:sz w:val="24"/>
          <w:szCs w:val="24"/>
        </w:rPr>
        <w:t xml:space="preserve">. </w:t>
      </w:r>
    </w:p>
    <w:p w:rsidR="00FD1EDA" w:rsidRDefault="00FD1EDA" w:rsidP="00FC1BDA">
      <w:pPr>
        <w:spacing w:before="0" w:after="0" w:line="480" w:lineRule="auto"/>
        <w:jc w:val="both"/>
        <w:rPr>
          <w:sz w:val="24"/>
          <w:szCs w:val="24"/>
        </w:rPr>
      </w:pPr>
    </w:p>
    <w:p w:rsidR="00FD1EDA" w:rsidRDefault="00FD1EDA" w:rsidP="00FC1BDA">
      <w:pPr>
        <w:spacing w:before="0" w:after="0" w:line="480" w:lineRule="auto"/>
        <w:jc w:val="both"/>
        <w:rPr>
          <w:b/>
          <w:sz w:val="24"/>
          <w:szCs w:val="24"/>
        </w:rPr>
      </w:pPr>
      <w:r w:rsidRPr="00FD1EDA">
        <w:rPr>
          <w:b/>
          <w:sz w:val="24"/>
          <w:szCs w:val="24"/>
        </w:rPr>
        <w:t>Breakthrough Invasive Fungal Infection</w:t>
      </w:r>
    </w:p>
    <w:p w:rsidR="00FD1EDA" w:rsidRPr="00140622" w:rsidRDefault="00FD1EDA" w:rsidP="00FC1BDA">
      <w:pPr>
        <w:spacing w:before="0" w:after="0" w:line="480" w:lineRule="auto"/>
        <w:jc w:val="both"/>
        <w:rPr>
          <w:sz w:val="24"/>
          <w:szCs w:val="24"/>
        </w:rPr>
      </w:pPr>
      <w:r>
        <w:rPr>
          <w:b/>
          <w:sz w:val="24"/>
          <w:szCs w:val="24"/>
        </w:rPr>
        <w:tab/>
      </w:r>
      <w:r>
        <w:rPr>
          <w:sz w:val="24"/>
          <w:szCs w:val="24"/>
        </w:rPr>
        <w:t xml:space="preserve">Breakthrough IFIs will be defined as a proven or probable fungal infection that is not present when preemptive or empiric is initiated, but </w:t>
      </w:r>
      <w:r w:rsidR="000B40CD">
        <w:rPr>
          <w:sz w:val="24"/>
          <w:szCs w:val="24"/>
        </w:rPr>
        <w:t>develops</w:t>
      </w:r>
      <w:r>
        <w:rPr>
          <w:sz w:val="24"/>
          <w:szCs w:val="24"/>
        </w:rPr>
        <w:t xml:space="preserve"> and is diagnosed later, after at least </w:t>
      </w:r>
      <w:r w:rsidRPr="00A40950">
        <w:rPr>
          <w:sz w:val="24"/>
          <w:szCs w:val="24"/>
        </w:rPr>
        <w:t>72 hours</w:t>
      </w:r>
      <w:r>
        <w:rPr>
          <w:sz w:val="24"/>
          <w:szCs w:val="24"/>
        </w:rPr>
        <w:t xml:space="preserve"> of antifungal therapy.</w:t>
      </w:r>
    </w:p>
    <w:p w:rsidR="00F228AE" w:rsidRPr="00140622" w:rsidRDefault="00F228AE" w:rsidP="00FC1BDA">
      <w:pPr>
        <w:spacing w:before="0" w:after="0" w:line="480" w:lineRule="auto"/>
        <w:jc w:val="both"/>
        <w:rPr>
          <w:sz w:val="24"/>
          <w:szCs w:val="24"/>
        </w:rPr>
      </w:pPr>
    </w:p>
    <w:p w:rsidR="00F228AE" w:rsidRPr="00140622" w:rsidRDefault="00F228AE" w:rsidP="00FC1BDA">
      <w:pPr>
        <w:spacing w:before="0" w:after="0" w:line="480" w:lineRule="auto"/>
        <w:jc w:val="both"/>
        <w:rPr>
          <w:b/>
          <w:sz w:val="24"/>
          <w:szCs w:val="24"/>
        </w:rPr>
      </w:pPr>
      <w:r w:rsidRPr="00140622">
        <w:rPr>
          <w:b/>
          <w:sz w:val="24"/>
          <w:szCs w:val="24"/>
        </w:rPr>
        <w:t>Clinical Response</w:t>
      </w:r>
    </w:p>
    <w:p w:rsidR="00F228AE" w:rsidRPr="00140622" w:rsidRDefault="00F228AE" w:rsidP="00FC1BDA">
      <w:pPr>
        <w:spacing w:before="0" w:after="0" w:line="480" w:lineRule="auto"/>
        <w:ind w:firstLine="720"/>
        <w:jc w:val="both"/>
        <w:rPr>
          <w:sz w:val="24"/>
          <w:szCs w:val="24"/>
        </w:rPr>
      </w:pPr>
      <w:r w:rsidRPr="00140622">
        <w:rPr>
          <w:sz w:val="24"/>
          <w:szCs w:val="24"/>
        </w:rPr>
        <w:lastRenderedPageBreak/>
        <w:t xml:space="preserve">Response to empiric therapy </w:t>
      </w:r>
      <w:r w:rsidR="008A6A4F" w:rsidRPr="00140622">
        <w:rPr>
          <w:sz w:val="24"/>
          <w:szCs w:val="24"/>
        </w:rPr>
        <w:t>will be defined as the</w:t>
      </w:r>
      <w:r w:rsidRPr="00140622">
        <w:rPr>
          <w:sz w:val="24"/>
          <w:szCs w:val="24"/>
        </w:rPr>
        <w:t xml:space="preserve"> resolution of fever and/or</w:t>
      </w:r>
      <w:r w:rsidR="008A6A4F" w:rsidRPr="00140622">
        <w:rPr>
          <w:sz w:val="24"/>
          <w:szCs w:val="24"/>
        </w:rPr>
        <w:t xml:space="preserve"> other </w:t>
      </w:r>
      <w:proofErr w:type="gramStart"/>
      <w:r w:rsidR="008A6A4F" w:rsidRPr="00140622">
        <w:rPr>
          <w:sz w:val="24"/>
          <w:szCs w:val="24"/>
        </w:rPr>
        <w:t>attributable</w:t>
      </w:r>
      <w:proofErr w:type="gramEnd"/>
      <w:r w:rsidR="008A6A4F" w:rsidRPr="00140622">
        <w:rPr>
          <w:sz w:val="24"/>
          <w:szCs w:val="24"/>
        </w:rPr>
        <w:t xml:space="preserve"> </w:t>
      </w:r>
      <w:r w:rsidRPr="00140622">
        <w:rPr>
          <w:sz w:val="24"/>
          <w:szCs w:val="24"/>
        </w:rPr>
        <w:t>symptoms or signs of IFI</w:t>
      </w:r>
      <w:r w:rsidR="008A6A4F" w:rsidRPr="00140622">
        <w:rPr>
          <w:sz w:val="24"/>
          <w:szCs w:val="24"/>
        </w:rPr>
        <w:t xml:space="preserve"> after the initiation of systemic antifungal treatment</w:t>
      </w:r>
      <w:r w:rsidRPr="00140622">
        <w:rPr>
          <w:sz w:val="24"/>
          <w:szCs w:val="24"/>
        </w:rPr>
        <w:t>.  Response to pre</w:t>
      </w:r>
      <w:r w:rsidR="008A6A4F" w:rsidRPr="00140622">
        <w:rPr>
          <w:sz w:val="24"/>
          <w:szCs w:val="24"/>
        </w:rPr>
        <w:t xml:space="preserve">emptive therapy will be defined as normalization of the </w:t>
      </w:r>
      <w:r w:rsidRPr="00140622">
        <w:rPr>
          <w:sz w:val="24"/>
          <w:szCs w:val="24"/>
        </w:rPr>
        <w:t>BDG</w:t>
      </w:r>
      <w:r w:rsidR="00A40950">
        <w:rPr>
          <w:sz w:val="24"/>
          <w:szCs w:val="24"/>
        </w:rPr>
        <w:t xml:space="preserve"> test and resolution of fever and/or</w:t>
      </w:r>
      <w:r w:rsidR="00A40950" w:rsidRPr="00140622">
        <w:rPr>
          <w:sz w:val="24"/>
          <w:szCs w:val="24"/>
        </w:rPr>
        <w:t xml:space="preserve"> other attributable symptoms or signs of IFI </w:t>
      </w:r>
      <w:r w:rsidR="00A40950">
        <w:rPr>
          <w:sz w:val="24"/>
          <w:szCs w:val="24"/>
        </w:rPr>
        <w:t xml:space="preserve">(if these were present at the time the BDG test became positive) </w:t>
      </w:r>
      <w:r w:rsidR="00A40950" w:rsidRPr="00140622">
        <w:rPr>
          <w:sz w:val="24"/>
          <w:szCs w:val="24"/>
        </w:rPr>
        <w:t>after the i</w:t>
      </w:r>
      <w:r w:rsidR="00A40950">
        <w:rPr>
          <w:sz w:val="24"/>
          <w:szCs w:val="24"/>
        </w:rPr>
        <w:t xml:space="preserve">nitiation of </w:t>
      </w:r>
      <w:proofErr w:type="spellStart"/>
      <w:r w:rsidR="00A40950">
        <w:rPr>
          <w:sz w:val="24"/>
          <w:szCs w:val="24"/>
        </w:rPr>
        <w:t>anidulafungin</w:t>
      </w:r>
      <w:proofErr w:type="spellEnd"/>
      <w:r w:rsidR="00A40950" w:rsidRPr="00140622">
        <w:rPr>
          <w:sz w:val="24"/>
          <w:szCs w:val="24"/>
        </w:rPr>
        <w:t xml:space="preserve"> treatment</w:t>
      </w:r>
      <w:r w:rsidR="00A40950">
        <w:rPr>
          <w:sz w:val="24"/>
          <w:szCs w:val="24"/>
        </w:rPr>
        <w:t>.</w:t>
      </w:r>
    </w:p>
    <w:p w:rsidR="00A134F8" w:rsidRPr="00140622" w:rsidRDefault="00A134F8" w:rsidP="00FC1BDA">
      <w:pPr>
        <w:spacing w:before="0" w:after="0" w:line="480" w:lineRule="auto"/>
        <w:jc w:val="both"/>
        <w:rPr>
          <w:b/>
          <w:sz w:val="24"/>
          <w:szCs w:val="24"/>
        </w:rPr>
      </w:pPr>
    </w:p>
    <w:p w:rsidR="00002774" w:rsidRPr="00140622" w:rsidRDefault="00002774" w:rsidP="00FC1BDA">
      <w:pPr>
        <w:spacing w:before="0" w:after="0" w:line="480" w:lineRule="auto"/>
        <w:jc w:val="both"/>
        <w:rPr>
          <w:b/>
          <w:sz w:val="24"/>
          <w:szCs w:val="24"/>
        </w:rPr>
      </w:pPr>
      <w:r w:rsidRPr="00140622">
        <w:rPr>
          <w:b/>
          <w:sz w:val="24"/>
          <w:szCs w:val="24"/>
        </w:rPr>
        <w:t>ASSESSMENT OF SAFETY</w:t>
      </w:r>
      <w:bookmarkEnd w:id="20"/>
    </w:p>
    <w:p w:rsidR="003540EB" w:rsidRPr="00140622" w:rsidRDefault="00002774" w:rsidP="00FC1BDA">
      <w:pPr>
        <w:spacing w:before="0" w:after="0" w:line="480" w:lineRule="auto"/>
        <w:ind w:firstLine="720"/>
        <w:jc w:val="both"/>
        <w:rPr>
          <w:sz w:val="24"/>
          <w:szCs w:val="24"/>
        </w:rPr>
      </w:pPr>
      <w:r w:rsidRPr="00140622">
        <w:rPr>
          <w:sz w:val="24"/>
          <w:szCs w:val="24"/>
        </w:rPr>
        <w:t xml:space="preserve">Safety will be assessed by </w:t>
      </w:r>
      <w:r w:rsidR="00D32FE4" w:rsidRPr="00140622">
        <w:rPr>
          <w:sz w:val="24"/>
          <w:szCs w:val="24"/>
        </w:rPr>
        <w:t>adverse events (</w:t>
      </w:r>
      <w:r w:rsidR="003B79DA" w:rsidRPr="00140622">
        <w:rPr>
          <w:sz w:val="24"/>
          <w:szCs w:val="24"/>
        </w:rPr>
        <w:t>AEs</w:t>
      </w:r>
      <w:r w:rsidR="00D32FE4" w:rsidRPr="00140622">
        <w:rPr>
          <w:sz w:val="24"/>
          <w:szCs w:val="24"/>
        </w:rPr>
        <w:t>)</w:t>
      </w:r>
      <w:r w:rsidR="00DA690C" w:rsidRPr="00140622">
        <w:rPr>
          <w:sz w:val="24"/>
          <w:szCs w:val="24"/>
        </w:rPr>
        <w:t xml:space="preserve">, </w:t>
      </w:r>
      <w:r w:rsidRPr="00140622">
        <w:rPr>
          <w:sz w:val="24"/>
          <w:szCs w:val="24"/>
        </w:rPr>
        <w:t>physical examination, measurement of vital signs</w:t>
      </w:r>
      <w:r w:rsidR="00DA690C" w:rsidRPr="00140622">
        <w:rPr>
          <w:sz w:val="24"/>
          <w:szCs w:val="24"/>
        </w:rPr>
        <w:t>,</w:t>
      </w:r>
      <w:r w:rsidR="00D36B50" w:rsidRPr="00140622">
        <w:rPr>
          <w:sz w:val="24"/>
          <w:szCs w:val="24"/>
        </w:rPr>
        <w:t xml:space="preserve"> </w:t>
      </w:r>
      <w:r w:rsidR="00DA690C" w:rsidRPr="00140622">
        <w:rPr>
          <w:sz w:val="24"/>
          <w:szCs w:val="24"/>
        </w:rPr>
        <w:t>and through the use of c</w:t>
      </w:r>
      <w:r w:rsidR="00D36B50" w:rsidRPr="00140622">
        <w:rPr>
          <w:sz w:val="24"/>
          <w:szCs w:val="24"/>
        </w:rPr>
        <w:t xml:space="preserve">linical laboratory tests obtained </w:t>
      </w:r>
      <w:r w:rsidR="00D32FE4" w:rsidRPr="00140622">
        <w:rPr>
          <w:sz w:val="24"/>
          <w:szCs w:val="24"/>
        </w:rPr>
        <w:t xml:space="preserve">either as a part of routine care or </w:t>
      </w:r>
      <w:r w:rsidR="00D36B50" w:rsidRPr="00140622">
        <w:rPr>
          <w:sz w:val="24"/>
          <w:szCs w:val="24"/>
        </w:rPr>
        <w:t xml:space="preserve">once weekly during active </w:t>
      </w:r>
      <w:r w:rsidR="00DA690C" w:rsidRPr="00140622">
        <w:rPr>
          <w:sz w:val="24"/>
          <w:szCs w:val="24"/>
        </w:rPr>
        <w:t xml:space="preserve">preemptive </w:t>
      </w:r>
      <w:r w:rsidR="00D36B50" w:rsidRPr="00140622">
        <w:rPr>
          <w:sz w:val="24"/>
          <w:szCs w:val="24"/>
        </w:rPr>
        <w:t xml:space="preserve">treatment.  </w:t>
      </w:r>
    </w:p>
    <w:p w:rsidR="008F4332" w:rsidRPr="00140622" w:rsidRDefault="008F4332" w:rsidP="00FC1BDA">
      <w:pPr>
        <w:spacing w:before="0" w:after="0" w:line="480" w:lineRule="auto"/>
        <w:jc w:val="both"/>
        <w:rPr>
          <w:b/>
          <w:sz w:val="24"/>
          <w:szCs w:val="24"/>
        </w:rPr>
      </w:pPr>
    </w:p>
    <w:p w:rsidR="00002774" w:rsidRPr="00140622" w:rsidRDefault="003540EB" w:rsidP="00FC1BDA">
      <w:pPr>
        <w:spacing w:before="0" w:after="0" w:line="480" w:lineRule="auto"/>
        <w:jc w:val="both"/>
        <w:rPr>
          <w:b/>
          <w:sz w:val="24"/>
          <w:szCs w:val="24"/>
        </w:rPr>
      </w:pPr>
      <w:r w:rsidRPr="00140622">
        <w:rPr>
          <w:b/>
          <w:sz w:val="24"/>
          <w:szCs w:val="24"/>
        </w:rPr>
        <w:t>Adverse Events</w:t>
      </w:r>
    </w:p>
    <w:p w:rsidR="00002774" w:rsidRPr="00140622" w:rsidRDefault="003B79DA" w:rsidP="00FC1BDA">
      <w:pPr>
        <w:spacing w:before="0" w:after="0" w:line="480" w:lineRule="auto"/>
        <w:ind w:firstLine="720"/>
        <w:jc w:val="both"/>
        <w:rPr>
          <w:sz w:val="24"/>
          <w:szCs w:val="24"/>
        </w:rPr>
      </w:pPr>
      <w:r w:rsidRPr="00140622">
        <w:rPr>
          <w:sz w:val="24"/>
          <w:szCs w:val="24"/>
        </w:rPr>
        <w:t>AE</w:t>
      </w:r>
      <w:r w:rsidR="00DA690C" w:rsidRPr="00140622">
        <w:rPr>
          <w:sz w:val="24"/>
          <w:szCs w:val="24"/>
        </w:rPr>
        <w:t>s are</w:t>
      </w:r>
      <w:r w:rsidR="00002774" w:rsidRPr="00140622">
        <w:rPr>
          <w:sz w:val="24"/>
          <w:szCs w:val="24"/>
        </w:rPr>
        <w:t xml:space="preserve"> </w:t>
      </w:r>
      <w:r w:rsidR="00DA690C" w:rsidRPr="00140622">
        <w:rPr>
          <w:sz w:val="24"/>
          <w:szCs w:val="24"/>
        </w:rPr>
        <w:t xml:space="preserve">defined as </w:t>
      </w:r>
      <w:r w:rsidR="00002774" w:rsidRPr="00140622">
        <w:rPr>
          <w:sz w:val="24"/>
          <w:szCs w:val="24"/>
        </w:rPr>
        <w:t xml:space="preserve">any untoward medical occurrence </w:t>
      </w:r>
      <w:r w:rsidR="00DA690C" w:rsidRPr="00140622">
        <w:rPr>
          <w:sz w:val="24"/>
          <w:szCs w:val="24"/>
        </w:rPr>
        <w:t>that develops during a clinical trial</w:t>
      </w:r>
      <w:r w:rsidR="00002774" w:rsidRPr="00140622">
        <w:rPr>
          <w:sz w:val="24"/>
          <w:szCs w:val="24"/>
        </w:rPr>
        <w:t xml:space="preserve">. </w:t>
      </w:r>
      <w:r w:rsidR="001334A2" w:rsidRPr="00140622">
        <w:rPr>
          <w:sz w:val="24"/>
          <w:szCs w:val="24"/>
        </w:rPr>
        <w:t xml:space="preserve"> </w:t>
      </w:r>
      <w:r w:rsidR="00DA690C" w:rsidRPr="00140622">
        <w:rPr>
          <w:sz w:val="24"/>
          <w:szCs w:val="24"/>
        </w:rPr>
        <w:t>A</w:t>
      </w:r>
      <w:r w:rsidR="00002774" w:rsidRPr="00140622">
        <w:rPr>
          <w:sz w:val="24"/>
          <w:szCs w:val="24"/>
        </w:rPr>
        <w:t xml:space="preserve">n </w:t>
      </w:r>
      <w:r w:rsidRPr="00140622">
        <w:rPr>
          <w:sz w:val="24"/>
          <w:szCs w:val="24"/>
        </w:rPr>
        <w:t>AE</w:t>
      </w:r>
      <w:r w:rsidR="00002774" w:rsidRPr="00140622">
        <w:rPr>
          <w:sz w:val="24"/>
          <w:szCs w:val="24"/>
        </w:rPr>
        <w:t xml:space="preserve"> can be any unfavorable and uninten</w:t>
      </w:r>
      <w:r w:rsidR="00DA690C" w:rsidRPr="00140622">
        <w:rPr>
          <w:sz w:val="24"/>
          <w:szCs w:val="24"/>
        </w:rPr>
        <w:t xml:space="preserve">ded sign, symptom, or disease </w:t>
      </w:r>
      <w:r w:rsidR="00002774" w:rsidRPr="00140622">
        <w:rPr>
          <w:sz w:val="24"/>
          <w:szCs w:val="24"/>
        </w:rPr>
        <w:t>temporally associated with the use of a medicinal produ</w:t>
      </w:r>
      <w:r w:rsidR="00DA690C" w:rsidRPr="00140622">
        <w:rPr>
          <w:sz w:val="24"/>
          <w:szCs w:val="24"/>
        </w:rPr>
        <w:t>ct, regardless of the relationship to the study drug.  Each AE will be recorded on a separate adverse event case report form (CRF).</w:t>
      </w:r>
      <w:r w:rsidR="003540EB" w:rsidRPr="00140622">
        <w:rPr>
          <w:sz w:val="24"/>
          <w:szCs w:val="24"/>
        </w:rPr>
        <w:t xml:space="preserve">  </w:t>
      </w:r>
      <w:r w:rsidR="00DA690C" w:rsidRPr="00140622">
        <w:rPr>
          <w:sz w:val="24"/>
          <w:szCs w:val="24"/>
        </w:rPr>
        <w:t>C</w:t>
      </w:r>
      <w:r w:rsidR="003540EB" w:rsidRPr="00140622">
        <w:rPr>
          <w:sz w:val="24"/>
          <w:szCs w:val="24"/>
        </w:rPr>
        <w:t>oncomitan</w:t>
      </w:r>
      <w:r w:rsidR="00DA690C" w:rsidRPr="00140622">
        <w:rPr>
          <w:sz w:val="24"/>
          <w:szCs w:val="24"/>
        </w:rPr>
        <w:t>t medications will be documented</w:t>
      </w:r>
      <w:r w:rsidR="003540EB" w:rsidRPr="00140622">
        <w:rPr>
          <w:sz w:val="24"/>
          <w:szCs w:val="24"/>
        </w:rPr>
        <w:t xml:space="preserve"> by generic name.  Laboratory a</w:t>
      </w:r>
      <w:r w:rsidR="00DA690C" w:rsidRPr="00140622">
        <w:rPr>
          <w:sz w:val="24"/>
          <w:szCs w:val="24"/>
        </w:rPr>
        <w:t>bnormalities will be described</w:t>
      </w:r>
      <w:r w:rsidR="003540EB" w:rsidRPr="00140622">
        <w:rPr>
          <w:sz w:val="24"/>
          <w:szCs w:val="24"/>
        </w:rPr>
        <w:t xml:space="preserve">.  Medications taken to relieve symptoms of the AE will </w:t>
      </w:r>
      <w:r w:rsidR="00DA690C" w:rsidRPr="00140622">
        <w:rPr>
          <w:sz w:val="24"/>
          <w:szCs w:val="24"/>
        </w:rPr>
        <w:t xml:space="preserve">also </w:t>
      </w:r>
      <w:r w:rsidR="003540EB" w:rsidRPr="00140622">
        <w:rPr>
          <w:sz w:val="24"/>
          <w:szCs w:val="24"/>
        </w:rPr>
        <w:t xml:space="preserve">be recorded in addition to the outcome.  </w:t>
      </w:r>
      <w:r w:rsidR="003A2916" w:rsidRPr="00140622">
        <w:rPr>
          <w:sz w:val="24"/>
          <w:szCs w:val="24"/>
        </w:rPr>
        <w:t xml:space="preserve">AEs will be reported per the National Cancer Institute Common Terminology Criteria for Adverse Events (NCI CTCAE) version 3.0.  </w:t>
      </w:r>
      <w:r w:rsidR="00002774" w:rsidRPr="00140622">
        <w:rPr>
          <w:sz w:val="24"/>
          <w:szCs w:val="24"/>
        </w:rPr>
        <w:t xml:space="preserve">The Principal Investigator will determine the severity of events </w:t>
      </w:r>
      <w:r w:rsidR="0065068C" w:rsidRPr="00140622">
        <w:rPr>
          <w:sz w:val="24"/>
          <w:szCs w:val="24"/>
        </w:rPr>
        <w:t>and grade the event as follows</w:t>
      </w:r>
      <w:r w:rsidR="00002774" w:rsidRPr="00140622">
        <w:rPr>
          <w:sz w:val="24"/>
          <w:szCs w:val="24"/>
        </w:rPr>
        <w:t>:</w:t>
      </w:r>
    </w:p>
    <w:p w:rsidR="00002774" w:rsidRPr="00140622" w:rsidRDefault="0009331F" w:rsidP="00FC1BDA">
      <w:pPr>
        <w:spacing w:before="0" w:after="0" w:line="480" w:lineRule="auto"/>
        <w:ind w:firstLine="720"/>
        <w:jc w:val="both"/>
        <w:rPr>
          <w:sz w:val="24"/>
          <w:szCs w:val="24"/>
        </w:rPr>
      </w:pPr>
      <w:r w:rsidRPr="00140622">
        <w:rPr>
          <w:b/>
          <w:sz w:val="24"/>
          <w:szCs w:val="24"/>
        </w:rPr>
        <w:t xml:space="preserve">Grade 1: </w:t>
      </w:r>
      <w:r w:rsidR="00002774" w:rsidRPr="00140622">
        <w:rPr>
          <w:sz w:val="24"/>
          <w:szCs w:val="24"/>
        </w:rPr>
        <w:t>Mild</w:t>
      </w:r>
      <w:r w:rsidR="00002774" w:rsidRPr="00140622">
        <w:rPr>
          <w:sz w:val="24"/>
          <w:szCs w:val="24"/>
        </w:rPr>
        <w:tab/>
      </w:r>
      <w:r w:rsidRPr="00140622">
        <w:rPr>
          <w:sz w:val="24"/>
          <w:szCs w:val="24"/>
        </w:rPr>
        <w:t xml:space="preserve"> AE </w:t>
      </w:r>
    </w:p>
    <w:p w:rsidR="00002774" w:rsidRPr="00140622" w:rsidRDefault="0009331F" w:rsidP="00FC1BDA">
      <w:pPr>
        <w:spacing w:before="0" w:after="0" w:line="480" w:lineRule="auto"/>
        <w:ind w:firstLine="720"/>
        <w:jc w:val="both"/>
        <w:rPr>
          <w:sz w:val="24"/>
          <w:szCs w:val="24"/>
        </w:rPr>
      </w:pPr>
      <w:r w:rsidRPr="00140622">
        <w:rPr>
          <w:b/>
          <w:sz w:val="24"/>
          <w:szCs w:val="24"/>
        </w:rPr>
        <w:t xml:space="preserve">Grade 2: </w:t>
      </w:r>
      <w:r w:rsidR="00002774" w:rsidRPr="00140622">
        <w:rPr>
          <w:sz w:val="24"/>
          <w:szCs w:val="24"/>
        </w:rPr>
        <w:t>Moderate</w:t>
      </w:r>
      <w:r w:rsidRPr="00140622">
        <w:rPr>
          <w:sz w:val="24"/>
          <w:szCs w:val="24"/>
        </w:rPr>
        <w:t xml:space="preserve"> AE</w:t>
      </w:r>
      <w:r w:rsidR="00002774" w:rsidRPr="00140622">
        <w:rPr>
          <w:sz w:val="24"/>
          <w:szCs w:val="24"/>
        </w:rPr>
        <w:t xml:space="preserve"> </w:t>
      </w:r>
    </w:p>
    <w:p w:rsidR="0009331F" w:rsidRPr="00140622" w:rsidRDefault="0009331F" w:rsidP="00FC1BDA">
      <w:pPr>
        <w:spacing w:before="0" w:after="0" w:line="480" w:lineRule="auto"/>
        <w:ind w:firstLine="720"/>
        <w:jc w:val="both"/>
        <w:rPr>
          <w:sz w:val="24"/>
          <w:szCs w:val="24"/>
        </w:rPr>
      </w:pPr>
      <w:r w:rsidRPr="00140622">
        <w:rPr>
          <w:b/>
          <w:sz w:val="24"/>
          <w:szCs w:val="24"/>
        </w:rPr>
        <w:lastRenderedPageBreak/>
        <w:t xml:space="preserve">Grade 3: </w:t>
      </w:r>
      <w:r w:rsidR="00002774" w:rsidRPr="00140622">
        <w:rPr>
          <w:sz w:val="24"/>
          <w:szCs w:val="24"/>
        </w:rPr>
        <w:t>Severe</w:t>
      </w:r>
      <w:r w:rsidRPr="00140622">
        <w:rPr>
          <w:sz w:val="24"/>
          <w:szCs w:val="24"/>
        </w:rPr>
        <w:t xml:space="preserve"> AE</w:t>
      </w:r>
    </w:p>
    <w:p w:rsidR="00DA690C" w:rsidRPr="00140622" w:rsidRDefault="0009331F" w:rsidP="00FC1BDA">
      <w:pPr>
        <w:spacing w:before="0" w:after="0" w:line="480" w:lineRule="auto"/>
        <w:ind w:firstLine="720"/>
        <w:jc w:val="both"/>
        <w:rPr>
          <w:sz w:val="24"/>
          <w:szCs w:val="24"/>
        </w:rPr>
      </w:pPr>
      <w:r w:rsidRPr="00140622">
        <w:rPr>
          <w:b/>
          <w:sz w:val="24"/>
          <w:szCs w:val="24"/>
        </w:rPr>
        <w:t>Grade 4</w:t>
      </w:r>
      <w:r w:rsidR="00DA690C" w:rsidRPr="00140622">
        <w:rPr>
          <w:b/>
          <w:sz w:val="24"/>
          <w:szCs w:val="24"/>
        </w:rPr>
        <w:t xml:space="preserve">: </w:t>
      </w:r>
      <w:r w:rsidR="00DA690C" w:rsidRPr="00140622">
        <w:rPr>
          <w:sz w:val="24"/>
          <w:szCs w:val="24"/>
        </w:rPr>
        <w:t>L</w:t>
      </w:r>
      <w:r w:rsidRPr="00140622">
        <w:rPr>
          <w:sz w:val="24"/>
          <w:szCs w:val="24"/>
        </w:rPr>
        <w:t xml:space="preserve">ife-threatening </w:t>
      </w:r>
      <w:r w:rsidR="00AB2D65" w:rsidRPr="00140622">
        <w:rPr>
          <w:sz w:val="24"/>
          <w:szCs w:val="24"/>
        </w:rPr>
        <w:t xml:space="preserve">or disabling </w:t>
      </w:r>
      <w:r w:rsidRPr="00140622">
        <w:rPr>
          <w:sz w:val="24"/>
          <w:szCs w:val="24"/>
        </w:rPr>
        <w:t>AE</w:t>
      </w:r>
    </w:p>
    <w:p w:rsidR="004063DD" w:rsidRPr="00140622" w:rsidRDefault="00AB2D65" w:rsidP="00FC1BDA">
      <w:pPr>
        <w:spacing w:before="0" w:after="0" w:line="480" w:lineRule="auto"/>
        <w:ind w:firstLine="720"/>
        <w:jc w:val="both"/>
        <w:rPr>
          <w:sz w:val="24"/>
          <w:szCs w:val="24"/>
        </w:rPr>
      </w:pPr>
      <w:r w:rsidRPr="00140622">
        <w:rPr>
          <w:b/>
          <w:sz w:val="24"/>
          <w:szCs w:val="24"/>
        </w:rPr>
        <w:t>Grade 5</w:t>
      </w:r>
      <w:r w:rsidR="00DA690C" w:rsidRPr="00140622">
        <w:rPr>
          <w:b/>
          <w:sz w:val="24"/>
          <w:szCs w:val="24"/>
        </w:rPr>
        <w:t xml:space="preserve">: </w:t>
      </w:r>
      <w:r w:rsidR="00DA690C" w:rsidRPr="00140622">
        <w:rPr>
          <w:sz w:val="24"/>
          <w:szCs w:val="24"/>
        </w:rPr>
        <w:t>D</w:t>
      </w:r>
      <w:r w:rsidR="003A2916" w:rsidRPr="00140622">
        <w:rPr>
          <w:sz w:val="24"/>
          <w:szCs w:val="24"/>
        </w:rPr>
        <w:t>eath related to AE</w:t>
      </w:r>
    </w:p>
    <w:p w:rsidR="00B36C12" w:rsidRPr="00140622" w:rsidRDefault="00B36C12" w:rsidP="00FC1BDA">
      <w:pPr>
        <w:spacing w:before="0" w:after="0" w:line="480" w:lineRule="auto"/>
        <w:jc w:val="both"/>
        <w:rPr>
          <w:b/>
          <w:sz w:val="24"/>
          <w:szCs w:val="24"/>
        </w:rPr>
      </w:pPr>
    </w:p>
    <w:p w:rsidR="00002774" w:rsidRPr="00140622" w:rsidRDefault="00002774" w:rsidP="00FC1BDA">
      <w:pPr>
        <w:spacing w:before="0" w:after="0" w:line="480" w:lineRule="auto"/>
        <w:jc w:val="both"/>
        <w:rPr>
          <w:b/>
          <w:sz w:val="24"/>
          <w:szCs w:val="24"/>
        </w:rPr>
      </w:pPr>
      <w:r w:rsidRPr="00140622">
        <w:rPr>
          <w:b/>
          <w:sz w:val="24"/>
          <w:szCs w:val="24"/>
        </w:rPr>
        <w:t>S</w:t>
      </w:r>
      <w:r w:rsidR="003540EB" w:rsidRPr="00140622">
        <w:rPr>
          <w:b/>
          <w:sz w:val="24"/>
          <w:szCs w:val="24"/>
        </w:rPr>
        <w:t>erious Adverse Events</w:t>
      </w:r>
    </w:p>
    <w:p w:rsidR="00002774" w:rsidRPr="00140622" w:rsidRDefault="00DA690C" w:rsidP="00FC1BDA">
      <w:pPr>
        <w:spacing w:before="0" w:after="0" w:line="480" w:lineRule="auto"/>
        <w:ind w:firstLine="360"/>
        <w:jc w:val="both"/>
        <w:rPr>
          <w:sz w:val="24"/>
          <w:szCs w:val="24"/>
        </w:rPr>
      </w:pPr>
      <w:r w:rsidRPr="00140622">
        <w:rPr>
          <w:sz w:val="24"/>
          <w:szCs w:val="24"/>
        </w:rPr>
        <w:t>All serious AEs (SAEs) will be followed until resolution and/or until a cause is identified.  SAEs include the following</w:t>
      </w:r>
      <w:r w:rsidR="00002774" w:rsidRPr="00140622">
        <w:rPr>
          <w:sz w:val="24"/>
          <w:szCs w:val="24"/>
        </w:rPr>
        <w:t xml:space="preserve">: </w:t>
      </w:r>
    </w:p>
    <w:p w:rsidR="00002774" w:rsidRPr="00140622" w:rsidRDefault="00002774" w:rsidP="00FC1BDA">
      <w:pPr>
        <w:numPr>
          <w:ilvl w:val="0"/>
          <w:numId w:val="14"/>
        </w:numPr>
        <w:spacing w:before="0" w:after="0" w:line="480" w:lineRule="auto"/>
        <w:jc w:val="both"/>
        <w:rPr>
          <w:sz w:val="24"/>
          <w:szCs w:val="24"/>
        </w:rPr>
      </w:pPr>
      <w:r w:rsidRPr="00140622">
        <w:rPr>
          <w:sz w:val="24"/>
          <w:szCs w:val="24"/>
        </w:rPr>
        <w:t xml:space="preserve">Death </w:t>
      </w:r>
    </w:p>
    <w:p w:rsidR="00002774" w:rsidRPr="00140622" w:rsidRDefault="00002774" w:rsidP="00FC1BDA">
      <w:pPr>
        <w:numPr>
          <w:ilvl w:val="0"/>
          <w:numId w:val="14"/>
        </w:numPr>
        <w:spacing w:before="0" w:after="0" w:line="480" w:lineRule="auto"/>
        <w:jc w:val="both"/>
        <w:rPr>
          <w:sz w:val="24"/>
          <w:szCs w:val="24"/>
        </w:rPr>
      </w:pPr>
      <w:r w:rsidRPr="00140622">
        <w:rPr>
          <w:sz w:val="24"/>
          <w:szCs w:val="24"/>
        </w:rPr>
        <w:t xml:space="preserve">A life-threatening adverse drug experience </w:t>
      </w:r>
    </w:p>
    <w:p w:rsidR="00002774" w:rsidRPr="00140622" w:rsidRDefault="00002774" w:rsidP="00FC1BDA">
      <w:pPr>
        <w:numPr>
          <w:ilvl w:val="0"/>
          <w:numId w:val="14"/>
        </w:numPr>
        <w:spacing w:before="0" w:after="0" w:line="480" w:lineRule="auto"/>
        <w:jc w:val="both"/>
        <w:rPr>
          <w:sz w:val="24"/>
          <w:szCs w:val="24"/>
        </w:rPr>
      </w:pPr>
      <w:r w:rsidRPr="00140622">
        <w:rPr>
          <w:sz w:val="24"/>
          <w:szCs w:val="24"/>
        </w:rPr>
        <w:t>Inpatient hospitalization or prolongation of an existing hospitalization</w:t>
      </w:r>
    </w:p>
    <w:p w:rsidR="00002774" w:rsidRPr="00140622" w:rsidRDefault="00002774" w:rsidP="00FC1BDA">
      <w:pPr>
        <w:numPr>
          <w:ilvl w:val="0"/>
          <w:numId w:val="14"/>
        </w:numPr>
        <w:spacing w:before="0" w:after="0" w:line="480" w:lineRule="auto"/>
        <w:jc w:val="both"/>
        <w:rPr>
          <w:sz w:val="24"/>
          <w:szCs w:val="24"/>
        </w:rPr>
      </w:pPr>
      <w:r w:rsidRPr="00140622">
        <w:rPr>
          <w:sz w:val="24"/>
          <w:szCs w:val="24"/>
        </w:rPr>
        <w:t xml:space="preserve">A persistent or significant disability/incapacity (defined as a substantial disruption of a person’s ability to conduct normal life functions) </w:t>
      </w:r>
    </w:p>
    <w:p w:rsidR="00002774" w:rsidRPr="00140622" w:rsidRDefault="00002774" w:rsidP="00FC1BDA">
      <w:pPr>
        <w:numPr>
          <w:ilvl w:val="0"/>
          <w:numId w:val="14"/>
        </w:numPr>
        <w:spacing w:before="0" w:after="0" w:line="480" w:lineRule="auto"/>
        <w:jc w:val="both"/>
        <w:rPr>
          <w:sz w:val="24"/>
          <w:szCs w:val="24"/>
        </w:rPr>
      </w:pPr>
      <w:r w:rsidRPr="00140622">
        <w:rPr>
          <w:sz w:val="24"/>
          <w:szCs w:val="24"/>
        </w:rPr>
        <w:t>A congenital anomaly/birth defect</w:t>
      </w:r>
    </w:p>
    <w:p w:rsidR="00002774" w:rsidRPr="00140622" w:rsidRDefault="00002774" w:rsidP="00FC1BDA">
      <w:pPr>
        <w:numPr>
          <w:ilvl w:val="0"/>
          <w:numId w:val="14"/>
        </w:numPr>
        <w:spacing w:before="0" w:after="0" w:line="480" w:lineRule="auto"/>
        <w:jc w:val="both"/>
        <w:rPr>
          <w:sz w:val="24"/>
          <w:szCs w:val="24"/>
        </w:rPr>
      </w:pPr>
      <w:r w:rsidRPr="00140622">
        <w:rPr>
          <w:sz w:val="24"/>
          <w:szCs w:val="24"/>
        </w:rPr>
        <w:t>An important medical event that (while it may not result in death, be life-threatening or require hospitalization) may jeopardize the patient and require medical or surgical intervention to prevent one of the outcomes listed in this definition</w:t>
      </w:r>
    </w:p>
    <w:p w:rsidR="009E2C5A" w:rsidRPr="00140622" w:rsidRDefault="009E2C5A" w:rsidP="00FC1BDA">
      <w:pPr>
        <w:spacing w:before="0" w:after="0" w:line="480" w:lineRule="auto"/>
        <w:jc w:val="both"/>
        <w:rPr>
          <w:b/>
          <w:sz w:val="24"/>
          <w:szCs w:val="24"/>
        </w:rPr>
      </w:pPr>
    </w:p>
    <w:p w:rsidR="009E2C5A" w:rsidRPr="00140622" w:rsidRDefault="009E2C5A" w:rsidP="00FC1BDA">
      <w:pPr>
        <w:spacing w:before="0" w:after="0" w:line="480" w:lineRule="auto"/>
        <w:jc w:val="both"/>
        <w:rPr>
          <w:b/>
          <w:sz w:val="24"/>
          <w:szCs w:val="24"/>
        </w:rPr>
      </w:pPr>
      <w:r w:rsidRPr="00140622">
        <w:rPr>
          <w:b/>
          <w:sz w:val="24"/>
          <w:szCs w:val="24"/>
        </w:rPr>
        <w:t>Reporting Serious Adverse Events</w:t>
      </w:r>
    </w:p>
    <w:p w:rsidR="009E2C5A" w:rsidRPr="00140622" w:rsidRDefault="009E2C5A" w:rsidP="00FC1BDA">
      <w:pPr>
        <w:spacing w:before="0" w:after="0" w:line="480" w:lineRule="auto"/>
        <w:ind w:firstLine="720"/>
        <w:jc w:val="both"/>
        <w:rPr>
          <w:sz w:val="24"/>
          <w:szCs w:val="24"/>
        </w:rPr>
      </w:pPr>
      <w:r w:rsidRPr="00140622">
        <w:rPr>
          <w:sz w:val="24"/>
          <w:szCs w:val="24"/>
        </w:rPr>
        <w:t>Any SAE occurring during the cour</w:t>
      </w:r>
      <w:r w:rsidR="005F2B00">
        <w:rPr>
          <w:sz w:val="24"/>
          <w:szCs w:val="24"/>
        </w:rPr>
        <w:t xml:space="preserve">se of the study, </w:t>
      </w:r>
      <w:r w:rsidRPr="00140622">
        <w:rPr>
          <w:sz w:val="24"/>
          <w:szCs w:val="24"/>
        </w:rPr>
        <w:t>considered drug related, will be reported by fax within 24 hours to the sponsor.  In addition, the</w:t>
      </w:r>
      <w:r w:rsidR="00F33328">
        <w:rPr>
          <w:sz w:val="24"/>
          <w:szCs w:val="24"/>
        </w:rPr>
        <w:t>se</w:t>
      </w:r>
      <w:r w:rsidRPr="00140622">
        <w:rPr>
          <w:sz w:val="24"/>
          <w:szCs w:val="24"/>
        </w:rPr>
        <w:t xml:space="preserve"> SAE</w:t>
      </w:r>
      <w:r w:rsidR="00F33328">
        <w:rPr>
          <w:sz w:val="24"/>
          <w:szCs w:val="24"/>
        </w:rPr>
        <w:t>s</w:t>
      </w:r>
      <w:r w:rsidRPr="00140622">
        <w:rPr>
          <w:sz w:val="24"/>
          <w:szCs w:val="24"/>
        </w:rPr>
        <w:t xml:space="preserve"> </w:t>
      </w:r>
      <w:r w:rsidR="00D2096F">
        <w:rPr>
          <w:sz w:val="24"/>
          <w:szCs w:val="24"/>
        </w:rPr>
        <w:t xml:space="preserve">will be </w:t>
      </w:r>
      <w:r w:rsidRPr="00140622">
        <w:rPr>
          <w:sz w:val="24"/>
          <w:szCs w:val="24"/>
        </w:rPr>
        <w:t>reported to the Duke Institutional Review Board (</w:t>
      </w:r>
      <w:r w:rsidR="00F33328">
        <w:rPr>
          <w:sz w:val="24"/>
          <w:szCs w:val="24"/>
        </w:rPr>
        <w:t xml:space="preserve">IRB) within a timely manner </w:t>
      </w:r>
      <w:r w:rsidRPr="00140622">
        <w:rPr>
          <w:sz w:val="24"/>
          <w:szCs w:val="24"/>
        </w:rPr>
        <w:t xml:space="preserve">according to the IRB requirements.  </w:t>
      </w:r>
      <w:r w:rsidR="00F33328">
        <w:rPr>
          <w:sz w:val="24"/>
          <w:szCs w:val="24"/>
        </w:rPr>
        <w:t xml:space="preserve">Study drug related </w:t>
      </w:r>
      <w:r w:rsidRPr="00140622">
        <w:rPr>
          <w:sz w:val="24"/>
          <w:szCs w:val="24"/>
        </w:rPr>
        <w:t xml:space="preserve">SAEs will also be monitored </w:t>
      </w:r>
      <w:r w:rsidR="00FB60A8">
        <w:rPr>
          <w:sz w:val="24"/>
          <w:szCs w:val="24"/>
        </w:rPr>
        <w:t>by the Data Safety Monitor (DSM) throughout the study</w:t>
      </w:r>
      <w:r w:rsidR="00F33328">
        <w:rPr>
          <w:sz w:val="24"/>
          <w:szCs w:val="24"/>
        </w:rPr>
        <w:t xml:space="preserve"> </w:t>
      </w:r>
      <w:r w:rsidR="00F33328">
        <w:rPr>
          <w:sz w:val="24"/>
          <w:szCs w:val="24"/>
        </w:rPr>
        <w:lastRenderedPageBreak/>
        <w:t xml:space="preserve">and reported to </w:t>
      </w:r>
      <w:proofErr w:type="spellStart"/>
      <w:r w:rsidR="00F33328">
        <w:rPr>
          <w:sz w:val="24"/>
          <w:szCs w:val="24"/>
        </w:rPr>
        <w:t>MedWatch</w:t>
      </w:r>
      <w:proofErr w:type="spellEnd"/>
      <w:r w:rsidR="00FB60A8">
        <w:rPr>
          <w:sz w:val="24"/>
          <w:szCs w:val="24"/>
        </w:rPr>
        <w:t>.  The DSM</w:t>
      </w:r>
      <w:r w:rsidRPr="00140622">
        <w:rPr>
          <w:sz w:val="24"/>
          <w:szCs w:val="24"/>
        </w:rPr>
        <w:t xml:space="preserve"> may at any point temporarily stop the study while </w:t>
      </w:r>
      <w:r w:rsidR="00294BCA">
        <w:rPr>
          <w:sz w:val="24"/>
          <w:szCs w:val="24"/>
        </w:rPr>
        <w:t xml:space="preserve">he/she </w:t>
      </w:r>
      <w:r w:rsidRPr="00140622">
        <w:rPr>
          <w:sz w:val="24"/>
          <w:szCs w:val="24"/>
        </w:rPr>
        <w:t>evaluates the impact of the SAE(s).</w:t>
      </w:r>
      <w:r w:rsidR="00312E1C">
        <w:rPr>
          <w:sz w:val="24"/>
          <w:szCs w:val="24"/>
        </w:rPr>
        <w:t xml:space="preserve">  </w:t>
      </w:r>
    </w:p>
    <w:p w:rsidR="008F640F" w:rsidRDefault="008F640F" w:rsidP="00FC1BDA">
      <w:pPr>
        <w:spacing w:before="0" w:after="0" w:line="480" w:lineRule="auto"/>
        <w:jc w:val="both"/>
        <w:rPr>
          <w:b/>
          <w:sz w:val="24"/>
          <w:szCs w:val="24"/>
        </w:rPr>
      </w:pPr>
    </w:p>
    <w:p w:rsidR="009E462F" w:rsidRPr="00140622" w:rsidRDefault="009E462F" w:rsidP="00FC1BDA">
      <w:pPr>
        <w:spacing w:before="0" w:after="0" w:line="480" w:lineRule="auto"/>
        <w:jc w:val="both"/>
        <w:rPr>
          <w:b/>
          <w:sz w:val="24"/>
          <w:szCs w:val="24"/>
        </w:rPr>
      </w:pPr>
      <w:r w:rsidRPr="00140622">
        <w:rPr>
          <w:b/>
          <w:sz w:val="24"/>
          <w:szCs w:val="24"/>
        </w:rPr>
        <w:t>DISCONTINUATION FROM STUDY</w:t>
      </w:r>
    </w:p>
    <w:p w:rsidR="009E462F" w:rsidRPr="00140622" w:rsidRDefault="009E462F" w:rsidP="00FC1BDA">
      <w:pPr>
        <w:spacing w:before="0" w:after="0" w:line="480" w:lineRule="auto"/>
        <w:jc w:val="both"/>
        <w:rPr>
          <w:b/>
          <w:sz w:val="24"/>
          <w:szCs w:val="24"/>
        </w:rPr>
      </w:pPr>
      <w:r w:rsidRPr="00140622">
        <w:rPr>
          <w:sz w:val="24"/>
          <w:szCs w:val="24"/>
        </w:rPr>
        <w:t>The following occurrences shall result in the discontinuation of a patient from the clinical study:</w:t>
      </w:r>
    </w:p>
    <w:p w:rsidR="009E462F" w:rsidRPr="00140622" w:rsidRDefault="009E462F" w:rsidP="00FC1BDA">
      <w:pPr>
        <w:numPr>
          <w:ilvl w:val="0"/>
          <w:numId w:val="6"/>
        </w:numPr>
        <w:spacing w:before="0" w:after="0" w:line="480" w:lineRule="auto"/>
        <w:jc w:val="both"/>
        <w:rPr>
          <w:sz w:val="24"/>
          <w:szCs w:val="24"/>
        </w:rPr>
      </w:pPr>
      <w:r w:rsidRPr="00140622">
        <w:rPr>
          <w:sz w:val="24"/>
          <w:szCs w:val="24"/>
        </w:rPr>
        <w:t xml:space="preserve">Patients who develop a Grade 4 </w:t>
      </w:r>
      <w:r w:rsidR="005C4681" w:rsidRPr="00140622">
        <w:rPr>
          <w:sz w:val="24"/>
          <w:szCs w:val="24"/>
        </w:rPr>
        <w:t xml:space="preserve">or Grade 5 SAEs </w:t>
      </w:r>
      <w:r w:rsidRPr="00140622">
        <w:rPr>
          <w:sz w:val="24"/>
          <w:szCs w:val="24"/>
        </w:rPr>
        <w:t>considered possibly, probably, or definitel</w:t>
      </w:r>
      <w:r w:rsidR="005C4681" w:rsidRPr="00140622">
        <w:rPr>
          <w:sz w:val="24"/>
          <w:szCs w:val="24"/>
        </w:rPr>
        <w:t>y to be r</w:t>
      </w:r>
      <w:r w:rsidRPr="00140622">
        <w:rPr>
          <w:sz w:val="24"/>
          <w:szCs w:val="24"/>
        </w:rPr>
        <w:t xml:space="preserve">elated to study drug. </w:t>
      </w:r>
    </w:p>
    <w:p w:rsidR="009E462F" w:rsidRPr="00140622" w:rsidRDefault="009E462F" w:rsidP="00FC1BDA">
      <w:pPr>
        <w:numPr>
          <w:ilvl w:val="0"/>
          <w:numId w:val="6"/>
        </w:numPr>
        <w:spacing w:before="0" w:after="0" w:line="480" w:lineRule="auto"/>
        <w:jc w:val="both"/>
        <w:rPr>
          <w:sz w:val="24"/>
          <w:szCs w:val="24"/>
        </w:rPr>
      </w:pPr>
      <w:r w:rsidRPr="00140622">
        <w:rPr>
          <w:sz w:val="24"/>
          <w:szCs w:val="24"/>
        </w:rPr>
        <w:t>Patients who decide not to participate further in the clinical study.</w:t>
      </w:r>
    </w:p>
    <w:p w:rsidR="009E462F" w:rsidRPr="00140622" w:rsidRDefault="009E462F" w:rsidP="00FC1BDA">
      <w:pPr>
        <w:numPr>
          <w:ilvl w:val="0"/>
          <w:numId w:val="6"/>
        </w:numPr>
        <w:spacing w:before="0" w:after="0" w:line="480" w:lineRule="auto"/>
        <w:jc w:val="both"/>
        <w:rPr>
          <w:sz w:val="24"/>
          <w:szCs w:val="24"/>
        </w:rPr>
      </w:pPr>
      <w:r w:rsidRPr="00140622">
        <w:rPr>
          <w:sz w:val="24"/>
          <w:szCs w:val="24"/>
        </w:rPr>
        <w:t xml:space="preserve">If, in the investigator’s </w:t>
      </w:r>
      <w:r w:rsidR="00D32FE4" w:rsidRPr="00140622">
        <w:rPr>
          <w:sz w:val="24"/>
          <w:szCs w:val="24"/>
        </w:rPr>
        <w:t xml:space="preserve">or clinician’s </w:t>
      </w:r>
      <w:r w:rsidRPr="00140622">
        <w:rPr>
          <w:sz w:val="24"/>
          <w:szCs w:val="24"/>
        </w:rPr>
        <w:t>opinion, it is in the best interest of the patient to discontinue participation in the study.</w:t>
      </w:r>
    </w:p>
    <w:p w:rsidR="009E462F" w:rsidRPr="00140622" w:rsidRDefault="009E462F" w:rsidP="00FC1BDA">
      <w:pPr>
        <w:numPr>
          <w:ilvl w:val="0"/>
          <w:numId w:val="6"/>
        </w:numPr>
        <w:spacing w:before="0" w:after="0" w:line="480" w:lineRule="auto"/>
        <w:jc w:val="both"/>
        <w:rPr>
          <w:sz w:val="24"/>
          <w:szCs w:val="24"/>
        </w:rPr>
      </w:pPr>
      <w:r w:rsidRPr="00140622">
        <w:rPr>
          <w:sz w:val="24"/>
          <w:szCs w:val="24"/>
        </w:rPr>
        <w:t xml:space="preserve">Patients in the active surveillance/preemptive therapy arm who are started on systemic antifungal therapy in the absence of a positive BDG test or </w:t>
      </w:r>
      <w:r w:rsidR="009E2C5A" w:rsidRPr="00140622">
        <w:rPr>
          <w:sz w:val="24"/>
          <w:szCs w:val="24"/>
        </w:rPr>
        <w:t xml:space="preserve">without </w:t>
      </w:r>
      <w:r w:rsidRPr="00140622">
        <w:rPr>
          <w:sz w:val="24"/>
          <w:szCs w:val="24"/>
        </w:rPr>
        <w:t>evidence a new proven or probable IFI by EORTC/MSG criteria.</w:t>
      </w:r>
    </w:p>
    <w:p w:rsidR="009E462F" w:rsidRPr="00140622" w:rsidRDefault="009E462F" w:rsidP="00FC1BDA">
      <w:pPr>
        <w:spacing w:before="0" w:after="0" w:line="480" w:lineRule="auto"/>
        <w:ind w:left="360"/>
        <w:jc w:val="both"/>
        <w:rPr>
          <w:sz w:val="24"/>
          <w:szCs w:val="24"/>
        </w:rPr>
      </w:pPr>
    </w:p>
    <w:p w:rsidR="009E462F" w:rsidRPr="00140622" w:rsidRDefault="009E462F" w:rsidP="00FC1BDA">
      <w:pPr>
        <w:spacing w:before="0" w:after="0" w:line="480" w:lineRule="auto"/>
        <w:jc w:val="both"/>
        <w:rPr>
          <w:sz w:val="24"/>
          <w:szCs w:val="24"/>
        </w:rPr>
      </w:pPr>
      <w:r w:rsidRPr="00140622">
        <w:rPr>
          <w:sz w:val="24"/>
          <w:szCs w:val="24"/>
        </w:rPr>
        <w:t>All patients who withdraw or discontinue due to reasons other than withdrawal of consent will be followed for the endpoints of mortality at SICU and hospital discharge.</w:t>
      </w:r>
    </w:p>
    <w:p w:rsidR="008F4332" w:rsidRPr="00140622" w:rsidRDefault="008F4332" w:rsidP="00FC1BDA">
      <w:pPr>
        <w:spacing w:before="0" w:after="0" w:line="480" w:lineRule="auto"/>
        <w:jc w:val="both"/>
        <w:rPr>
          <w:b/>
          <w:sz w:val="24"/>
          <w:szCs w:val="24"/>
        </w:rPr>
      </w:pPr>
    </w:p>
    <w:p w:rsidR="00002774" w:rsidRPr="00140622" w:rsidRDefault="005D5620" w:rsidP="00FC1BDA">
      <w:pPr>
        <w:spacing w:before="0" w:after="0" w:line="480" w:lineRule="auto"/>
        <w:jc w:val="both"/>
        <w:rPr>
          <w:b/>
          <w:sz w:val="24"/>
          <w:szCs w:val="24"/>
        </w:rPr>
      </w:pPr>
      <w:r>
        <w:rPr>
          <w:b/>
          <w:sz w:val="24"/>
          <w:szCs w:val="24"/>
        </w:rPr>
        <w:t>DATA SAFETY MONITOR</w:t>
      </w:r>
    </w:p>
    <w:p w:rsidR="008F4332" w:rsidRPr="00140622" w:rsidRDefault="005D5620" w:rsidP="00FC1BDA">
      <w:pPr>
        <w:spacing w:before="0" w:after="0" w:line="480" w:lineRule="auto"/>
        <w:ind w:firstLine="720"/>
        <w:jc w:val="both"/>
        <w:rPr>
          <w:sz w:val="24"/>
          <w:szCs w:val="24"/>
        </w:rPr>
      </w:pPr>
      <w:r>
        <w:rPr>
          <w:sz w:val="24"/>
          <w:szCs w:val="24"/>
        </w:rPr>
        <w:t>A DSM</w:t>
      </w:r>
      <w:r w:rsidR="00002774" w:rsidRPr="00140622">
        <w:rPr>
          <w:sz w:val="24"/>
          <w:szCs w:val="24"/>
        </w:rPr>
        <w:t xml:space="preserve"> consisting of </w:t>
      </w:r>
      <w:r w:rsidR="007F56DB">
        <w:rPr>
          <w:sz w:val="24"/>
          <w:szCs w:val="24"/>
        </w:rPr>
        <w:t xml:space="preserve">an Infectious Diseases </w:t>
      </w:r>
      <w:r w:rsidR="003B79DA" w:rsidRPr="00140622">
        <w:rPr>
          <w:sz w:val="24"/>
          <w:szCs w:val="24"/>
        </w:rPr>
        <w:t>p</w:t>
      </w:r>
      <w:r w:rsidR="00A134F8" w:rsidRPr="00140622">
        <w:rPr>
          <w:sz w:val="24"/>
          <w:szCs w:val="24"/>
        </w:rPr>
        <w:t>hysician</w:t>
      </w:r>
      <w:r w:rsidR="00002774" w:rsidRPr="00140622">
        <w:rPr>
          <w:sz w:val="24"/>
          <w:szCs w:val="24"/>
        </w:rPr>
        <w:t xml:space="preserve"> will review the study</w:t>
      </w:r>
      <w:r w:rsidR="00A134F8" w:rsidRPr="00140622">
        <w:rPr>
          <w:sz w:val="24"/>
          <w:szCs w:val="24"/>
        </w:rPr>
        <w:t xml:space="preserve"> every 4 months</w:t>
      </w:r>
      <w:r>
        <w:rPr>
          <w:sz w:val="24"/>
          <w:szCs w:val="24"/>
        </w:rPr>
        <w:t>.  The DSM</w:t>
      </w:r>
      <w:r w:rsidR="00002774" w:rsidRPr="00140622">
        <w:rPr>
          <w:sz w:val="24"/>
          <w:szCs w:val="24"/>
        </w:rPr>
        <w:t xml:space="preserve"> can recommend early terminations to assure the safety of study participants or for efficacy in order to li</w:t>
      </w:r>
      <w:r w:rsidR="00CD30F5" w:rsidRPr="00140622">
        <w:rPr>
          <w:sz w:val="24"/>
          <w:szCs w:val="24"/>
        </w:rPr>
        <w:t>mit the number of patients monitored by a strategy</w:t>
      </w:r>
      <w:r w:rsidR="00A134F8" w:rsidRPr="00140622">
        <w:rPr>
          <w:sz w:val="24"/>
          <w:szCs w:val="24"/>
        </w:rPr>
        <w:t xml:space="preserve"> that is less effective.  </w:t>
      </w:r>
      <w:r w:rsidR="0040013B">
        <w:rPr>
          <w:sz w:val="24"/>
          <w:szCs w:val="24"/>
        </w:rPr>
        <w:t>However, specific statistical sto</w:t>
      </w:r>
      <w:r w:rsidR="006931A4">
        <w:rPr>
          <w:sz w:val="24"/>
          <w:szCs w:val="24"/>
        </w:rPr>
        <w:t>pping rules will not be applied</w:t>
      </w:r>
      <w:r>
        <w:rPr>
          <w:sz w:val="24"/>
          <w:szCs w:val="24"/>
        </w:rPr>
        <w:t>.</w:t>
      </w:r>
      <w:r w:rsidR="00ED414F" w:rsidRPr="00140622">
        <w:rPr>
          <w:sz w:val="24"/>
          <w:szCs w:val="24"/>
        </w:rPr>
        <w:t xml:space="preserve">  The D</w:t>
      </w:r>
      <w:r>
        <w:rPr>
          <w:sz w:val="24"/>
          <w:szCs w:val="24"/>
        </w:rPr>
        <w:t>SM</w:t>
      </w:r>
      <w:r w:rsidR="00ED414F" w:rsidRPr="00140622">
        <w:rPr>
          <w:sz w:val="24"/>
          <w:szCs w:val="24"/>
        </w:rPr>
        <w:t xml:space="preserve"> will make recommendations regarding</w:t>
      </w:r>
      <w:r w:rsidR="008C4887" w:rsidRPr="00140622">
        <w:rPr>
          <w:sz w:val="24"/>
          <w:szCs w:val="24"/>
        </w:rPr>
        <w:t xml:space="preserve"> adaptations to the study </w:t>
      </w:r>
      <w:r w:rsidR="0040013B">
        <w:rPr>
          <w:sz w:val="24"/>
          <w:szCs w:val="24"/>
        </w:rPr>
        <w:t xml:space="preserve">if needed </w:t>
      </w:r>
      <w:r w:rsidR="00ED414F" w:rsidRPr="00140622">
        <w:rPr>
          <w:sz w:val="24"/>
          <w:szCs w:val="24"/>
        </w:rPr>
        <w:t>after the review of interim analysis results</w:t>
      </w:r>
      <w:r w:rsidR="0040013B">
        <w:rPr>
          <w:sz w:val="24"/>
          <w:szCs w:val="24"/>
        </w:rPr>
        <w:t>.</w:t>
      </w:r>
    </w:p>
    <w:p w:rsidR="00893F83" w:rsidRPr="00140622" w:rsidRDefault="00893F83" w:rsidP="00FC1BDA">
      <w:pPr>
        <w:spacing w:before="0" w:after="0" w:line="480" w:lineRule="auto"/>
        <w:jc w:val="both"/>
        <w:rPr>
          <w:b/>
          <w:sz w:val="24"/>
          <w:szCs w:val="24"/>
        </w:rPr>
      </w:pPr>
    </w:p>
    <w:p w:rsidR="003540EB" w:rsidRPr="00140622" w:rsidRDefault="003540EB" w:rsidP="00FC1BDA">
      <w:pPr>
        <w:spacing w:before="0" w:after="0" w:line="480" w:lineRule="auto"/>
        <w:jc w:val="both"/>
        <w:rPr>
          <w:b/>
          <w:sz w:val="24"/>
          <w:szCs w:val="24"/>
        </w:rPr>
      </w:pPr>
      <w:r w:rsidRPr="00140622">
        <w:rPr>
          <w:b/>
          <w:sz w:val="24"/>
          <w:szCs w:val="24"/>
        </w:rPr>
        <w:t>STATISTICAL METHODOLOGY</w:t>
      </w:r>
    </w:p>
    <w:p w:rsidR="00893F83" w:rsidRPr="00140622" w:rsidRDefault="00893F83" w:rsidP="00FC1BDA">
      <w:pPr>
        <w:spacing w:before="120" w:after="120" w:line="480" w:lineRule="auto"/>
        <w:rPr>
          <w:b/>
          <w:bCs/>
          <w:iCs/>
          <w:sz w:val="24"/>
          <w:szCs w:val="24"/>
        </w:rPr>
      </w:pPr>
      <w:r w:rsidRPr="00140622">
        <w:rPr>
          <w:b/>
          <w:bCs/>
          <w:iCs/>
          <w:sz w:val="24"/>
          <w:szCs w:val="24"/>
        </w:rPr>
        <w:t>Sample Size</w:t>
      </w:r>
    </w:p>
    <w:p w:rsidR="003540EB" w:rsidRPr="00140622" w:rsidRDefault="003540EB" w:rsidP="00FC1BDA">
      <w:pPr>
        <w:spacing w:before="120" w:after="120" w:line="480" w:lineRule="auto"/>
        <w:ind w:firstLine="720"/>
        <w:jc w:val="both"/>
        <w:rPr>
          <w:bCs/>
          <w:iCs/>
          <w:sz w:val="24"/>
          <w:szCs w:val="24"/>
        </w:rPr>
      </w:pPr>
      <w:r w:rsidRPr="00140622">
        <w:rPr>
          <w:bCs/>
          <w:iCs/>
          <w:sz w:val="24"/>
          <w:szCs w:val="24"/>
        </w:rPr>
        <w:t>Targeted enrollment</w:t>
      </w:r>
      <w:r w:rsidR="00893F83" w:rsidRPr="00140622">
        <w:rPr>
          <w:bCs/>
          <w:iCs/>
          <w:sz w:val="24"/>
          <w:szCs w:val="24"/>
        </w:rPr>
        <w:t xml:space="preserve"> is 100 adult SICU patients.  </w:t>
      </w:r>
      <w:r w:rsidRPr="00140622">
        <w:rPr>
          <w:bCs/>
          <w:iCs/>
          <w:sz w:val="24"/>
          <w:szCs w:val="24"/>
        </w:rPr>
        <w:t xml:space="preserve">This study will not be powered to show </w:t>
      </w:r>
      <w:r w:rsidR="00D156D6" w:rsidRPr="00140622">
        <w:rPr>
          <w:bCs/>
          <w:iCs/>
          <w:sz w:val="24"/>
          <w:szCs w:val="24"/>
        </w:rPr>
        <w:t xml:space="preserve">a difference in the </w:t>
      </w:r>
      <w:r w:rsidRPr="00140622">
        <w:rPr>
          <w:bCs/>
          <w:iCs/>
          <w:sz w:val="24"/>
          <w:szCs w:val="24"/>
        </w:rPr>
        <w:t xml:space="preserve">efficacy of preemptive </w:t>
      </w:r>
      <w:r w:rsidR="00D156D6" w:rsidRPr="00140622">
        <w:rPr>
          <w:bCs/>
          <w:iCs/>
          <w:sz w:val="24"/>
          <w:szCs w:val="24"/>
        </w:rPr>
        <w:t xml:space="preserve">management versus standard care </w:t>
      </w:r>
      <w:r w:rsidRPr="00140622">
        <w:rPr>
          <w:bCs/>
          <w:iCs/>
          <w:sz w:val="24"/>
          <w:szCs w:val="24"/>
        </w:rPr>
        <w:t>due to single center population constraints in addition to cost limitations.  Sample size calculations were therefore based on the number of adult patients expected to be admitted to the SICU over a 1 year period who are likely to meet inclusion criteria (n=700).  Based on prior experience, it is reasonable to expect an accrual of 100 patients in a year.  Using a 3:1 randomization strategy, 75 will be assigned to active surveillance and 25 to standard care.  We estimate that 25% of patients will develop a positive test</w:t>
      </w:r>
      <w:r w:rsidR="00706A77" w:rsidRPr="00140622">
        <w:rPr>
          <w:bCs/>
          <w:iCs/>
          <w:sz w:val="24"/>
          <w:szCs w:val="24"/>
        </w:rPr>
        <w:fldChar w:fldCharType="begin"/>
      </w:r>
      <w:r w:rsidR="0053409B">
        <w:rPr>
          <w:bCs/>
          <w:iCs/>
          <w:sz w:val="24"/>
          <w:szCs w:val="24"/>
        </w:rPr>
        <w:instrText xml:space="preserve"> ADDIN REFMGR.CITE &lt;Refman&gt;&lt;Cite&gt;&lt;Author&gt;Odabasi&lt;/Author&gt;&lt;Year&gt;2004&lt;/Year&gt;&lt;RecNum&gt;32&lt;/RecNum&gt;&lt;IDText&gt;Beta-D-glucan as a diagnostic adjunct for invasive fungal infections: validation, cutoff development, and performance in patients with acute myelogenous leukemia and myelodysplastic syndrome&lt;/IDText&gt;&lt;MDL Ref_Type="Journal"&gt;&lt;Ref_Type&gt;Journal&lt;/Ref_Type&gt;&lt;Ref_ID&gt;32&lt;/Ref_ID&gt;&lt;Title_Primary&gt;Beta-D-glucan as a diagnostic adjunct for invasive fungal infections: validation, cutoff development, and performance in patients with acute myelogenous leukemia and myelodysplastic syndrome&lt;/Title_Primary&gt;&lt;Authors_Primary&gt;Odabasi,Z.&lt;/Authors_Primary&gt;&lt;Authors_Primary&gt;Mattiuzzi,G.&lt;/Authors_Primary&gt;&lt;Authors_Primary&gt;Estey,E.&lt;/Authors_Primary&gt;&lt;Authors_Primary&gt;Kantarjian,H.&lt;/Authors_Primary&gt;&lt;Authors_Primary&gt;Saeki,F.&lt;/Authors_Primary&gt;&lt;Authors_Primary&gt;Ridge,R.J.&lt;/Authors_Primary&gt;&lt;Authors_Primary&gt;Ketchum,P.A.&lt;/Authors_Primary&gt;&lt;Authors_Primary&gt;Finkelman,M.A.&lt;/Authors_Primary&gt;&lt;Authors_Primary&gt;Rex,J.H.&lt;/Authors_Primary&gt;&lt;Authors_Primary&gt;Ostrosky-Zeichner,L.&lt;/Authors_Primary&gt;&lt;Date_Primary&gt;2004/7/15&lt;/Date_Primary&gt;&lt;Keywords&gt;Adult&lt;/Keywords&gt;&lt;Keywords&gt;beta-Glucans&lt;/Keywords&gt;&lt;Keywords&gt;blood&lt;/Keywords&gt;&lt;Keywords&gt;Candidiasis&lt;/Keywords&gt;&lt;Keywords&gt;Comparative Study&lt;/Keywords&gt;&lt;Keywords&gt;complications&lt;/Keywords&gt;&lt;Keywords&gt;diagnosis&lt;/Keywords&gt;&lt;Keywords&gt;Fungemia&lt;/Keywords&gt;&lt;Keywords&gt;Humans&lt;/Keywords&gt;&lt;Keywords&gt;Infection&lt;/Keywords&gt;&lt;Keywords&gt;Leukemia&lt;/Keywords&gt;&lt;Keywords&gt;Leukemia,Myelocytic,Acute&lt;/Keywords&gt;&lt;Keywords&gt;Limulus Test&lt;/Keywords&gt;&lt;Keywords&gt;Mycoses&lt;/Keywords&gt;&lt;Keywords&gt;Myelodysplastic Syndromes&lt;/Keywords&gt;&lt;Keywords&gt;Neutropenia&lt;/Keywords&gt;&lt;Keywords&gt;Polysaccharides&lt;/Keywords&gt;&lt;Keywords&gt;Predictive Value of Tests&lt;/Keywords&gt;&lt;Keywords&gt;Reagent Kits,Diagnostic&lt;/Keywords&gt;&lt;Keywords&gt;Research Support,Non-U.S.Gov&amp;apos;t&lt;/Keywords&gt;&lt;Keywords&gt;Sensitivity and Specificity&lt;/Keywords&gt;&lt;Reprint&gt;Not in File&lt;/Reprint&gt;&lt;Start_Page&gt;199&lt;/Start_Page&gt;&lt;End_Page&gt;205&lt;/End_Page&gt;&lt;Periodical&gt;Clin Infect Dis&lt;/Periodical&gt;&lt;Volume&gt;39&lt;/Volume&gt;&lt;Issue&gt;2&lt;/Issue&gt;&lt;Address&gt;Laboratory of Medical Mycology, University of Texas-Houston Medical School, Houston, TX, USA&lt;/Address&gt;&lt;Web_URL&gt;PM:15307029&lt;/Web_URL&gt;&lt;ZZ_JournalFull&gt;&lt;f name="System"&gt;Clinical Infectious Diseases&lt;/f&gt;&lt;/ZZ_JournalFull&gt;&lt;ZZ_JournalStdAbbrev&gt;&lt;f name="System"&gt;Clin Infect Dis&lt;/f&gt;&lt;/ZZ_JournalStdAbbrev&gt;&lt;ZZ_WorkformID&gt;1&lt;/ZZ_WorkformID&gt;&lt;/MDL&gt;&lt;/Cite&gt;&lt;Cite&gt;&lt;Author&gt;Ostrosky-Zeichner&lt;/Author&gt;&lt;Year&gt;2005&lt;/Year&gt;&lt;RecNum&gt;30&lt;/RecNum&gt;&lt;IDText&gt;Multicenter clinical evaluation of the (1--&amp;gt;3) beta-D-glucan assay as an aid to diagnosis of fungal infections in humans&lt;/IDText&gt;&lt;MDL Ref_Type="Journal"&gt;&lt;Ref_Type&gt;Journal&lt;/Ref_Type&gt;&lt;Ref_ID&gt;30&lt;/Ref_ID&gt;&lt;Title_Primary&gt;Multicenter clinical evaluation of the (1--&amp;gt;3) beta-D-glucan assay as an aid to diagnosis of fungal infections in humans&lt;/Title_Primary&gt;&lt;Authors_Primary&gt;Ostrosky-Zeichner,L.&lt;/Authors_Primary&gt;&lt;Authors_Primary&gt;Alexander,B.D.&lt;/Authors_Primary&gt;&lt;Authors_Primary&gt;Kett,D.H.&lt;/Authors_Primary&gt;&lt;Authors_Primary&gt;Vazquez,J.&lt;/Authors_Primary&gt;&lt;Authors_Primary&gt;Pappas,P.G.&lt;/Authors_Primary&gt;&lt;Authors_Primary&gt;Saeki,F.&lt;/Authors_Primary&gt;&lt;Authors_Primary&gt;Ketchum,P.A.&lt;/Authors_Primary&gt;&lt;Authors_Primary&gt;Wingard,J.&lt;/Authors_Primary&gt;&lt;Authors_Primary&gt;Schiff,R.&lt;/Authors_Primary&gt;&lt;Authors_Primary&gt;Tamura,H.&lt;/Authors_Primary&gt;&lt;Authors_Primary&gt;Finkelman,M.A.&lt;/Authors_Primary&gt;&lt;Authors_Primary&gt;Rex,J.H.&lt;/Authors_Primary&gt;&lt;Date_Primary&gt;2005/9/1&lt;/Date_Primary&gt;&lt;Keywords&gt;Adult&lt;/Keywords&gt;&lt;Keywords&gt;Aged&lt;/Keywords&gt;&lt;Keywords&gt;beta-Glucans&lt;/Keywords&gt;&lt;Keywords&gt;blood&lt;/Keywords&gt;&lt;Keywords&gt;Candidiasis&lt;/Keywords&gt;&lt;Keywords&gt;diagnosis&lt;/Keywords&gt;&lt;Keywords&gt;Evaluation Studies&lt;/Keywords&gt;&lt;Keywords&gt;Female&lt;/Keywords&gt;&lt;Keywords&gt;Humans&lt;/Keywords&gt;&lt;Keywords&gt;Infection&lt;/Keywords&gt;&lt;Keywords&gt;Male&lt;/Keywords&gt;&lt;Keywords&gt;methods&lt;/Keywords&gt;&lt;Keywords&gt;Middle Aged&lt;/Keywords&gt;&lt;Keywords&gt;Multicenter Studies&lt;/Keywords&gt;&lt;Keywords&gt;Mycoses&lt;/Keywords&gt;&lt;Keywords&gt;Reproducibility of Results&lt;/Keywords&gt;&lt;Keywords&gt;Research Support,Non-U.S.Gov&amp;apos;t&lt;/Keywords&gt;&lt;Keywords&gt;Sensitivity and Specificity&lt;/Keywords&gt;&lt;Keywords&gt;therapy&lt;/Keywords&gt;&lt;Keywords&gt;United States&lt;/Keywords&gt;&lt;Reprint&gt;Not in File&lt;/Reprint&gt;&lt;Start_Page&gt;654&lt;/Start_Page&gt;&lt;End_Page&gt;659&lt;/End_Page&gt;&lt;Periodical&gt;Clin Infect Dis&lt;/Periodical&gt;&lt;Volume&gt;41&lt;/Volume&gt;&lt;Issue&gt;5&lt;/Issue&gt;&lt;Address&gt;University of Texas-Houston Medical School, Houston, TX 77030, USA. Luis.Ostrosky-Zeichner@uth.tmc.edu&lt;/Address&gt;&lt;Web_URL&gt;PM:16080087&lt;/Web_URL&gt;&lt;ZZ_JournalFull&gt;&lt;f name="System"&gt;Clinical Infectious Diseases&lt;/f&gt;&lt;/ZZ_JournalFull&gt;&lt;ZZ_JournalStdAbbrev&gt;&lt;f name="System"&gt;Clin Infect Dis&lt;/f&gt;&lt;/ZZ_JournalStdAbbrev&gt;&lt;ZZ_WorkformID&gt;1&lt;/ZZ_WorkformID&gt;&lt;/MDL&gt;&lt;/Cite&gt;&lt;Cite&gt;&lt;Author&gt;Takesue&lt;/Author&gt;&lt;Year&gt;2004&lt;/Year&gt;&lt;RecNum&gt;31&lt;/RecNum&gt;&lt;IDText&gt;Combined assessment of beta-D-glucan and degree of candida colonization before starting empiric therapy for candidiasis in surgical patients&lt;/IDText&gt;&lt;MDL Ref_Type="Journal"&gt;&lt;Ref_Type&gt;Journal&lt;/Ref_Type&gt;&lt;Ref_ID&gt;31&lt;/Ref_ID&gt;&lt;Title_Primary&gt;Combined assessment of beta-D-glucan and degree of candida colonization before starting empiric therapy for candidiasis in surgical patients&lt;/Title_Primary&gt;&lt;Authors_Primary&gt;Takesue,Y.&lt;/Authors_Primary&gt;&lt;Authors_Primary&gt;Kakehashi,M.&lt;/Authors_Primary&gt;&lt;Authors_Primary&gt;Ohge,H.&lt;/Authors_Primary&gt;&lt;Authors_Primary&gt;Imamura,Y.&lt;/Authors_Primary&gt;&lt;Authors_Primary&gt;Murakami,Y.&lt;/Authors_Primary&gt;&lt;Authors_Primary&gt;Sasaki,M.&lt;/Authors_Primary&gt;&lt;Authors_Primary&gt;Morifuji,M.&lt;/Authors_Primary&gt;&lt;Authors_Primary&gt;Yokoyama,Y.&lt;/Authors_Primary&gt;&lt;Authors_Primary&gt;Kouyama,M.&lt;/Authors_Primary&gt;&lt;Authors_Primary&gt;Yokoyama,T.&lt;/Authors_Primary&gt;&lt;Authors_Primary&gt;Sueda,T.&lt;/Authors_Primary&gt;&lt;Date_Primary&gt;2004/6&lt;/Date_Primary&gt;&lt;Keywords&gt;Adolescent&lt;/Keywords&gt;&lt;Keywords&gt;Adult&lt;/Keywords&gt;&lt;Keywords&gt;Aged&lt;/Keywords&gt;&lt;Keywords&gt;Aged,80 and over&lt;/Keywords&gt;&lt;Keywords&gt;analysis&lt;/Keywords&gt;&lt;Keywords&gt;Antifungal Agents&lt;/Keywords&gt;&lt;Keywords&gt;Ascomycota&lt;/Keywords&gt;&lt;Keywords&gt;beta-Glucans&lt;/Keywords&gt;&lt;Keywords&gt;blood&lt;/Keywords&gt;&lt;Keywords&gt;Candida&lt;/Keywords&gt;&lt;Keywords&gt;Candidiasis&lt;/Keywords&gt;&lt;Keywords&gt;drug therapy&lt;/Keywords&gt;&lt;Keywords&gt;Female&lt;/Keywords&gt;&lt;Keywords&gt;Fluconazole&lt;/Keywords&gt;&lt;Keywords&gt;Glucan&lt;/Keywords&gt;&lt;Keywords&gt;Glucans&lt;/Keywords&gt;&lt;Keywords&gt;Humans&lt;/Keywords&gt;&lt;Keywords&gt;Logistic Models&lt;/Keywords&gt;&lt;Keywords&gt;Male&lt;/Keywords&gt;&lt;Keywords&gt;Middle Aged&lt;/Keywords&gt;&lt;Keywords&gt;Multicenter Studies&lt;/Keywords&gt;&lt;Keywords&gt;Odds Ratio&lt;/Keywords&gt;&lt;Keywords&gt;Patient Selection&lt;/Keywords&gt;&lt;Keywords&gt;Postoperative Complications&lt;/Keywords&gt;&lt;Keywords&gt;Predictive Value of Tests&lt;/Keywords&gt;&lt;Keywords&gt;Prospective Studies&lt;/Keywords&gt;&lt;Keywords&gt;Risk&lt;/Keywords&gt;&lt;Keywords&gt;Risk Factors&lt;/Keywords&gt;&lt;Keywords&gt;Surgery&lt;/Keywords&gt;&lt;Keywords&gt;therapeutic use&lt;/Keywords&gt;&lt;Keywords&gt;therapy&lt;/Keywords&gt;&lt;Keywords&gt;Treatment Outcome&lt;/Keywords&gt;&lt;Reprint&gt;Not in File&lt;/Reprint&gt;&lt;Start_Page&gt;625&lt;/Start_Page&gt;&lt;End_Page&gt;630&lt;/End_Page&gt;&lt;Periodical&gt;World J Surg.&lt;/Periodical&gt;&lt;Volume&gt;28&lt;/Volume&gt;&lt;Issue&gt;6&lt;/Issue&gt;&lt;Address&gt;Department of Surgery, Division of Clinical Medical Science, Programs for Applied Biomedicine, Graduate School of Biomedical Sciences, Hiroshima University, Hiroshima, Japan. takesuey@hiroshima-u.ac.jp&lt;/Address&gt;&lt;Web_URL&gt;PM:15366757&lt;/Web_URL&gt;&lt;ZZ_JournalStdAbbrev&gt;&lt;f name="System"&gt;World J Surg.&lt;/f&gt;&lt;/ZZ_JournalStdAbbrev&gt;&lt;ZZ_WorkformID&gt;1&lt;/ZZ_WorkformID&gt;&lt;/MDL&gt;&lt;/Cite&gt;&lt;/Refman&gt;</w:instrText>
      </w:r>
      <w:r w:rsidR="00706A77" w:rsidRPr="00140622">
        <w:rPr>
          <w:bCs/>
          <w:iCs/>
          <w:sz w:val="24"/>
          <w:szCs w:val="24"/>
        </w:rPr>
        <w:fldChar w:fldCharType="separate"/>
      </w:r>
      <w:r w:rsidR="00080721">
        <w:rPr>
          <w:bCs/>
          <w:iCs/>
          <w:sz w:val="24"/>
          <w:szCs w:val="24"/>
        </w:rPr>
        <w:t>(13;25;27)</w:t>
      </w:r>
      <w:r w:rsidR="00706A77" w:rsidRPr="00140622">
        <w:rPr>
          <w:bCs/>
          <w:iCs/>
          <w:sz w:val="24"/>
          <w:szCs w:val="24"/>
        </w:rPr>
        <w:fldChar w:fldCharType="end"/>
      </w:r>
      <w:r w:rsidRPr="00140622">
        <w:rPr>
          <w:bCs/>
          <w:iCs/>
          <w:sz w:val="24"/>
          <w:szCs w:val="24"/>
        </w:rPr>
        <w:t xml:space="preserve"> and 19 will receive </w:t>
      </w:r>
      <w:proofErr w:type="spellStart"/>
      <w:r w:rsidRPr="00140622">
        <w:rPr>
          <w:bCs/>
          <w:iCs/>
          <w:sz w:val="24"/>
          <w:szCs w:val="24"/>
        </w:rPr>
        <w:t>an</w:t>
      </w:r>
      <w:r w:rsidR="00140354" w:rsidRPr="00140622">
        <w:rPr>
          <w:bCs/>
          <w:iCs/>
          <w:sz w:val="24"/>
          <w:szCs w:val="24"/>
        </w:rPr>
        <w:t>idulafungin</w:t>
      </w:r>
      <w:proofErr w:type="spellEnd"/>
      <w:r w:rsidR="00140354" w:rsidRPr="00140622">
        <w:rPr>
          <w:bCs/>
          <w:iCs/>
          <w:sz w:val="24"/>
          <w:szCs w:val="24"/>
        </w:rPr>
        <w:t>.  These numbers should</w:t>
      </w:r>
      <w:r w:rsidRPr="00140622">
        <w:rPr>
          <w:bCs/>
          <w:iCs/>
          <w:sz w:val="24"/>
          <w:szCs w:val="24"/>
        </w:rPr>
        <w:t xml:space="preserve"> provide sufficient data for a preliminary </w:t>
      </w:r>
      <w:r w:rsidR="00667995">
        <w:rPr>
          <w:bCs/>
          <w:iCs/>
          <w:sz w:val="24"/>
          <w:szCs w:val="24"/>
        </w:rPr>
        <w:t xml:space="preserve">feasibility </w:t>
      </w:r>
      <w:r w:rsidRPr="00140622">
        <w:rPr>
          <w:bCs/>
          <w:iCs/>
          <w:sz w:val="24"/>
          <w:szCs w:val="24"/>
        </w:rPr>
        <w:t>evaluation of the preemptive strategy.</w:t>
      </w:r>
    </w:p>
    <w:p w:rsidR="00D4017C" w:rsidRPr="00140622" w:rsidRDefault="00D4017C" w:rsidP="00FC1BDA">
      <w:pPr>
        <w:spacing w:before="0" w:after="0" w:line="480" w:lineRule="auto"/>
        <w:jc w:val="both"/>
        <w:rPr>
          <w:b/>
          <w:sz w:val="24"/>
          <w:szCs w:val="24"/>
        </w:rPr>
      </w:pPr>
    </w:p>
    <w:p w:rsidR="003540EB" w:rsidRPr="00140622" w:rsidRDefault="00D4017C" w:rsidP="00FC1BDA">
      <w:pPr>
        <w:spacing w:before="0" w:after="0" w:line="480" w:lineRule="auto"/>
        <w:jc w:val="both"/>
        <w:rPr>
          <w:b/>
          <w:sz w:val="24"/>
          <w:szCs w:val="24"/>
        </w:rPr>
      </w:pPr>
      <w:r w:rsidRPr="00140622">
        <w:rPr>
          <w:b/>
          <w:sz w:val="24"/>
          <w:szCs w:val="24"/>
        </w:rPr>
        <w:t>Statistical Analyses</w:t>
      </w:r>
    </w:p>
    <w:p w:rsidR="00D4017C" w:rsidRDefault="00D4017C" w:rsidP="00FC1BDA">
      <w:pPr>
        <w:spacing w:before="0" w:after="0" w:line="480" w:lineRule="auto"/>
        <w:ind w:firstLine="720"/>
        <w:jc w:val="both"/>
        <w:rPr>
          <w:bCs/>
          <w:sz w:val="24"/>
          <w:szCs w:val="24"/>
        </w:rPr>
      </w:pPr>
      <w:r w:rsidRPr="00140622">
        <w:rPr>
          <w:bCs/>
          <w:sz w:val="24"/>
          <w:szCs w:val="24"/>
        </w:rPr>
        <w:t>Statistical analysis will be performed using SAS software.  P values and 95% confidence intervals will be 2-tailed and statistical significance set at the 5% level unless otherwise specified.</w:t>
      </w:r>
    </w:p>
    <w:p w:rsidR="00667995" w:rsidRPr="00140622" w:rsidRDefault="00667995" w:rsidP="00FC1BDA">
      <w:pPr>
        <w:spacing w:before="0" w:after="0" w:line="480" w:lineRule="auto"/>
        <w:ind w:firstLine="720"/>
        <w:jc w:val="both"/>
        <w:rPr>
          <w:bCs/>
          <w:sz w:val="24"/>
          <w:szCs w:val="24"/>
        </w:rPr>
      </w:pPr>
    </w:p>
    <w:p w:rsidR="00D4017C" w:rsidRPr="00140622" w:rsidRDefault="00D4017C" w:rsidP="00FC1BDA">
      <w:pPr>
        <w:spacing w:before="0" w:after="0" w:line="480" w:lineRule="auto"/>
        <w:jc w:val="both"/>
        <w:rPr>
          <w:bCs/>
          <w:i/>
          <w:sz w:val="24"/>
          <w:szCs w:val="24"/>
          <w:u w:val="single"/>
        </w:rPr>
      </w:pPr>
      <w:r w:rsidRPr="00140622">
        <w:rPr>
          <w:bCs/>
          <w:sz w:val="24"/>
          <w:szCs w:val="24"/>
        </w:rPr>
        <w:tab/>
      </w:r>
      <w:r w:rsidRPr="00140622">
        <w:rPr>
          <w:bCs/>
          <w:i/>
          <w:sz w:val="24"/>
          <w:szCs w:val="24"/>
          <w:u w:val="single"/>
        </w:rPr>
        <w:t>Demographics and Baseline Characteristics</w:t>
      </w:r>
    </w:p>
    <w:p w:rsidR="001308F0" w:rsidRPr="00140622" w:rsidRDefault="001308F0" w:rsidP="00FC1BDA">
      <w:pPr>
        <w:spacing w:before="0" w:after="0" w:line="480" w:lineRule="auto"/>
        <w:ind w:left="720"/>
        <w:jc w:val="both"/>
        <w:rPr>
          <w:bCs/>
          <w:sz w:val="24"/>
          <w:szCs w:val="24"/>
        </w:rPr>
      </w:pPr>
      <w:r w:rsidRPr="00140622">
        <w:rPr>
          <w:bCs/>
          <w:sz w:val="24"/>
          <w:szCs w:val="24"/>
        </w:rPr>
        <w:t>Demographic and baseline characteristic informatio</w:t>
      </w:r>
      <w:r w:rsidR="00667995">
        <w:rPr>
          <w:bCs/>
          <w:sz w:val="24"/>
          <w:szCs w:val="24"/>
        </w:rPr>
        <w:t xml:space="preserve">n will be summarized and compared using the </w:t>
      </w:r>
      <w:r w:rsidRPr="00140622">
        <w:rPr>
          <w:bCs/>
          <w:sz w:val="24"/>
          <w:szCs w:val="24"/>
        </w:rPr>
        <w:t>Chi-squared test for discrete variables and one way ANOVA for continuo</w:t>
      </w:r>
      <w:r w:rsidR="00667995">
        <w:rPr>
          <w:bCs/>
          <w:sz w:val="24"/>
          <w:szCs w:val="24"/>
        </w:rPr>
        <w:t xml:space="preserve">us various </w:t>
      </w:r>
      <w:r w:rsidRPr="00140622">
        <w:rPr>
          <w:bCs/>
          <w:sz w:val="24"/>
          <w:szCs w:val="24"/>
        </w:rPr>
        <w:t>to assess any imbalance between treatment groups.</w:t>
      </w:r>
    </w:p>
    <w:p w:rsidR="00D4017C" w:rsidRPr="00140622" w:rsidRDefault="00D4017C" w:rsidP="00FC1BDA">
      <w:pPr>
        <w:spacing w:before="0" w:after="0" w:line="480" w:lineRule="auto"/>
        <w:jc w:val="both"/>
        <w:rPr>
          <w:b/>
          <w:sz w:val="24"/>
          <w:szCs w:val="24"/>
        </w:rPr>
      </w:pPr>
    </w:p>
    <w:p w:rsidR="002C7D7E" w:rsidRPr="00140622" w:rsidRDefault="00D4017C" w:rsidP="00FC1BDA">
      <w:pPr>
        <w:spacing w:before="0" w:after="0" w:line="480" w:lineRule="auto"/>
        <w:ind w:firstLine="720"/>
        <w:jc w:val="both"/>
        <w:rPr>
          <w:bCs/>
          <w:i/>
          <w:sz w:val="24"/>
          <w:szCs w:val="24"/>
          <w:u w:val="single"/>
        </w:rPr>
      </w:pPr>
      <w:bookmarkStart w:id="21" w:name="_Toc57126363"/>
      <w:proofErr w:type="gramStart"/>
      <w:r w:rsidRPr="00140622">
        <w:rPr>
          <w:bCs/>
          <w:i/>
          <w:sz w:val="24"/>
          <w:szCs w:val="24"/>
          <w:u w:val="single"/>
        </w:rPr>
        <w:t>β-D-</w:t>
      </w:r>
      <w:proofErr w:type="spellStart"/>
      <w:r w:rsidRPr="00140622">
        <w:rPr>
          <w:bCs/>
          <w:i/>
          <w:sz w:val="24"/>
          <w:szCs w:val="24"/>
          <w:u w:val="single"/>
        </w:rPr>
        <w:t>glucan</w:t>
      </w:r>
      <w:proofErr w:type="spellEnd"/>
      <w:proofErr w:type="gramEnd"/>
      <w:r w:rsidRPr="00140622">
        <w:rPr>
          <w:bCs/>
          <w:i/>
          <w:sz w:val="24"/>
          <w:szCs w:val="24"/>
          <w:u w:val="single"/>
        </w:rPr>
        <w:t xml:space="preserve"> Test C</w:t>
      </w:r>
      <w:r w:rsidR="003540EB" w:rsidRPr="00140622">
        <w:rPr>
          <w:bCs/>
          <w:i/>
          <w:sz w:val="24"/>
          <w:szCs w:val="24"/>
          <w:u w:val="single"/>
        </w:rPr>
        <w:t xml:space="preserve">haracteristics </w:t>
      </w:r>
    </w:p>
    <w:p w:rsidR="002C7D7E" w:rsidRPr="00140622" w:rsidRDefault="002C7D7E" w:rsidP="00FC1BDA">
      <w:pPr>
        <w:spacing w:before="0" w:after="0" w:line="480" w:lineRule="auto"/>
        <w:ind w:left="720"/>
        <w:jc w:val="both"/>
        <w:rPr>
          <w:bCs/>
          <w:sz w:val="24"/>
          <w:szCs w:val="24"/>
        </w:rPr>
      </w:pPr>
      <w:proofErr w:type="gramStart"/>
      <w:r w:rsidRPr="00140622">
        <w:rPr>
          <w:bCs/>
          <w:sz w:val="24"/>
          <w:szCs w:val="24"/>
        </w:rPr>
        <w:lastRenderedPageBreak/>
        <w:t>β-D-</w:t>
      </w:r>
      <w:proofErr w:type="spellStart"/>
      <w:r w:rsidRPr="00140622">
        <w:rPr>
          <w:bCs/>
          <w:sz w:val="24"/>
          <w:szCs w:val="24"/>
        </w:rPr>
        <w:t>glucan</w:t>
      </w:r>
      <w:proofErr w:type="spellEnd"/>
      <w:proofErr w:type="gramEnd"/>
      <w:r w:rsidRPr="00140622">
        <w:rPr>
          <w:bCs/>
          <w:sz w:val="24"/>
          <w:szCs w:val="24"/>
        </w:rPr>
        <w:t xml:space="preserve"> test characteristics</w:t>
      </w:r>
      <w:r w:rsidR="00140354" w:rsidRPr="00140622">
        <w:rPr>
          <w:bCs/>
          <w:sz w:val="24"/>
          <w:szCs w:val="24"/>
        </w:rPr>
        <w:t xml:space="preserve">, </w:t>
      </w:r>
      <w:r w:rsidRPr="00140622">
        <w:rPr>
          <w:bCs/>
          <w:sz w:val="24"/>
          <w:szCs w:val="24"/>
        </w:rPr>
        <w:t>using data collected from standard care group</w:t>
      </w:r>
      <w:r w:rsidR="00140354" w:rsidRPr="00140622">
        <w:rPr>
          <w:bCs/>
          <w:sz w:val="24"/>
          <w:szCs w:val="24"/>
        </w:rPr>
        <w:t>,</w:t>
      </w:r>
      <w:r w:rsidR="003540EB" w:rsidRPr="00140622">
        <w:rPr>
          <w:bCs/>
          <w:sz w:val="24"/>
          <w:szCs w:val="24"/>
        </w:rPr>
        <w:t xml:space="preserve"> will be described using sensitivity, specificity, positive and negative predictive values.  </w:t>
      </w:r>
      <w:r w:rsidR="00140354" w:rsidRPr="00140622">
        <w:rPr>
          <w:bCs/>
          <w:sz w:val="24"/>
          <w:szCs w:val="24"/>
        </w:rPr>
        <w:t>P</w:t>
      </w:r>
      <w:r w:rsidR="00667995">
        <w:rPr>
          <w:bCs/>
          <w:sz w:val="24"/>
          <w:szCs w:val="24"/>
        </w:rPr>
        <w:t>roven and probable cases of IFI, as defined by</w:t>
      </w:r>
      <w:r w:rsidR="00140354" w:rsidRPr="00140622">
        <w:rPr>
          <w:bCs/>
          <w:sz w:val="24"/>
          <w:szCs w:val="24"/>
        </w:rPr>
        <w:t xml:space="preserve"> </w:t>
      </w:r>
      <w:r w:rsidR="00140354" w:rsidRPr="00140622">
        <w:rPr>
          <w:sz w:val="24"/>
          <w:szCs w:val="24"/>
        </w:rPr>
        <w:t>EORTC/MSG criteria</w:t>
      </w:r>
      <w:r w:rsidR="00667995">
        <w:rPr>
          <w:sz w:val="24"/>
          <w:szCs w:val="24"/>
        </w:rPr>
        <w:t xml:space="preserve"> (</w:t>
      </w:r>
      <w:r w:rsidR="00667995" w:rsidRPr="00667995">
        <w:rPr>
          <w:b/>
          <w:sz w:val="24"/>
          <w:szCs w:val="24"/>
        </w:rPr>
        <w:t xml:space="preserve">tables </w:t>
      </w:r>
      <w:r w:rsidR="00667995">
        <w:rPr>
          <w:b/>
          <w:sz w:val="24"/>
          <w:szCs w:val="24"/>
        </w:rPr>
        <w:t>3</w:t>
      </w:r>
      <w:r w:rsidR="00667995" w:rsidRPr="00667995">
        <w:rPr>
          <w:b/>
          <w:sz w:val="24"/>
          <w:szCs w:val="24"/>
        </w:rPr>
        <w:t xml:space="preserve"> and </w:t>
      </w:r>
      <w:r w:rsidR="00667995">
        <w:rPr>
          <w:b/>
          <w:sz w:val="24"/>
          <w:szCs w:val="24"/>
        </w:rPr>
        <w:t>4</w:t>
      </w:r>
      <w:r w:rsidR="00667995">
        <w:rPr>
          <w:sz w:val="24"/>
          <w:szCs w:val="24"/>
        </w:rPr>
        <w:t>), will constitute the standard for comparison.</w:t>
      </w:r>
    </w:p>
    <w:p w:rsidR="002C7D7E" w:rsidRPr="00140622" w:rsidRDefault="002C7D7E" w:rsidP="00FC1BDA">
      <w:pPr>
        <w:spacing w:before="0" w:after="0" w:line="480" w:lineRule="auto"/>
        <w:jc w:val="both"/>
        <w:rPr>
          <w:bCs/>
          <w:sz w:val="24"/>
          <w:szCs w:val="24"/>
        </w:rPr>
      </w:pPr>
    </w:p>
    <w:p w:rsidR="00D4017C" w:rsidRPr="00140622" w:rsidRDefault="007D2E66" w:rsidP="00FC1BDA">
      <w:pPr>
        <w:spacing w:before="0" w:after="0" w:line="480" w:lineRule="auto"/>
        <w:ind w:firstLine="720"/>
        <w:jc w:val="both"/>
        <w:rPr>
          <w:bCs/>
          <w:i/>
          <w:sz w:val="24"/>
          <w:szCs w:val="24"/>
        </w:rPr>
      </w:pPr>
      <w:r w:rsidRPr="00140622">
        <w:rPr>
          <w:bCs/>
          <w:i/>
          <w:sz w:val="24"/>
          <w:szCs w:val="24"/>
          <w:u w:val="single"/>
        </w:rPr>
        <w:t>Feasibility</w:t>
      </w:r>
      <w:r w:rsidR="00D96D66" w:rsidRPr="00140622">
        <w:rPr>
          <w:bCs/>
          <w:i/>
          <w:sz w:val="24"/>
          <w:szCs w:val="24"/>
          <w:u w:val="single"/>
        </w:rPr>
        <w:t xml:space="preserve"> Analysis</w:t>
      </w:r>
      <w:r w:rsidR="00D4017C" w:rsidRPr="00140622">
        <w:rPr>
          <w:bCs/>
          <w:i/>
          <w:sz w:val="24"/>
          <w:szCs w:val="24"/>
        </w:rPr>
        <w:t xml:space="preserve"> </w:t>
      </w:r>
    </w:p>
    <w:p w:rsidR="00D156D6" w:rsidRPr="00140622" w:rsidRDefault="001308F0" w:rsidP="00FC1BDA">
      <w:pPr>
        <w:spacing w:before="0" w:after="0" w:line="480" w:lineRule="auto"/>
        <w:ind w:left="720"/>
        <w:jc w:val="both"/>
        <w:rPr>
          <w:bCs/>
          <w:sz w:val="24"/>
          <w:szCs w:val="24"/>
        </w:rPr>
      </w:pPr>
      <w:r w:rsidRPr="00140622">
        <w:rPr>
          <w:bCs/>
          <w:sz w:val="24"/>
          <w:szCs w:val="24"/>
        </w:rPr>
        <w:t xml:space="preserve">Feasibility will be a description of preemptive protocol adherence, BDG test requests off schedule, and the number of patients withdrawn from the preemptive arm due to the </w:t>
      </w:r>
      <w:r w:rsidR="00CE4451" w:rsidRPr="00140622">
        <w:rPr>
          <w:bCs/>
          <w:sz w:val="24"/>
          <w:szCs w:val="24"/>
        </w:rPr>
        <w:t>initiation</w:t>
      </w:r>
      <w:r w:rsidRPr="00140622">
        <w:rPr>
          <w:bCs/>
          <w:sz w:val="24"/>
          <w:szCs w:val="24"/>
        </w:rPr>
        <w:t xml:space="preserve"> of empiric systemic antifungal therapy in the absence</w:t>
      </w:r>
      <w:r w:rsidR="00CE709A" w:rsidRPr="00140622">
        <w:rPr>
          <w:bCs/>
          <w:sz w:val="24"/>
          <w:szCs w:val="24"/>
        </w:rPr>
        <w:t xml:space="preserve"> of a positive B</w:t>
      </w:r>
      <w:r w:rsidR="00CE4451">
        <w:rPr>
          <w:bCs/>
          <w:sz w:val="24"/>
          <w:szCs w:val="24"/>
        </w:rPr>
        <w:t>DG test.</w:t>
      </w:r>
    </w:p>
    <w:p w:rsidR="00D96D66" w:rsidRPr="00140622" w:rsidRDefault="00D96D66" w:rsidP="00FC1BDA">
      <w:pPr>
        <w:spacing w:before="0" w:after="0" w:line="480" w:lineRule="auto"/>
        <w:jc w:val="both"/>
        <w:rPr>
          <w:bCs/>
          <w:i/>
          <w:sz w:val="24"/>
          <w:szCs w:val="24"/>
          <w:u w:val="single"/>
        </w:rPr>
      </w:pPr>
    </w:p>
    <w:p w:rsidR="00140354" w:rsidRPr="00140622" w:rsidRDefault="00140354" w:rsidP="00FC1BDA">
      <w:pPr>
        <w:spacing w:before="0" w:after="0" w:line="480" w:lineRule="auto"/>
        <w:ind w:firstLine="720"/>
        <w:jc w:val="both"/>
        <w:rPr>
          <w:bCs/>
          <w:i/>
          <w:sz w:val="24"/>
          <w:szCs w:val="24"/>
          <w:u w:val="single"/>
        </w:rPr>
      </w:pPr>
      <w:r w:rsidRPr="00140622">
        <w:rPr>
          <w:bCs/>
          <w:i/>
          <w:sz w:val="24"/>
          <w:szCs w:val="24"/>
          <w:u w:val="single"/>
        </w:rPr>
        <w:t>Efficacy</w:t>
      </w:r>
      <w:r w:rsidR="008D2B03" w:rsidRPr="00140622">
        <w:rPr>
          <w:bCs/>
          <w:i/>
          <w:sz w:val="24"/>
          <w:szCs w:val="24"/>
          <w:u w:val="single"/>
        </w:rPr>
        <w:t xml:space="preserve"> End-Points</w:t>
      </w:r>
    </w:p>
    <w:p w:rsidR="00695CEF" w:rsidRDefault="00943C42" w:rsidP="00FC1BDA">
      <w:pPr>
        <w:spacing w:before="0" w:after="0" w:line="480" w:lineRule="auto"/>
        <w:ind w:left="720"/>
        <w:jc w:val="both"/>
        <w:rPr>
          <w:bCs/>
          <w:sz w:val="24"/>
          <w:szCs w:val="24"/>
        </w:rPr>
      </w:pPr>
      <w:r w:rsidRPr="00140622">
        <w:rPr>
          <w:sz w:val="24"/>
          <w:szCs w:val="24"/>
        </w:rPr>
        <w:t>D</w:t>
      </w:r>
      <w:r w:rsidR="00D96D66" w:rsidRPr="00140622">
        <w:rPr>
          <w:sz w:val="24"/>
          <w:szCs w:val="24"/>
        </w:rPr>
        <w:t xml:space="preserve">evelopment of </w:t>
      </w:r>
      <w:r w:rsidR="00140354" w:rsidRPr="00140622">
        <w:rPr>
          <w:sz w:val="24"/>
          <w:szCs w:val="24"/>
        </w:rPr>
        <w:t>IFI</w:t>
      </w:r>
      <w:r w:rsidRPr="00140622">
        <w:rPr>
          <w:sz w:val="24"/>
          <w:szCs w:val="24"/>
        </w:rPr>
        <w:t xml:space="preserve"> during the study period </w:t>
      </w:r>
      <w:r w:rsidR="000E146B" w:rsidRPr="00140622">
        <w:rPr>
          <w:sz w:val="24"/>
          <w:szCs w:val="24"/>
        </w:rPr>
        <w:t xml:space="preserve">will be assessed by the </w:t>
      </w:r>
      <w:r w:rsidR="00C70044" w:rsidRPr="00140622">
        <w:rPr>
          <w:sz w:val="24"/>
          <w:szCs w:val="24"/>
        </w:rPr>
        <w:t>principal</w:t>
      </w:r>
      <w:r w:rsidR="00140354" w:rsidRPr="00140622">
        <w:rPr>
          <w:sz w:val="24"/>
          <w:szCs w:val="24"/>
        </w:rPr>
        <w:t xml:space="preserve"> investigator </w:t>
      </w:r>
      <w:r w:rsidR="00695CEF" w:rsidRPr="00140622">
        <w:rPr>
          <w:sz w:val="24"/>
          <w:szCs w:val="24"/>
        </w:rPr>
        <w:t>(PI)</w:t>
      </w:r>
      <w:r w:rsidR="008D2B03" w:rsidRPr="00140622">
        <w:rPr>
          <w:sz w:val="24"/>
          <w:szCs w:val="24"/>
        </w:rPr>
        <w:t xml:space="preserve"> </w:t>
      </w:r>
      <w:r w:rsidR="00140354" w:rsidRPr="00140622">
        <w:rPr>
          <w:sz w:val="24"/>
          <w:szCs w:val="24"/>
        </w:rPr>
        <w:t xml:space="preserve">and a second </w:t>
      </w:r>
      <w:r w:rsidR="00D96D66" w:rsidRPr="00140622">
        <w:rPr>
          <w:sz w:val="24"/>
          <w:szCs w:val="24"/>
        </w:rPr>
        <w:t xml:space="preserve">blinded </w:t>
      </w:r>
      <w:r w:rsidR="00140354" w:rsidRPr="00140622">
        <w:rPr>
          <w:sz w:val="24"/>
          <w:szCs w:val="24"/>
        </w:rPr>
        <w:t xml:space="preserve">investigator using predefined </w:t>
      </w:r>
      <w:r w:rsidR="000E146B" w:rsidRPr="00140622">
        <w:rPr>
          <w:sz w:val="24"/>
          <w:szCs w:val="24"/>
        </w:rPr>
        <w:t xml:space="preserve">EORTC/MSG </w:t>
      </w:r>
      <w:r w:rsidR="00140354" w:rsidRPr="00140622">
        <w:rPr>
          <w:sz w:val="24"/>
          <w:szCs w:val="24"/>
        </w:rPr>
        <w:t>criteria</w:t>
      </w:r>
      <w:r w:rsidR="000E146B" w:rsidRPr="00140622">
        <w:rPr>
          <w:sz w:val="24"/>
          <w:szCs w:val="24"/>
        </w:rPr>
        <w:t xml:space="preserve"> for proven or probable disease</w:t>
      </w:r>
      <w:r w:rsidR="00695CEF" w:rsidRPr="00140622">
        <w:rPr>
          <w:bCs/>
          <w:sz w:val="24"/>
          <w:szCs w:val="24"/>
        </w:rPr>
        <w:t>.</w:t>
      </w:r>
      <w:r w:rsidR="00140354" w:rsidRPr="00140622">
        <w:rPr>
          <w:sz w:val="24"/>
          <w:szCs w:val="24"/>
        </w:rPr>
        <w:t xml:space="preserve">  </w:t>
      </w:r>
      <w:r w:rsidRPr="00140622">
        <w:rPr>
          <w:sz w:val="24"/>
          <w:szCs w:val="24"/>
        </w:rPr>
        <w:t xml:space="preserve">The study period is defined as the time the patient was cared for in the SICU.  </w:t>
      </w:r>
      <w:r w:rsidR="003540EB" w:rsidRPr="00140622">
        <w:rPr>
          <w:bCs/>
          <w:sz w:val="24"/>
          <w:szCs w:val="24"/>
        </w:rPr>
        <w:t xml:space="preserve">The proportions of patients developing </w:t>
      </w:r>
      <w:r w:rsidR="00695CEF" w:rsidRPr="00140622">
        <w:rPr>
          <w:bCs/>
          <w:sz w:val="24"/>
          <w:szCs w:val="24"/>
        </w:rPr>
        <w:t xml:space="preserve">IFI, and </w:t>
      </w:r>
      <w:r w:rsidR="003540EB" w:rsidRPr="00140622">
        <w:rPr>
          <w:bCs/>
          <w:sz w:val="24"/>
          <w:szCs w:val="24"/>
        </w:rPr>
        <w:t xml:space="preserve">IC </w:t>
      </w:r>
      <w:r w:rsidR="00695CEF" w:rsidRPr="00140622">
        <w:rPr>
          <w:bCs/>
          <w:sz w:val="24"/>
          <w:szCs w:val="24"/>
        </w:rPr>
        <w:t xml:space="preserve">specifically, </w:t>
      </w:r>
      <w:r w:rsidR="003540EB" w:rsidRPr="00140622">
        <w:rPr>
          <w:bCs/>
          <w:sz w:val="24"/>
          <w:szCs w:val="24"/>
        </w:rPr>
        <w:t xml:space="preserve">in each group will be compared using Fisher’s exact test.  The median ICU stay and number of febrile days while in the ICU will be compared using the </w:t>
      </w:r>
      <w:proofErr w:type="spellStart"/>
      <w:r w:rsidR="003540EB" w:rsidRPr="00140622">
        <w:rPr>
          <w:bCs/>
          <w:sz w:val="24"/>
          <w:szCs w:val="24"/>
        </w:rPr>
        <w:t>Kruskal</w:t>
      </w:r>
      <w:proofErr w:type="spellEnd"/>
      <w:r w:rsidR="003540EB" w:rsidRPr="00140622">
        <w:rPr>
          <w:bCs/>
          <w:sz w:val="24"/>
          <w:szCs w:val="24"/>
        </w:rPr>
        <w:t>-Wallis test.  Patient mortali</w:t>
      </w:r>
      <w:r w:rsidR="00D96D66" w:rsidRPr="00140622">
        <w:rPr>
          <w:bCs/>
          <w:sz w:val="24"/>
          <w:szCs w:val="24"/>
        </w:rPr>
        <w:t>ty, overall and attributed to IFI</w:t>
      </w:r>
      <w:r w:rsidR="003540EB" w:rsidRPr="00140622">
        <w:rPr>
          <w:bCs/>
          <w:sz w:val="24"/>
          <w:szCs w:val="24"/>
        </w:rPr>
        <w:t xml:space="preserve">, will also be summarized by group.  </w:t>
      </w:r>
      <w:r w:rsidR="00695CEF" w:rsidRPr="00140622">
        <w:rPr>
          <w:sz w:val="24"/>
          <w:szCs w:val="24"/>
        </w:rPr>
        <w:t>Response-to-t</w:t>
      </w:r>
      <w:r w:rsidR="00D96D66" w:rsidRPr="00140622">
        <w:rPr>
          <w:sz w:val="24"/>
          <w:szCs w:val="24"/>
        </w:rPr>
        <w:t xml:space="preserve">herapy (RTT) will </w:t>
      </w:r>
      <w:r w:rsidR="00695CEF" w:rsidRPr="00140622">
        <w:rPr>
          <w:sz w:val="24"/>
          <w:szCs w:val="24"/>
        </w:rPr>
        <w:t xml:space="preserve">be determined by the PI and a blinded second investigator.  The RTT population will consist of all patients who were underwent </w:t>
      </w:r>
      <w:r w:rsidR="008D2B03" w:rsidRPr="00140622">
        <w:rPr>
          <w:sz w:val="24"/>
          <w:szCs w:val="24"/>
        </w:rPr>
        <w:t xml:space="preserve">BDG monitoring for at least 3 days </w:t>
      </w:r>
      <w:r w:rsidR="00695CEF" w:rsidRPr="00140622">
        <w:rPr>
          <w:sz w:val="24"/>
          <w:szCs w:val="24"/>
        </w:rPr>
        <w:t>and received at least 1 dose of systemic antifungal therapy.</w:t>
      </w:r>
      <w:r w:rsidR="00D6715A" w:rsidRPr="00140622">
        <w:rPr>
          <w:bCs/>
          <w:sz w:val="24"/>
          <w:szCs w:val="24"/>
        </w:rPr>
        <w:t xml:space="preserve">  </w:t>
      </w:r>
    </w:p>
    <w:p w:rsidR="006931A4" w:rsidRDefault="006931A4" w:rsidP="00FC1BDA">
      <w:pPr>
        <w:spacing w:before="0" w:after="0" w:line="480" w:lineRule="auto"/>
        <w:ind w:left="720"/>
        <w:jc w:val="both"/>
        <w:rPr>
          <w:bCs/>
          <w:sz w:val="24"/>
          <w:szCs w:val="24"/>
        </w:rPr>
      </w:pPr>
    </w:p>
    <w:p w:rsidR="006931A4" w:rsidRPr="006931A4" w:rsidRDefault="006931A4" w:rsidP="00FC1BDA">
      <w:pPr>
        <w:spacing w:before="0" w:after="0" w:line="480" w:lineRule="auto"/>
        <w:ind w:firstLine="720"/>
        <w:jc w:val="both"/>
        <w:rPr>
          <w:i/>
          <w:sz w:val="24"/>
          <w:szCs w:val="24"/>
          <w:u w:val="single"/>
        </w:rPr>
      </w:pPr>
      <w:r w:rsidRPr="006931A4">
        <w:rPr>
          <w:i/>
          <w:sz w:val="24"/>
          <w:szCs w:val="24"/>
          <w:u w:val="single"/>
        </w:rPr>
        <w:t>RNA Analyses</w:t>
      </w:r>
    </w:p>
    <w:p w:rsidR="006931A4" w:rsidRDefault="006931A4" w:rsidP="00FC1BDA">
      <w:pPr>
        <w:spacing w:after="120" w:line="480" w:lineRule="auto"/>
        <w:ind w:left="720"/>
        <w:jc w:val="both"/>
        <w:rPr>
          <w:sz w:val="24"/>
          <w:szCs w:val="24"/>
        </w:rPr>
      </w:pPr>
      <w:r w:rsidRPr="00140622">
        <w:rPr>
          <w:sz w:val="24"/>
          <w:szCs w:val="24"/>
        </w:rPr>
        <w:lastRenderedPageBreak/>
        <w:t xml:space="preserve">Initial signature development cohort: RNA from patients with blood cultures growing </w:t>
      </w:r>
      <w:r w:rsidRPr="00140622">
        <w:rPr>
          <w:i/>
          <w:sz w:val="24"/>
          <w:szCs w:val="24"/>
        </w:rPr>
        <w:t xml:space="preserve">Candida </w:t>
      </w:r>
      <w:r w:rsidRPr="00140622">
        <w:rPr>
          <w:sz w:val="24"/>
          <w:szCs w:val="24"/>
        </w:rPr>
        <w:t xml:space="preserve">and an equal number of patients with negative blood cultures and negative BDG testing (controls) will be chosen for signature development. </w:t>
      </w:r>
      <w:r>
        <w:rPr>
          <w:sz w:val="24"/>
          <w:szCs w:val="24"/>
        </w:rPr>
        <w:t xml:space="preserve"> </w:t>
      </w:r>
      <w:r w:rsidRPr="00140622">
        <w:rPr>
          <w:sz w:val="24"/>
          <w:szCs w:val="24"/>
        </w:rPr>
        <w:t xml:space="preserve">A decision tree approach used previously by our group will be used to find gene expression patterns that are correlated with </w:t>
      </w:r>
      <w:proofErr w:type="spellStart"/>
      <w:r w:rsidRPr="00140622">
        <w:rPr>
          <w:sz w:val="24"/>
          <w:szCs w:val="24"/>
        </w:rPr>
        <w:t>candidemia</w:t>
      </w:r>
      <w:proofErr w:type="spellEnd"/>
      <w:r w:rsidRPr="00140622">
        <w:rPr>
          <w:sz w:val="24"/>
          <w:szCs w:val="24"/>
        </w:rPr>
        <w:t xml:space="preserve"> to determine the predictive capability of those gene patterns as a diagn</w:t>
      </w:r>
      <w:r w:rsidR="00C43487">
        <w:rPr>
          <w:sz w:val="24"/>
          <w:szCs w:val="24"/>
        </w:rPr>
        <w:t>ostic test</w:t>
      </w:r>
      <w:r w:rsidR="00706A77">
        <w:rPr>
          <w:sz w:val="24"/>
          <w:szCs w:val="24"/>
        </w:rPr>
        <w:fldChar w:fldCharType="begin"/>
      </w:r>
      <w:r w:rsidR="0053409B">
        <w:rPr>
          <w:sz w:val="24"/>
          <w:szCs w:val="24"/>
        </w:rPr>
        <w:instrText xml:space="preserve"> ADDIN REFMGR.CITE &lt;Refman&gt;&lt;Cite&gt;&lt;Author&gt;Berchuck&lt;/Author&gt;&lt;Year&gt;2005&lt;/Year&gt;&lt;RecNum&gt;184&lt;/RecNum&gt;&lt;IDText&gt;Patterns of gene expression that characterize long-term survival in advanced stage serous ovarian cancers&amp;#xA;1&lt;/IDText&gt;&lt;MDL Ref_Type="Journal"&gt;&lt;Ref_Type&gt;Journal&lt;/Ref_Type&gt;&lt;Ref_ID&gt;184&lt;/Ref_ID&gt;&lt;Title_Primary&gt;Patterns of gene expression that characterize long-term survival in advanced stage serous ovarian cancers&amp;#xA;1&lt;/Title_Primary&gt;&lt;Authors_Primary&gt;Berchuck,A.&lt;/Authors_Primary&gt;&lt;Authors_Primary&gt;Iversen,E.S.&lt;/Authors_Primary&gt;&lt;Authors_Primary&gt;Lancaster,J.M.&lt;/Authors_Primary&gt;&lt;Authors_Primary&gt;Pittman,J.&lt;/Authors_Primary&gt;&lt;Authors_Primary&gt;Luo,J.&lt;/Authors_Primary&gt;&lt;Authors_Primary&gt;Lee,P.&lt;/Authors_Primary&gt;&lt;Authors_Primary&gt;Murphy,S.&lt;/Authors_Primary&gt;&lt;Authors_Primary&gt;Dressman,H.K.&lt;/Authors_Primary&gt;&lt;Authors_Primary&gt;Febbo,P.G.&lt;/Authors_Primary&gt;&lt;Authors_Primary&gt;West,M.&lt;/Authors_Primary&gt;&lt;Authors_Primary&gt;Nevins,J.R.&lt;/Authors_Primary&gt;&lt;Authors_Primary&gt;Marks,J.R.&lt;/Authors_Primary&gt;&lt;Date_Primary&gt;2005/5/15&lt;/Date_Primary&gt;&lt;Keywords&gt;biosynthesis&lt;/Keywords&gt;&lt;Keywords&gt;Case-Control Studies&lt;/Keywords&gt;&lt;Keywords&gt;Female&lt;/Keywords&gt;&lt;Keywords&gt;Gene Expression&lt;/Keywords&gt;&lt;Keywords&gt;Gene Expression Profiling&lt;/Keywords&gt;&lt;Keywords&gt;Genes&lt;/Keywords&gt;&lt;Keywords&gt;genetics&lt;/Keywords&gt;&lt;Keywords&gt;Genomics&lt;/Keywords&gt;&lt;Keywords&gt;Humans&lt;/Keywords&gt;&lt;Keywords&gt;Middle Aged&lt;/Keywords&gt;&lt;Keywords&gt;Neoplasm Invasiveness&lt;/Keywords&gt;&lt;Keywords&gt;Neoplasm Staging&lt;/Keywords&gt;&lt;Keywords&gt;Oligonucleotide Array Sequence Analysis&lt;/Keywords&gt;&lt;Keywords&gt;Ovarian Neoplasms&lt;/Keywords&gt;&lt;Keywords&gt;pathology&lt;/Keywords&gt;&lt;Keywords&gt;Phenotype&lt;/Keywords&gt;&lt;Keywords&gt;Rna&lt;/Keywords&gt;&lt;Keywords&gt;Survival Analysis&lt;/Keywords&gt;&lt;Keywords&gt;therapy&lt;/Keywords&gt;&lt;Reprint&gt;Not in File&lt;/Reprint&gt;&lt;Start_Page&gt;3686&lt;/Start_Page&gt;&lt;End_Page&gt;3696&lt;/End_Page&gt;&lt;Periodical&gt;Clin Cancer Res.&lt;/Periodical&gt;&lt;Volume&gt;11&lt;/Volume&gt;&lt;Issue&gt;10&lt;/Issue&gt;&lt;Address&gt;Department of Obstetrics and Gynecology/Division of Gynecologic Oncology, Institute of Statistics and Decision Sciences, Center for Applied Genomics and Technology, Duke University Medical Center, Durham, North Carolina, USA. berch001@mc.duke.edu&lt;/Address&gt;&lt;Web_URL&gt;PM:15897565&lt;/Web_URL&gt;&lt;ZZ_JournalStdAbbrev&gt;&lt;f name="System"&gt;Clin Cancer Res.&lt;/f&gt;&lt;/ZZ_JournalStdAbbrev&gt;&lt;ZZ_WorkformID&gt;1&lt;/ZZ_WorkformID&gt;&lt;/MDL&gt;&lt;/Cite&gt;&lt;Cite&gt;&lt;Author&gt;Seo&lt;/Author&gt;&lt;Year&gt;2004&lt;/Year&gt;&lt;RecNum&gt;179&lt;/RecNum&gt;&lt;IDText&gt;Gene expression phenotypes of atherosclerosis&amp;#xA;1&lt;/IDText&gt;&lt;MDL Ref_Type="Journal"&gt;&lt;Ref_Type&gt;Journal&lt;/Ref_Type&gt;&lt;Ref_ID&gt;179&lt;/Ref_ID&gt;&lt;Title_Primary&gt;Gene expression phenotypes of atherosclerosis&amp;#xA;1&lt;/Title_Primary&gt;&lt;Authors_Primary&gt;Seo,D.&lt;/Authors_Primary&gt;&lt;Authors_Primary&gt;Wang,T.&lt;/Authors_Primary&gt;&lt;Authors_Primary&gt;Dressman,H.&lt;/Authors_Primary&gt;&lt;Authors_Primary&gt;Herderick,E.E.&lt;/Authors_Primary&gt;&lt;Authors_Primary&gt;Iversen,E.S.&lt;/Authors_Primary&gt;&lt;Authors_Primary&gt;Dong,C.&lt;/Authors_Primary&gt;&lt;Authors_Primary&gt;Vata,K.&lt;/Authors_Primary&gt;&lt;Authors_Primary&gt;Milano,C.A.&lt;/Authors_Primary&gt;&lt;Authors_Primary&gt;Rigat,F.&lt;/Authors_Primary&gt;&lt;Authors_Primary&gt;Pittman,J.&lt;/Authors_Primary&gt;&lt;Authors_Primary&gt;Nevins,J.R.&lt;/Authors_Primary&gt;&lt;Authors_Primary&gt;West,M.&lt;/Authors_Primary&gt;&lt;Authors_Primary&gt;Goldschmidt-Clermont,P.J.&lt;/Authors_Primary&gt;&lt;Date_Primary&gt;2004/10&lt;/Date_Primary&gt;&lt;Keywords&gt;analysis&lt;/Keywords&gt;&lt;Keywords&gt;Aorta,Thoracic&lt;/Keywords&gt;&lt;Keywords&gt;Arteriosclerosis&lt;/Keywords&gt;&lt;Keywords&gt;chemistry&lt;/Keywords&gt;&lt;Keywords&gt;Cluster Analysis&lt;/Keywords&gt;&lt;Keywords&gt;Gene Expression&lt;/Keywords&gt;&lt;Keywords&gt;Gene Expression Profiling&lt;/Keywords&gt;&lt;Keywords&gt;Gene Expression Regulation&lt;/Keywords&gt;&lt;Keywords&gt;Genes&lt;/Keywords&gt;&lt;Keywords&gt;genetics&lt;/Keywords&gt;&lt;Keywords&gt;Humans&lt;/Keywords&gt;&lt;Keywords&gt;metabolism&lt;/Keywords&gt;&lt;Keywords&gt;methods&lt;/Keywords&gt;&lt;Keywords&gt;Oligonucleotide Array Sequence Analysis&lt;/Keywords&gt;&lt;Keywords&gt;pathology&lt;/Keywords&gt;&lt;Keywords&gt;Phenotype&lt;/Keywords&gt;&lt;Keywords&gt;physiology&lt;/Keywords&gt;&lt;Keywords&gt;Predictive Value of Tests&lt;/Keywords&gt;&lt;Keywords&gt;statistics &amp;amp; numerical data&lt;/Keywords&gt;&lt;Reprint&gt;Not in File&lt;/Reprint&gt;&lt;Start_Page&gt;1922&lt;/Start_Page&gt;&lt;End_Page&gt;1927&lt;/End_Page&gt;&lt;Periodical&gt;Arterioscler.Thromb.Vasc.Biol.&lt;/Periodical&gt;&lt;Volume&gt;24&lt;/Volume&gt;&lt;Issue&gt;10&lt;/Issue&gt;&lt;Address&gt;Division of Cardiology, Department of Medicine, Duke University, Durham, NC, USA. david.seo@duke.edu&lt;/Address&gt;&lt;Web_URL&gt;PM:15297278&lt;/Web_URL&gt;&lt;ZZ_JournalStdAbbrev&gt;&lt;f name="System"&gt;Arterioscler.Thromb.Vasc.Biol.&lt;/f&gt;&lt;/ZZ_JournalStdAbbrev&gt;&lt;ZZ_WorkformID&gt;1&lt;/ZZ_WorkformID&gt;&lt;/MDL&gt;&lt;/Cite&gt;&lt;/Refman&gt;</w:instrText>
      </w:r>
      <w:r w:rsidR="00706A77">
        <w:rPr>
          <w:sz w:val="24"/>
          <w:szCs w:val="24"/>
        </w:rPr>
        <w:fldChar w:fldCharType="separate"/>
      </w:r>
      <w:r w:rsidR="00C43487">
        <w:rPr>
          <w:sz w:val="24"/>
          <w:szCs w:val="24"/>
        </w:rPr>
        <w:t>(28;29)</w:t>
      </w:r>
      <w:r w:rsidR="00706A77">
        <w:rPr>
          <w:sz w:val="24"/>
          <w:szCs w:val="24"/>
        </w:rPr>
        <w:fldChar w:fldCharType="end"/>
      </w:r>
      <w:r>
        <w:rPr>
          <w:sz w:val="24"/>
          <w:szCs w:val="24"/>
        </w:rPr>
        <w:t xml:space="preserve">. </w:t>
      </w:r>
      <w:r w:rsidRPr="00140622">
        <w:rPr>
          <w:sz w:val="24"/>
          <w:szCs w:val="24"/>
        </w:rPr>
        <w:t xml:space="preserve"> Once we identify a large number (100-300) of gene expression patterns that significantly correlate with the illness classification in our initial cohort, we will then identify the best combination of 3-5 patterns for discriminating between those with </w:t>
      </w:r>
      <w:proofErr w:type="spellStart"/>
      <w:r w:rsidRPr="00140622">
        <w:rPr>
          <w:sz w:val="24"/>
          <w:szCs w:val="24"/>
        </w:rPr>
        <w:t>candidemia</w:t>
      </w:r>
      <w:proofErr w:type="spellEnd"/>
      <w:r w:rsidRPr="00140622">
        <w:rPr>
          <w:sz w:val="24"/>
          <w:szCs w:val="24"/>
        </w:rPr>
        <w:t xml:space="preserve"> and those with no infection.  Once the best expression patterns are identified, we will perform cross validation analysis in which we construct a decision tree with the best gene patterns using all of the samples except for one “held out” sample. </w:t>
      </w:r>
      <w:r>
        <w:rPr>
          <w:sz w:val="24"/>
          <w:szCs w:val="24"/>
        </w:rPr>
        <w:t xml:space="preserve"> We can then use</w:t>
      </w:r>
      <w:r w:rsidRPr="00140622">
        <w:rPr>
          <w:sz w:val="24"/>
          <w:szCs w:val="24"/>
        </w:rPr>
        <w:t xml:space="preserve"> the decision tree model to predict the classification of the “held out” sample as an honest test of the accuracy of our predictive model and to guard against over-fitting. </w:t>
      </w:r>
      <w:r>
        <w:rPr>
          <w:sz w:val="24"/>
          <w:szCs w:val="24"/>
        </w:rPr>
        <w:t xml:space="preserve"> </w:t>
      </w:r>
      <w:r w:rsidRPr="00140622">
        <w:rPr>
          <w:sz w:val="24"/>
          <w:szCs w:val="24"/>
        </w:rPr>
        <w:t xml:space="preserve">We plan to define host gene expression patterns in response to </w:t>
      </w:r>
      <w:proofErr w:type="spellStart"/>
      <w:r w:rsidRPr="00140622">
        <w:rPr>
          <w:sz w:val="24"/>
          <w:szCs w:val="24"/>
        </w:rPr>
        <w:t>candidemia</w:t>
      </w:r>
      <w:proofErr w:type="spellEnd"/>
      <w:r w:rsidRPr="00140622">
        <w:rPr>
          <w:sz w:val="24"/>
          <w:szCs w:val="24"/>
        </w:rPr>
        <w:t xml:space="preserve"> using an initial cohort of up to 30 persons with </w:t>
      </w:r>
      <w:proofErr w:type="spellStart"/>
      <w:r w:rsidRPr="00140622">
        <w:rPr>
          <w:sz w:val="24"/>
          <w:szCs w:val="24"/>
        </w:rPr>
        <w:t>candidemia</w:t>
      </w:r>
      <w:proofErr w:type="spellEnd"/>
      <w:r w:rsidRPr="00140622">
        <w:rPr>
          <w:sz w:val="24"/>
          <w:szCs w:val="24"/>
        </w:rPr>
        <w:t xml:space="preserve"> and up to 30 persons with no infection. </w:t>
      </w:r>
      <w:r>
        <w:rPr>
          <w:sz w:val="24"/>
          <w:szCs w:val="24"/>
        </w:rPr>
        <w:t xml:space="preserve"> </w:t>
      </w:r>
      <w:r w:rsidRPr="00140622">
        <w:rPr>
          <w:sz w:val="24"/>
          <w:szCs w:val="24"/>
        </w:rPr>
        <w:t>This sample size has 90% power to detect at least a 2-fold change in expression levels in the 70% least variable genes with an alpha o</w:t>
      </w:r>
      <w:r w:rsidR="00C43487">
        <w:rPr>
          <w:sz w:val="24"/>
          <w:szCs w:val="24"/>
        </w:rPr>
        <w:t>f 0.001</w:t>
      </w:r>
      <w:r w:rsidR="00706A77">
        <w:rPr>
          <w:sz w:val="24"/>
          <w:szCs w:val="24"/>
        </w:rPr>
        <w:fldChar w:fldCharType="begin"/>
      </w:r>
      <w:r w:rsidR="0053409B">
        <w:rPr>
          <w:sz w:val="24"/>
          <w:szCs w:val="24"/>
        </w:rPr>
        <w:instrText xml:space="preserve"> ADDIN REFMGR.CITE &lt;Refman&gt;&lt;Cite&gt;&lt;Author&gt;Wei&lt;/Author&gt;&lt;Year&gt;2004&lt;/Year&gt;&lt;RecNum&gt;185&lt;/RecNum&gt;&lt;IDText&gt;Sample size for detecting differentially expressed genes in microarray experiments&amp;#xA;1&lt;/IDText&gt;&lt;MDL Ref_Type="Journal"&gt;&lt;Ref_Type&gt;Journal&lt;/Ref_Type&gt;&lt;Ref_ID&gt;185&lt;/Ref_ID&gt;&lt;Title_Primary&gt;Sample size for detecting differentially expressed genes in microarray experiments&amp;#xA;1&lt;/Title_Primary&gt;&lt;Authors_Primary&gt;Wei,C.&lt;/Authors_Primary&gt;&lt;Authors_Primary&gt;Li,J.&lt;/Authors_Primary&gt;&lt;Authors_Primary&gt;Bumgarner,R.E.&lt;/Authors_Primary&gt;&lt;Date_Primary&gt;2004/11/8&lt;/Date_Primary&gt;&lt;Keywords&gt;Animals&lt;/Keywords&gt;&lt;Keywords&gt;Carcinoma,Hepatocellular&lt;/Keywords&gt;&lt;Keywords&gt;chemistry&lt;/Keywords&gt;&lt;Keywords&gt;Comparative Study&lt;/Keywords&gt;&lt;Keywords&gt;Gene Expression&lt;/Keywords&gt;&lt;Keywords&gt;Gene Expression Profiling&lt;/Keywords&gt;&lt;Keywords&gt;Genes&lt;/Keywords&gt;&lt;Keywords&gt;genetics&lt;/Keywords&gt;&lt;Keywords&gt;Hepacivirus&lt;/Keywords&gt;&lt;Keywords&gt;Humans&lt;/Keywords&gt;&lt;Keywords&gt;Liver&lt;/Keywords&gt;&lt;Keywords&gt;Liver Neoplasms&lt;/Keywords&gt;&lt;Keywords&gt;metabolism&lt;/Keywords&gt;&lt;Keywords&gt;methods&lt;/Keywords&gt;&lt;Keywords&gt;Mice&lt;/Keywords&gt;&lt;Keywords&gt;Mice,Inbred Strains&lt;/Keywords&gt;&lt;Keywords&gt;microbiology&lt;/Keywords&gt;&lt;Keywords&gt;Models,Statistical&lt;/Keywords&gt;&lt;Keywords&gt;Oligonucleotide Array Sequence Analysis&lt;/Keywords&gt;&lt;Keywords&gt;Rats&lt;/Keywords&gt;&lt;Keywords&gt;Rats,Inbred Strains&lt;/Keywords&gt;&lt;Keywords&gt;Rna&lt;/Keywords&gt;&lt;Keywords&gt;RNA,Neoplasm&lt;/Keywords&gt;&lt;Keywords&gt;Sample Size&lt;/Keywords&gt;&lt;Keywords&gt;Tumor Markers,Biological&lt;/Keywords&gt;&lt;Keywords&gt;virology&lt;/Keywords&gt;&lt;Reprint&gt;Not in File&lt;/Reprint&gt;&lt;Start_Page&gt;87&lt;/Start_Page&gt;&lt;Periodical&gt;BMC.Genomics&lt;/Periodical&gt;&lt;Volume&gt;5&lt;/Volume&gt;&lt;Issue&gt;1&lt;/Issue&gt;&lt;Address&gt;Department of Microbiology, University of Washington, Seattle, WA 98195, USA. caimiaow@u.washington.edu &amp;lt;caimiaow@u.washington.edu&amp;gt;&lt;/Address&gt;&lt;Web_URL&gt;PM:15533245&lt;/Web_URL&gt;&lt;ZZ_JournalStdAbbrev&gt;&lt;f name="System"&gt;BMC.Genomics&lt;/f&gt;&lt;/ZZ_JournalStdAbbrev&gt;&lt;ZZ_WorkformID&gt;1&lt;/ZZ_WorkformID&gt;&lt;/MDL&gt;&lt;/Cite&gt;&lt;/Refman&gt;</w:instrText>
      </w:r>
      <w:r w:rsidR="00706A77">
        <w:rPr>
          <w:sz w:val="24"/>
          <w:szCs w:val="24"/>
        </w:rPr>
        <w:fldChar w:fldCharType="separate"/>
      </w:r>
      <w:r w:rsidR="00C43487">
        <w:rPr>
          <w:sz w:val="24"/>
          <w:szCs w:val="24"/>
        </w:rPr>
        <w:t>(30)</w:t>
      </w:r>
      <w:r w:rsidR="00706A77">
        <w:rPr>
          <w:sz w:val="24"/>
          <w:szCs w:val="24"/>
        </w:rPr>
        <w:fldChar w:fldCharType="end"/>
      </w:r>
      <w:r w:rsidRPr="00140622">
        <w:rPr>
          <w:sz w:val="24"/>
          <w:szCs w:val="24"/>
        </w:rPr>
        <w:t xml:space="preserve">. </w:t>
      </w:r>
      <w:r>
        <w:rPr>
          <w:sz w:val="24"/>
          <w:szCs w:val="24"/>
        </w:rPr>
        <w:t xml:space="preserve"> </w:t>
      </w:r>
      <w:r w:rsidRPr="00140622">
        <w:rPr>
          <w:sz w:val="24"/>
          <w:szCs w:val="24"/>
        </w:rPr>
        <w:t>After establishing robust gene expression signatures that classify individuals as having a “</w:t>
      </w:r>
      <w:proofErr w:type="spellStart"/>
      <w:r w:rsidRPr="00140622">
        <w:rPr>
          <w:sz w:val="24"/>
          <w:szCs w:val="24"/>
        </w:rPr>
        <w:t>candidemia</w:t>
      </w:r>
      <w:proofErr w:type="spellEnd"/>
      <w:r w:rsidRPr="00140622">
        <w:rPr>
          <w:sz w:val="24"/>
          <w:szCs w:val="24"/>
        </w:rPr>
        <w:t>” or “no infection” we will test the generalizability of t</w:t>
      </w:r>
      <w:r>
        <w:rPr>
          <w:sz w:val="24"/>
          <w:szCs w:val="24"/>
        </w:rPr>
        <w:t xml:space="preserve">hese profiles on the remaining </w:t>
      </w:r>
      <w:r w:rsidRPr="00140622">
        <w:rPr>
          <w:sz w:val="24"/>
          <w:szCs w:val="24"/>
        </w:rPr>
        <w:t xml:space="preserve">patients </w:t>
      </w:r>
      <w:r w:rsidRPr="00140622" w:rsidDel="00D14AC0">
        <w:rPr>
          <w:sz w:val="24"/>
          <w:szCs w:val="24"/>
        </w:rPr>
        <w:t xml:space="preserve">presenting to the </w:t>
      </w:r>
      <w:r w:rsidRPr="00140622">
        <w:rPr>
          <w:sz w:val="24"/>
          <w:szCs w:val="24"/>
        </w:rPr>
        <w:t>intensive care unit at risk for invasive candidiasis.  We will not know beforehand the etiology of their symptoms.</w:t>
      </w:r>
    </w:p>
    <w:p w:rsidR="006931A4" w:rsidRPr="00140622" w:rsidRDefault="006931A4" w:rsidP="00FC1BDA">
      <w:pPr>
        <w:spacing w:before="0" w:after="0" w:line="480" w:lineRule="auto"/>
        <w:ind w:left="720"/>
        <w:jc w:val="both"/>
        <w:rPr>
          <w:sz w:val="24"/>
          <w:szCs w:val="24"/>
        </w:rPr>
      </w:pPr>
    </w:p>
    <w:p w:rsidR="008D2B03" w:rsidRPr="00140622" w:rsidRDefault="008D2B03" w:rsidP="00FC1BDA">
      <w:pPr>
        <w:spacing w:before="0" w:after="0" w:line="480" w:lineRule="auto"/>
        <w:jc w:val="both"/>
        <w:rPr>
          <w:sz w:val="24"/>
          <w:szCs w:val="24"/>
        </w:rPr>
      </w:pPr>
    </w:p>
    <w:p w:rsidR="00695CEF" w:rsidRPr="00140622" w:rsidRDefault="00695CEF" w:rsidP="00FC1BDA">
      <w:pPr>
        <w:spacing w:before="0" w:after="0" w:line="480" w:lineRule="auto"/>
        <w:jc w:val="both"/>
        <w:rPr>
          <w:sz w:val="24"/>
          <w:szCs w:val="24"/>
        </w:rPr>
      </w:pPr>
      <w:r w:rsidRPr="00140622">
        <w:rPr>
          <w:b/>
          <w:bCs/>
          <w:sz w:val="24"/>
          <w:szCs w:val="24"/>
        </w:rPr>
        <w:t>Safety</w:t>
      </w:r>
    </w:p>
    <w:p w:rsidR="003540EB" w:rsidRPr="00140622" w:rsidRDefault="00140354" w:rsidP="00FC1BDA">
      <w:pPr>
        <w:spacing w:before="0" w:after="0" w:line="480" w:lineRule="auto"/>
        <w:ind w:firstLine="720"/>
        <w:jc w:val="both"/>
        <w:rPr>
          <w:bCs/>
          <w:sz w:val="24"/>
          <w:szCs w:val="24"/>
        </w:rPr>
      </w:pPr>
      <w:r w:rsidRPr="00140622">
        <w:rPr>
          <w:sz w:val="24"/>
          <w:szCs w:val="24"/>
        </w:rPr>
        <w:lastRenderedPageBreak/>
        <w:t>All patients who receive at least 1 dose of study medication will be included in the safety analysis.</w:t>
      </w:r>
      <w:r w:rsidRPr="00140622">
        <w:rPr>
          <w:b/>
          <w:sz w:val="24"/>
          <w:szCs w:val="24"/>
        </w:rPr>
        <w:t xml:space="preserve">  </w:t>
      </w:r>
      <w:r w:rsidRPr="00140622">
        <w:rPr>
          <w:bCs/>
          <w:sz w:val="24"/>
          <w:szCs w:val="24"/>
        </w:rPr>
        <w:t>The prevalence of treatment emergent adverse events will be descr</w:t>
      </w:r>
      <w:r w:rsidR="00D96D66" w:rsidRPr="00140622">
        <w:rPr>
          <w:bCs/>
          <w:sz w:val="24"/>
          <w:szCs w:val="24"/>
        </w:rPr>
        <w:t>ibed using summary statistics</w:t>
      </w:r>
      <w:r w:rsidR="0095676B" w:rsidRPr="00140622">
        <w:rPr>
          <w:bCs/>
          <w:sz w:val="24"/>
          <w:szCs w:val="24"/>
        </w:rPr>
        <w:t xml:space="preserve"> and compared used the Chi-square test</w:t>
      </w:r>
      <w:r w:rsidR="00D96D66" w:rsidRPr="00140622">
        <w:rPr>
          <w:bCs/>
          <w:sz w:val="24"/>
          <w:szCs w:val="24"/>
        </w:rPr>
        <w:t>.</w:t>
      </w:r>
    </w:p>
    <w:bookmarkEnd w:id="21"/>
    <w:p w:rsidR="00EC53A6" w:rsidRPr="00140622" w:rsidRDefault="00EC53A6" w:rsidP="00FC1BDA">
      <w:pPr>
        <w:spacing w:before="0" w:after="0" w:line="480" w:lineRule="auto"/>
        <w:jc w:val="both"/>
        <w:rPr>
          <w:sz w:val="24"/>
          <w:szCs w:val="24"/>
        </w:rPr>
      </w:pPr>
    </w:p>
    <w:p w:rsidR="00695CEF" w:rsidRPr="00140622" w:rsidRDefault="00695CEF" w:rsidP="00FC1BDA">
      <w:pPr>
        <w:spacing w:before="0" w:after="0" w:line="480" w:lineRule="auto"/>
        <w:jc w:val="both"/>
        <w:rPr>
          <w:b/>
          <w:sz w:val="24"/>
          <w:szCs w:val="24"/>
        </w:rPr>
      </w:pPr>
      <w:r w:rsidRPr="00140622">
        <w:rPr>
          <w:b/>
          <w:sz w:val="24"/>
          <w:szCs w:val="24"/>
        </w:rPr>
        <w:t>Missing Data</w:t>
      </w:r>
    </w:p>
    <w:p w:rsidR="00EC53A6" w:rsidRPr="00140622" w:rsidRDefault="00EC53A6" w:rsidP="00FC1BDA">
      <w:pPr>
        <w:spacing w:before="0" w:after="0" w:line="480" w:lineRule="auto"/>
        <w:ind w:firstLine="720"/>
        <w:jc w:val="both"/>
        <w:rPr>
          <w:sz w:val="24"/>
          <w:szCs w:val="24"/>
        </w:rPr>
      </w:pPr>
      <w:r w:rsidRPr="00140622">
        <w:rPr>
          <w:sz w:val="24"/>
          <w:szCs w:val="24"/>
        </w:rPr>
        <w:t xml:space="preserve">No missing data imputation will be performed in the primary analysis.  If a variable is missing in 50% of the </w:t>
      </w:r>
      <w:r w:rsidR="0074703D" w:rsidRPr="00140622">
        <w:rPr>
          <w:sz w:val="24"/>
          <w:szCs w:val="24"/>
        </w:rPr>
        <w:t xml:space="preserve">patients </w:t>
      </w:r>
      <w:r w:rsidRPr="00140622">
        <w:rPr>
          <w:sz w:val="24"/>
          <w:szCs w:val="24"/>
        </w:rPr>
        <w:t>to be included in the primary analysis or secondary analyses, then dropping the variable from analysis may be considered.  If dropouts are numerous or unbalanced among treatment groups, safety assessments among dropouts will be listed and summarized by treatment group and reason for discontinuations (grouped as due to AE, withdrew consent, lost to follow</w:t>
      </w:r>
      <w:r w:rsidR="00CA544F" w:rsidRPr="00140622">
        <w:rPr>
          <w:sz w:val="24"/>
          <w:szCs w:val="24"/>
        </w:rPr>
        <w:t>-</w:t>
      </w:r>
      <w:r w:rsidRPr="00140622">
        <w:rPr>
          <w:sz w:val="24"/>
          <w:szCs w:val="24"/>
        </w:rPr>
        <w:t>up, death, etc.).</w:t>
      </w:r>
    </w:p>
    <w:p w:rsidR="000D4598" w:rsidRPr="00140622" w:rsidRDefault="000D4598" w:rsidP="00FC1BDA">
      <w:pPr>
        <w:spacing w:before="0" w:after="0" w:line="480" w:lineRule="auto"/>
        <w:jc w:val="both"/>
        <w:rPr>
          <w:sz w:val="24"/>
          <w:szCs w:val="24"/>
        </w:rPr>
      </w:pPr>
    </w:p>
    <w:p w:rsidR="000D4598" w:rsidRPr="00140622" w:rsidRDefault="00695CEF" w:rsidP="00FC1BDA">
      <w:pPr>
        <w:spacing w:before="0" w:after="0" w:line="480" w:lineRule="auto"/>
        <w:jc w:val="both"/>
        <w:rPr>
          <w:b/>
          <w:sz w:val="24"/>
          <w:szCs w:val="24"/>
        </w:rPr>
      </w:pPr>
      <w:r w:rsidRPr="00140622">
        <w:rPr>
          <w:b/>
          <w:sz w:val="24"/>
          <w:szCs w:val="24"/>
        </w:rPr>
        <w:t>Censoring</w:t>
      </w:r>
    </w:p>
    <w:p w:rsidR="000D4598" w:rsidRPr="00140622" w:rsidRDefault="00F000D0" w:rsidP="00FC1BDA">
      <w:pPr>
        <w:spacing w:before="0" w:after="0" w:line="480" w:lineRule="auto"/>
        <w:ind w:firstLine="720"/>
        <w:jc w:val="both"/>
        <w:rPr>
          <w:sz w:val="24"/>
          <w:szCs w:val="24"/>
        </w:rPr>
      </w:pPr>
      <w:r w:rsidRPr="00140622">
        <w:rPr>
          <w:sz w:val="24"/>
          <w:szCs w:val="24"/>
        </w:rPr>
        <w:t>Subject</w:t>
      </w:r>
      <w:r w:rsidR="000D4598" w:rsidRPr="00140622">
        <w:rPr>
          <w:sz w:val="24"/>
          <w:szCs w:val="24"/>
        </w:rPr>
        <w:t xml:space="preserve">s who withdraw consent are the only </w:t>
      </w:r>
      <w:r w:rsidRPr="00140622">
        <w:rPr>
          <w:sz w:val="24"/>
          <w:szCs w:val="24"/>
        </w:rPr>
        <w:t>subjects</w:t>
      </w:r>
      <w:r w:rsidR="000D4598" w:rsidRPr="00140622">
        <w:rPr>
          <w:sz w:val="24"/>
          <w:szCs w:val="24"/>
        </w:rPr>
        <w:t xml:space="preserve"> who will be censored</w:t>
      </w:r>
      <w:r w:rsidRPr="00140622">
        <w:rPr>
          <w:sz w:val="24"/>
          <w:szCs w:val="24"/>
        </w:rPr>
        <w:t xml:space="preserve">; </w:t>
      </w:r>
      <w:r w:rsidR="000D4598" w:rsidRPr="00140622">
        <w:rPr>
          <w:sz w:val="24"/>
          <w:szCs w:val="24"/>
        </w:rPr>
        <w:t xml:space="preserve">date of withdrawal will be used as time point for censoring.  </w:t>
      </w:r>
      <w:proofErr w:type="gramStart"/>
      <w:r w:rsidR="000D4598" w:rsidRPr="00140622">
        <w:rPr>
          <w:sz w:val="24"/>
          <w:szCs w:val="24"/>
        </w:rPr>
        <w:t>All other patients who withdr</w:t>
      </w:r>
      <w:r w:rsidRPr="00140622">
        <w:rPr>
          <w:sz w:val="24"/>
          <w:szCs w:val="24"/>
        </w:rPr>
        <w:t>a</w:t>
      </w:r>
      <w:r w:rsidR="000D4598" w:rsidRPr="00140622">
        <w:rPr>
          <w:sz w:val="24"/>
          <w:szCs w:val="24"/>
        </w:rPr>
        <w:t>w or discontinue</w:t>
      </w:r>
      <w:r w:rsidR="00470B4A" w:rsidRPr="00140622">
        <w:rPr>
          <w:sz w:val="24"/>
          <w:szCs w:val="24"/>
        </w:rPr>
        <w:t xml:space="preserve"> </w:t>
      </w:r>
      <w:r w:rsidR="000D4598" w:rsidRPr="00140622">
        <w:rPr>
          <w:sz w:val="24"/>
          <w:szCs w:val="24"/>
        </w:rPr>
        <w:t>for other reasons</w:t>
      </w:r>
      <w:r w:rsidRPr="00140622">
        <w:rPr>
          <w:sz w:val="24"/>
          <w:szCs w:val="24"/>
        </w:rPr>
        <w:t>,</w:t>
      </w:r>
      <w:r w:rsidR="000D4598" w:rsidRPr="00140622">
        <w:rPr>
          <w:sz w:val="24"/>
          <w:szCs w:val="24"/>
        </w:rPr>
        <w:t xml:space="preserve"> including </w:t>
      </w:r>
      <w:r w:rsidR="00385269" w:rsidRPr="00140622">
        <w:rPr>
          <w:sz w:val="24"/>
          <w:szCs w:val="24"/>
        </w:rPr>
        <w:t>AEs</w:t>
      </w:r>
      <w:r w:rsidRPr="00140622">
        <w:rPr>
          <w:sz w:val="24"/>
          <w:szCs w:val="24"/>
        </w:rPr>
        <w:t>,</w:t>
      </w:r>
      <w:r w:rsidR="000D4598" w:rsidRPr="00140622">
        <w:rPr>
          <w:sz w:val="24"/>
          <w:szCs w:val="24"/>
        </w:rPr>
        <w:t xml:space="preserve"> will be</w:t>
      </w:r>
      <w:r w:rsidR="009E462F" w:rsidRPr="00140622">
        <w:rPr>
          <w:sz w:val="24"/>
          <w:szCs w:val="24"/>
        </w:rPr>
        <w:t xml:space="preserve"> followed for mortality at the time of SICU discharge </w:t>
      </w:r>
      <w:r w:rsidR="00CE4451">
        <w:rPr>
          <w:sz w:val="24"/>
          <w:szCs w:val="24"/>
        </w:rPr>
        <w:t>as well as at</w:t>
      </w:r>
      <w:r w:rsidR="008B014A" w:rsidRPr="00140622">
        <w:rPr>
          <w:sz w:val="24"/>
          <w:szCs w:val="24"/>
        </w:rPr>
        <w:t xml:space="preserve"> </w:t>
      </w:r>
      <w:r w:rsidR="00CE4451">
        <w:rPr>
          <w:sz w:val="24"/>
          <w:szCs w:val="24"/>
        </w:rPr>
        <w:t>h</w:t>
      </w:r>
      <w:r w:rsidR="009E462F" w:rsidRPr="00140622">
        <w:rPr>
          <w:sz w:val="24"/>
          <w:szCs w:val="24"/>
        </w:rPr>
        <w:t>ospital discharge</w:t>
      </w:r>
      <w:r w:rsidR="000D4598" w:rsidRPr="00140622">
        <w:rPr>
          <w:sz w:val="24"/>
          <w:szCs w:val="24"/>
        </w:rPr>
        <w:t>.</w:t>
      </w:r>
      <w:proofErr w:type="gramEnd"/>
    </w:p>
    <w:p w:rsidR="00EC53A6" w:rsidRPr="00140622" w:rsidRDefault="00EC53A6" w:rsidP="00FC1BDA">
      <w:pPr>
        <w:spacing w:before="0" w:after="0" w:line="480" w:lineRule="auto"/>
        <w:jc w:val="both"/>
        <w:rPr>
          <w:sz w:val="24"/>
          <w:szCs w:val="24"/>
        </w:rPr>
      </w:pPr>
    </w:p>
    <w:p w:rsidR="00695CEF" w:rsidRPr="00140622" w:rsidRDefault="00695CEF" w:rsidP="00FC1BDA">
      <w:pPr>
        <w:spacing w:before="0" w:after="0" w:line="480" w:lineRule="auto"/>
        <w:jc w:val="both"/>
        <w:rPr>
          <w:sz w:val="24"/>
          <w:szCs w:val="24"/>
        </w:rPr>
      </w:pPr>
      <w:r w:rsidRPr="00140622">
        <w:rPr>
          <w:b/>
          <w:sz w:val="24"/>
          <w:szCs w:val="24"/>
        </w:rPr>
        <w:t xml:space="preserve">Data </w:t>
      </w:r>
      <w:r w:rsidR="00EC53A6" w:rsidRPr="00140622">
        <w:rPr>
          <w:b/>
          <w:sz w:val="24"/>
          <w:szCs w:val="24"/>
        </w:rPr>
        <w:t xml:space="preserve">Analysis </w:t>
      </w:r>
    </w:p>
    <w:p w:rsidR="00EC53A6" w:rsidRPr="00140622" w:rsidRDefault="00695CEF" w:rsidP="00FC1BDA">
      <w:pPr>
        <w:spacing w:before="0" w:after="0" w:line="480" w:lineRule="auto"/>
        <w:ind w:firstLine="720"/>
        <w:jc w:val="both"/>
        <w:rPr>
          <w:sz w:val="24"/>
          <w:szCs w:val="24"/>
        </w:rPr>
      </w:pPr>
      <w:r w:rsidRPr="00140622">
        <w:rPr>
          <w:sz w:val="24"/>
          <w:szCs w:val="24"/>
        </w:rPr>
        <w:t>Data Analysis</w:t>
      </w:r>
      <w:r w:rsidRPr="00140622">
        <w:rPr>
          <w:b/>
          <w:sz w:val="24"/>
          <w:szCs w:val="24"/>
        </w:rPr>
        <w:t xml:space="preserve"> </w:t>
      </w:r>
      <w:r w:rsidR="00EC53A6" w:rsidRPr="00140622">
        <w:rPr>
          <w:sz w:val="24"/>
          <w:szCs w:val="24"/>
        </w:rPr>
        <w:t>will be performed after completion of data entry, database closure, and verification of database accuracy.  All primary and secondary analyses will be performed on the intent-to-treat basis.</w:t>
      </w:r>
    </w:p>
    <w:p w:rsidR="00E15614" w:rsidRPr="00140622" w:rsidRDefault="00E15614" w:rsidP="00FC1BDA">
      <w:pPr>
        <w:spacing w:after="120" w:line="480" w:lineRule="auto"/>
        <w:jc w:val="both"/>
        <w:rPr>
          <w:sz w:val="24"/>
          <w:szCs w:val="24"/>
        </w:rPr>
      </w:pPr>
    </w:p>
    <w:p w:rsidR="00C96295" w:rsidRPr="00140622" w:rsidRDefault="00C96295" w:rsidP="00FC1BDA">
      <w:pPr>
        <w:spacing w:before="0" w:after="0" w:line="480" w:lineRule="auto"/>
        <w:jc w:val="both"/>
        <w:rPr>
          <w:b/>
          <w:sz w:val="24"/>
          <w:szCs w:val="24"/>
        </w:rPr>
      </w:pPr>
      <w:r w:rsidRPr="00140622">
        <w:rPr>
          <w:b/>
          <w:sz w:val="24"/>
          <w:szCs w:val="24"/>
        </w:rPr>
        <w:lastRenderedPageBreak/>
        <w:t>INTERIM ANALYSES AND STOPPING RULES</w:t>
      </w:r>
    </w:p>
    <w:p w:rsidR="00722429" w:rsidRPr="00140622" w:rsidRDefault="00C96295" w:rsidP="00FC1BDA">
      <w:pPr>
        <w:spacing w:before="0" w:after="0" w:line="480" w:lineRule="auto"/>
        <w:ind w:firstLine="720"/>
        <w:jc w:val="both"/>
        <w:rPr>
          <w:sz w:val="24"/>
          <w:szCs w:val="24"/>
        </w:rPr>
      </w:pPr>
      <w:r w:rsidRPr="00140622">
        <w:rPr>
          <w:sz w:val="24"/>
          <w:szCs w:val="24"/>
        </w:rPr>
        <w:t xml:space="preserve">The planned interim analysis of key safety and endpoint data will be performed by the DMC </w:t>
      </w:r>
      <w:r w:rsidR="00127055" w:rsidRPr="00140622">
        <w:rPr>
          <w:sz w:val="24"/>
          <w:szCs w:val="24"/>
        </w:rPr>
        <w:t xml:space="preserve">every 4 months.  It is unlikely that there will be a </w:t>
      </w:r>
      <w:r w:rsidRPr="00140622">
        <w:rPr>
          <w:sz w:val="24"/>
          <w:szCs w:val="24"/>
        </w:rPr>
        <w:t>sufficient numbers of patients to claim statistically signifi</w:t>
      </w:r>
      <w:r w:rsidR="00127055" w:rsidRPr="00140622">
        <w:rPr>
          <w:sz w:val="24"/>
          <w:szCs w:val="24"/>
        </w:rPr>
        <w:t xml:space="preserve">cant differences for the secondary IFI or mortality endpoints.  </w:t>
      </w:r>
      <w:r w:rsidR="00722429" w:rsidRPr="00140622">
        <w:rPr>
          <w:sz w:val="24"/>
          <w:szCs w:val="24"/>
        </w:rPr>
        <w:t xml:space="preserve">The primary objective of these analyses will be to view the data for safety outcomes and </w:t>
      </w:r>
      <w:r w:rsidR="00127055" w:rsidRPr="00140622">
        <w:rPr>
          <w:sz w:val="24"/>
          <w:szCs w:val="24"/>
        </w:rPr>
        <w:t xml:space="preserve">to look for </w:t>
      </w:r>
      <w:r w:rsidR="00722429" w:rsidRPr="00140622">
        <w:rPr>
          <w:sz w:val="24"/>
          <w:szCs w:val="24"/>
        </w:rPr>
        <w:t xml:space="preserve">differences in mortality </w:t>
      </w:r>
      <w:r w:rsidR="00127055" w:rsidRPr="00140622">
        <w:rPr>
          <w:sz w:val="24"/>
          <w:szCs w:val="24"/>
        </w:rPr>
        <w:t xml:space="preserve">and the development of IFI </w:t>
      </w:r>
      <w:r w:rsidR="00722429" w:rsidRPr="00140622">
        <w:rPr>
          <w:sz w:val="24"/>
          <w:szCs w:val="24"/>
        </w:rPr>
        <w:t xml:space="preserve">between the </w:t>
      </w:r>
      <w:r w:rsidR="00385269" w:rsidRPr="00140622">
        <w:rPr>
          <w:sz w:val="24"/>
          <w:szCs w:val="24"/>
        </w:rPr>
        <w:t>2</w:t>
      </w:r>
      <w:r w:rsidR="00722429" w:rsidRPr="00140622">
        <w:rPr>
          <w:sz w:val="24"/>
          <w:szCs w:val="24"/>
        </w:rPr>
        <w:t xml:space="preserve"> arms.  Other objectives are to review patient recruitment, compliance with study protocol submission of data forms, and other factors that reflect study progress.</w:t>
      </w:r>
      <w:r w:rsidR="00B03A2C" w:rsidRPr="00140622" w:rsidDel="00B03A2C">
        <w:rPr>
          <w:sz w:val="24"/>
          <w:szCs w:val="24"/>
        </w:rPr>
        <w:t xml:space="preserve"> </w:t>
      </w:r>
      <w:r w:rsidR="00B03A2C" w:rsidRPr="00140622">
        <w:rPr>
          <w:sz w:val="24"/>
          <w:szCs w:val="24"/>
        </w:rPr>
        <w:t xml:space="preserve"> </w:t>
      </w:r>
      <w:r w:rsidR="00722429" w:rsidRPr="00140622">
        <w:rPr>
          <w:sz w:val="24"/>
          <w:szCs w:val="24"/>
        </w:rPr>
        <w:t xml:space="preserve">If significantly large and important differences are observed in mortality </w:t>
      </w:r>
      <w:r w:rsidR="00127055" w:rsidRPr="00140622">
        <w:rPr>
          <w:sz w:val="24"/>
          <w:szCs w:val="24"/>
        </w:rPr>
        <w:t xml:space="preserve">or IFI prevalence </w:t>
      </w:r>
      <w:r w:rsidR="00722429" w:rsidRPr="00140622">
        <w:rPr>
          <w:sz w:val="24"/>
          <w:szCs w:val="24"/>
        </w:rPr>
        <w:t xml:space="preserve">between the </w:t>
      </w:r>
      <w:r w:rsidR="00385269" w:rsidRPr="00140622">
        <w:rPr>
          <w:sz w:val="24"/>
          <w:szCs w:val="24"/>
        </w:rPr>
        <w:t>2</w:t>
      </w:r>
      <w:r w:rsidR="00722429" w:rsidRPr="00140622">
        <w:rPr>
          <w:sz w:val="24"/>
          <w:szCs w:val="24"/>
        </w:rPr>
        <w:t xml:space="preserve"> arms, the DMC may recommend the randomization of patients be stopped, or if the difference observed is indicative of efficacy, the design and conduct of the trial may be modified to recruit more patients and </w:t>
      </w:r>
      <w:r w:rsidR="00CA544F" w:rsidRPr="00140622">
        <w:rPr>
          <w:sz w:val="24"/>
          <w:szCs w:val="24"/>
        </w:rPr>
        <w:t xml:space="preserve">to </w:t>
      </w:r>
      <w:r w:rsidR="00722429" w:rsidRPr="00140622">
        <w:rPr>
          <w:sz w:val="24"/>
          <w:szCs w:val="24"/>
        </w:rPr>
        <w:t xml:space="preserve">design the trial to evaluate differences in mortality between the </w:t>
      </w:r>
      <w:r w:rsidR="00385269" w:rsidRPr="00140622">
        <w:rPr>
          <w:sz w:val="24"/>
          <w:szCs w:val="24"/>
        </w:rPr>
        <w:t>2</w:t>
      </w:r>
      <w:r w:rsidR="00722429" w:rsidRPr="00140622">
        <w:rPr>
          <w:sz w:val="24"/>
          <w:szCs w:val="24"/>
        </w:rPr>
        <w:t xml:space="preserve"> arms.</w:t>
      </w:r>
    </w:p>
    <w:p w:rsidR="00B03A2C" w:rsidRPr="00140622" w:rsidRDefault="00B03A2C" w:rsidP="00FC1BDA">
      <w:pPr>
        <w:spacing w:before="0" w:after="0" w:line="480" w:lineRule="auto"/>
        <w:jc w:val="both"/>
        <w:rPr>
          <w:sz w:val="24"/>
          <w:szCs w:val="24"/>
        </w:rPr>
      </w:pPr>
    </w:p>
    <w:p w:rsidR="00002774" w:rsidRPr="00140622" w:rsidRDefault="00002774" w:rsidP="00FC1BDA">
      <w:pPr>
        <w:spacing w:before="0" w:after="0" w:line="480" w:lineRule="auto"/>
        <w:jc w:val="both"/>
        <w:rPr>
          <w:b/>
          <w:sz w:val="24"/>
          <w:szCs w:val="24"/>
        </w:rPr>
      </w:pPr>
      <w:bookmarkStart w:id="22" w:name="_Toc57126405"/>
      <w:r w:rsidRPr="00140622">
        <w:rPr>
          <w:b/>
          <w:sz w:val="24"/>
          <w:szCs w:val="24"/>
        </w:rPr>
        <w:t>DIRECT ACCESS TO SOURCE DATA/DOCUMENTS</w:t>
      </w:r>
      <w:bookmarkEnd w:id="22"/>
    </w:p>
    <w:p w:rsidR="00002774" w:rsidRPr="00140622" w:rsidRDefault="00002774" w:rsidP="00FC1BDA">
      <w:pPr>
        <w:spacing w:before="0" w:after="0" w:line="480" w:lineRule="auto"/>
        <w:ind w:firstLine="720"/>
        <w:jc w:val="both"/>
        <w:rPr>
          <w:sz w:val="24"/>
          <w:szCs w:val="24"/>
        </w:rPr>
      </w:pPr>
      <w:r w:rsidRPr="00140622">
        <w:rPr>
          <w:sz w:val="24"/>
          <w:szCs w:val="24"/>
        </w:rPr>
        <w:t xml:space="preserve">The patients </w:t>
      </w:r>
      <w:r w:rsidR="00385269" w:rsidRPr="00140622">
        <w:rPr>
          <w:sz w:val="24"/>
          <w:szCs w:val="24"/>
        </w:rPr>
        <w:t>(</w:t>
      </w:r>
      <w:r w:rsidRPr="00140622">
        <w:rPr>
          <w:sz w:val="24"/>
          <w:szCs w:val="24"/>
        </w:rPr>
        <w:t>or their legal representative</w:t>
      </w:r>
      <w:r w:rsidR="00385269" w:rsidRPr="00140622">
        <w:rPr>
          <w:sz w:val="24"/>
          <w:szCs w:val="24"/>
        </w:rPr>
        <w:t>)</w:t>
      </w:r>
      <w:r w:rsidRPr="00140622">
        <w:rPr>
          <w:sz w:val="24"/>
          <w:szCs w:val="24"/>
        </w:rPr>
        <w:t xml:space="preserve"> must also allow access to the patients’ medical records. </w:t>
      </w:r>
      <w:r w:rsidR="00127055" w:rsidRPr="00140622">
        <w:rPr>
          <w:sz w:val="24"/>
          <w:szCs w:val="24"/>
        </w:rPr>
        <w:t xml:space="preserve"> </w:t>
      </w:r>
      <w:r w:rsidRPr="00140622">
        <w:rPr>
          <w:sz w:val="24"/>
          <w:szCs w:val="24"/>
        </w:rPr>
        <w:t xml:space="preserve">They will be informed of this and will be acknowledging their agreement when signing the </w:t>
      </w:r>
      <w:r w:rsidR="00CA544F" w:rsidRPr="00140622">
        <w:rPr>
          <w:sz w:val="24"/>
          <w:szCs w:val="24"/>
        </w:rPr>
        <w:t>i</w:t>
      </w:r>
      <w:r w:rsidRPr="00140622">
        <w:rPr>
          <w:sz w:val="24"/>
          <w:szCs w:val="24"/>
        </w:rPr>
        <w:t xml:space="preserve">nformed </w:t>
      </w:r>
      <w:r w:rsidR="00CA544F" w:rsidRPr="00140622">
        <w:rPr>
          <w:sz w:val="24"/>
          <w:szCs w:val="24"/>
        </w:rPr>
        <w:t>c</w:t>
      </w:r>
      <w:r w:rsidRPr="00140622">
        <w:rPr>
          <w:sz w:val="24"/>
          <w:szCs w:val="24"/>
        </w:rPr>
        <w:t>onsent.  Access to patient records and source data must be made available to the IRB, auditors, regulatory authorities</w:t>
      </w:r>
      <w:r w:rsidR="00CA544F" w:rsidRPr="00140622">
        <w:rPr>
          <w:sz w:val="24"/>
          <w:szCs w:val="24"/>
        </w:rPr>
        <w:t xml:space="preserve">, </w:t>
      </w:r>
      <w:r w:rsidR="00835049">
        <w:rPr>
          <w:sz w:val="24"/>
          <w:szCs w:val="24"/>
        </w:rPr>
        <w:t xml:space="preserve">and </w:t>
      </w:r>
      <w:r w:rsidRPr="00140622">
        <w:rPr>
          <w:sz w:val="24"/>
          <w:szCs w:val="24"/>
        </w:rPr>
        <w:t>the sponsor</w:t>
      </w:r>
      <w:r w:rsidR="00C43487">
        <w:rPr>
          <w:sz w:val="24"/>
          <w:szCs w:val="24"/>
        </w:rPr>
        <w:t xml:space="preserve"> as appropriate</w:t>
      </w:r>
      <w:r w:rsidR="00835049">
        <w:rPr>
          <w:sz w:val="24"/>
          <w:szCs w:val="24"/>
        </w:rPr>
        <w:t>.</w:t>
      </w:r>
    </w:p>
    <w:p w:rsidR="008F4332" w:rsidRPr="00140622" w:rsidRDefault="008F4332" w:rsidP="00FC1BDA">
      <w:pPr>
        <w:spacing w:before="0" w:after="0" w:line="480" w:lineRule="auto"/>
        <w:jc w:val="both"/>
        <w:rPr>
          <w:b/>
          <w:sz w:val="24"/>
          <w:szCs w:val="24"/>
        </w:rPr>
      </w:pPr>
      <w:bookmarkStart w:id="23" w:name="_Toc57126406"/>
    </w:p>
    <w:p w:rsidR="00002774" w:rsidRPr="00140622" w:rsidRDefault="00002774" w:rsidP="00FC1BDA">
      <w:pPr>
        <w:spacing w:before="0" w:after="0" w:line="480" w:lineRule="auto"/>
        <w:jc w:val="both"/>
        <w:rPr>
          <w:b/>
          <w:sz w:val="24"/>
          <w:szCs w:val="24"/>
        </w:rPr>
      </w:pPr>
      <w:r w:rsidRPr="00140622">
        <w:rPr>
          <w:b/>
          <w:sz w:val="24"/>
          <w:szCs w:val="24"/>
        </w:rPr>
        <w:t>QUALITY CONTROL AND QUALITY ASSURANCE</w:t>
      </w:r>
      <w:bookmarkEnd w:id="23"/>
    </w:p>
    <w:p w:rsidR="00002774" w:rsidRPr="00140622" w:rsidRDefault="00C43487" w:rsidP="00FC1BDA">
      <w:pPr>
        <w:spacing w:before="0" w:after="0" w:line="480" w:lineRule="auto"/>
        <w:ind w:firstLine="720"/>
        <w:jc w:val="both"/>
        <w:rPr>
          <w:sz w:val="24"/>
          <w:szCs w:val="24"/>
        </w:rPr>
      </w:pPr>
      <w:r w:rsidRPr="00140622">
        <w:rPr>
          <w:sz w:val="24"/>
          <w:szCs w:val="24"/>
        </w:rPr>
        <w:t xml:space="preserve">All data collected </w:t>
      </w:r>
      <w:r>
        <w:rPr>
          <w:sz w:val="24"/>
          <w:szCs w:val="24"/>
        </w:rPr>
        <w:t xml:space="preserve">on the study CRFs </w:t>
      </w:r>
      <w:r w:rsidRPr="00140622">
        <w:rPr>
          <w:sz w:val="24"/>
          <w:szCs w:val="24"/>
        </w:rPr>
        <w:t xml:space="preserve">will be entered into a password protected electronic ACCESS database.  </w:t>
      </w:r>
      <w:r>
        <w:rPr>
          <w:sz w:val="24"/>
          <w:szCs w:val="24"/>
        </w:rPr>
        <w:t xml:space="preserve">Every 4 months, verification of data within the electronic data base will be compared to source documents and CRFs </w:t>
      </w:r>
      <w:r w:rsidR="00002774" w:rsidRPr="00140622">
        <w:rPr>
          <w:sz w:val="24"/>
          <w:szCs w:val="24"/>
        </w:rPr>
        <w:t>to insure the accuracy, consistency, completeness</w:t>
      </w:r>
      <w:r w:rsidR="00385269" w:rsidRPr="00140622">
        <w:rPr>
          <w:sz w:val="24"/>
          <w:szCs w:val="24"/>
        </w:rPr>
        <w:t>,</w:t>
      </w:r>
      <w:r w:rsidR="00002774" w:rsidRPr="00140622">
        <w:rPr>
          <w:sz w:val="24"/>
          <w:szCs w:val="24"/>
        </w:rPr>
        <w:t xml:space="preserve"> and reliability of the data.  </w:t>
      </w:r>
      <w:bookmarkStart w:id="24" w:name="_Toc355680232"/>
      <w:bookmarkStart w:id="25" w:name="_Toc355681617"/>
      <w:bookmarkStart w:id="26" w:name="_Toc355764567"/>
      <w:bookmarkStart w:id="27" w:name="_Toc355764615"/>
      <w:bookmarkStart w:id="28" w:name="_Toc355764850"/>
      <w:bookmarkStart w:id="29" w:name="_Toc355764894"/>
      <w:bookmarkStart w:id="30" w:name="_Toc355765093"/>
      <w:bookmarkStart w:id="31" w:name="_Toc57126407"/>
    </w:p>
    <w:p w:rsidR="008F4332" w:rsidRPr="00140622" w:rsidRDefault="008F4332" w:rsidP="00FC1BDA">
      <w:pPr>
        <w:spacing w:before="0" w:after="0" w:line="480" w:lineRule="auto"/>
        <w:jc w:val="both"/>
        <w:rPr>
          <w:b/>
          <w:sz w:val="24"/>
          <w:szCs w:val="24"/>
        </w:rPr>
      </w:pPr>
    </w:p>
    <w:p w:rsidR="00002774" w:rsidRPr="00140622" w:rsidRDefault="00002774" w:rsidP="00FC1BDA">
      <w:pPr>
        <w:spacing w:before="0" w:after="0" w:line="480" w:lineRule="auto"/>
        <w:jc w:val="both"/>
        <w:rPr>
          <w:b/>
          <w:sz w:val="24"/>
          <w:szCs w:val="24"/>
        </w:rPr>
      </w:pPr>
      <w:r w:rsidRPr="00140622">
        <w:rPr>
          <w:b/>
          <w:sz w:val="24"/>
          <w:szCs w:val="24"/>
        </w:rPr>
        <w:t>ETHICS</w:t>
      </w:r>
      <w:bookmarkEnd w:id="24"/>
      <w:bookmarkEnd w:id="25"/>
      <w:bookmarkEnd w:id="26"/>
      <w:bookmarkEnd w:id="27"/>
      <w:bookmarkEnd w:id="28"/>
      <w:bookmarkEnd w:id="29"/>
      <w:bookmarkEnd w:id="30"/>
      <w:bookmarkEnd w:id="31"/>
    </w:p>
    <w:p w:rsidR="00002774" w:rsidRPr="00140622" w:rsidRDefault="00002774" w:rsidP="00FC1BDA">
      <w:pPr>
        <w:spacing w:before="0" w:after="0" w:line="480" w:lineRule="auto"/>
        <w:ind w:firstLine="720"/>
        <w:jc w:val="both"/>
        <w:rPr>
          <w:sz w:val="24"/>
          <w:szCs w:val="24"/>
        </w:rPr>
      </w:pPr>
      <w:r w:rsidRPr="00140622">
        <w:rPr>
          <w:sz w:val="24"/>
          <w:szCs w:val="24"/>
        </w:rPr>
        <w:t xml:space="preserve">The study will be conducted in compliance with the protocol, </w:t>
      </w:r>
      <w:r w:rsidR="00CA544F" w:rsidRPr="00140622">
        <w:rPr>
          <w:sz w:val="24"/>
          <w:szCs w:val="24"/>
        </w:rPr>
        <w:t>good clinical practice,</w:t>
      </w:r>
      <w:r w:rsidRPr="00140622">
        <w:rPr>
          <w:sz w:val="24"/>
          <w:szCs w:val="24"/>
        </w:rPr>
        <w:t xml:space="preserve"> and all applicable regulatory requirements. </w:t>
      </w:r>
      <w:r w:rsidR="00835049">
        <w:rPr>
          <w:sz w:val="24"/>
          <w:szCs w:val="24"/>
        </w:rPr>
        <w:t xml:space="preserve"> </w:t>
      </w:r>
      <w:r w:rsidRPr="00140622">
        <w:rPr>
          <w:sz w:val="24"/>
          <w:szCs w:val="24"/>
        </w:rPr>
        <w:t xml:space="preserve">The study must be approved by the IRB </w:t>
      </w:r>
      <w:r w:rsidR="00F228AE" w:rsidRPr="00140622">
        <w:rPr>
          <w:sz w:val="24"/>
          <w:szCs w:val="24"/>
        </w:rPr>
        <w:t xml:space="preserve">prior to screening </w:t>
      </w:r>
      <w:r w:rsidRPr="00140622">
        <w:rPr>
          <w:sz w:val="24"/>
          <w:szCs w:val="24"/>
        </w:rPr>
        <w:t xml:space="preserve">in accordance with </w:t>
      </w:r>
      <w:r w:rsidR="0021384B" w:rsidRPr="00140622">
        <w:rPr>
          <w:sz w:val="24"/>
          <w:szCs w:val="24"/>
        </w:rPr>
        <w:t xml:space="preserve">Duke </w:t>
      </w:r>
      <w:proofErr w:type="gramStart"/>
      <w:r w:rsidR="0021384B" w:rsidRPr="00140622">
        <w:rPr>
          <w:sz w:val="24"/>
          <w:szCs w:val="24"/>
        </w:rPr>
        <w:t>policies</w:t>
      </w:r>
      <w:proofErr w:type="gramEnd"/>
      <w:r w:rsidR="0021384B" w:rsidRPr="00140622">
        <w:rPr>
          <w:sz w:val="24"/>
          <w:szCs w:val="24"/>
        </w:rPr>
        <w:t xml:space="preserve"> and guidelines.</w:t>
      </w:r>
    </w:p>
    <w:p w:rsidR="008F4332" w:rsidRPr="00140622" w:rsidRDefault="008F4332" w:rsidP="00FC1BDA">
      <w:pPr>
        <w:spacing w:before="0" w:after="0" w:line="480" w:lineRule="auto"/>
        <w:jc w:val="both"/>
        <w:rPr>
          <w:b/>
          <w:sz w:val="24"/>
          <w:szCs w:val="24"/>
        </w:rPr>
      </w:pPr>
      <w:bookmarkStart w:id="32" w:name="_Toc350049687"/>
      <w:bookmarkStart w:id="33" w:name="_Toc350051893"/>
      <w:bookmarkStart w:id="34" w:name="_Toc355680234"/>
      <w:bookmarkStart w:id="35" w:name="_Toc355681619"/>
      <w:bookmarkStart w:id="36" w:name="_Toc355764569"/>
      <w:bookmarkStart w:id="37" w:name="_Toc355764617"/>
      <w:bookmarkStart w:id="38" w:name="_Toc355764852"/>
      <w:bookmarkStart w:id="39" w:name="_Toc355764896"/>
      <w:bookmarkStart w:id="40" w:name="_Toc355765095"/>
      <w:bookmarkStart w:id="41" w:name="_Toc57126409"/>
    </w:p>
    <w:p w:rsidR="00002774" w:rsidRPr="00140622" w:rsidRDefault="00002774" w:rsidP="00FC1BDA">
      <w:pPr>
        <w:spacing w:before="0" w:after="0" w:line="480" w:lineRule="auto"/>
        <w:jc w:val="both"/>
        <w:rPr>
          <w:b/>
          <w:sz w:val="24"/>
          <w:szCs w:val="24"/>
        </w:rPr>
      </w:pPr>
      <w:r w:rsidRPr="00140622">
        <w:rPr>
          <w:b/>
          <w:sz w:val="24"/>
          <w:szCs w:val="24"/>
        </w:rPr>
        <w:t>INFORMED CONSENT</w:t>
      </w:r>
      <w:bookmarkEnd w:id="32"/>
      <w:bookmarkEnd w:id="33"/>
      <w:bookmarkEnd w:id="34"/>
      <w:bookmarkEnd w:id="35"/>
      <w:bookmarkEnd w:id="36"/>
      <w:bookmarkEnd w:id="37"/>
      <w:bookmarkEnd w:id="38"/>
      <w:bookmarkEnd w:id="39"/>
      <w:bookmarkEnd w:id="40"/>
      <w:bookmarkEnd w:id="41"/>
    </w:p>
    <w:p w:rsidR="00002774" w:rsidRPr="00140622" w:rsidRDefault="00002774" w:rsidP="00FC1BDA">
      <w:pPr>
        <w:spacing w:before="0" w:after="0" w:line="480" w:lineRule="auto"/>
        <w:ind w:firstLine="720"/>
        <w:jc w:val="both"/>
        <w:rPr>
          <w:sz w:val="24"/>
          <w:szCs w:val="24"/>
        </w:rPr>
      </w:pPr>
      <w:r w:rsidRPr="00140622">
        <w:rPr>
          <w:sz w:val="24"/>
          <w:szCs w:val="24"/>
        </w:rPr>
        <w:t xml:space="preserve">Properly executed written </w:t>
      </w:r>
      <w:r w:rsidR="00CA544F" w:rsidRPr="00140622">
        <w:rPr>
          <w:sz w:val="24"/>
          <w:szCs w:val="24"/>
        </w:rPr>
        <w:t>i</w:t>
      </w:r>
      <w:r w:rsidRPr="00140622">
        <w:rPr>
          <w:sz w:val="24"/>
          <w:szCs w:val="24"/>
        </w:rPr>
        <w:t xml:space="preserve">nformed </w:t>
      </w:r>
      <w:r w:rsidR="00CA544F" w:rsidRPr="00140622">
        <w:rPr>
          <w:sz w:val="24"/>
          <w:szCs w:val="24"/>
        </w:rPr>
        <w:t>c</w:t>
      </w:r>
      <w:r w:rsidRPr="00140622">
        <w:rPr>
          <w:sz w:val="24"/>
          <w:szCs w:val="24"/>
        </w:rPr>
        <w:t>onsent, in compliance with 21 C</w:t>
      </w:r>
      <w:r w:rsidR="00CA544F" w:rsidRPr="00140622">
        <w:rPr>
          <w:sz w:val="24"/>
          <w:szCs w:val="24"/>
        </w:rPr>
        <w:t xml:space="preserve">ode of </w:t>
      </w:r>
      <w:r w:rsidRPr="00140622">
        <w:rPr>
          <w:sz w:val="24"/>
          <w:szCs w:val="24"/>
        </w:rPr>
        <w:t>F</w:t>
      </w:r>
      <w:r w:rsidR="00CA544F" w:rsidRPr="00140622">
        <w:rPr>
          <w:sz w:val="24"/>
          <w:szCs w:val="24"/>
        </w:rPr>
        <w:t xml:space="preserve">ederal </w:t>
      </w:r>
      <w:r w:rsidRPr="00140622">
        <w:rPr>
          <w:sz w:val="24"/>
          <w:szCs w:val="24"/>
        </w:rPr>
        <w:t>R</w:t>
      </w:r>
      <w:r w:rsidR="00CA544F" w:rsidRPr="00140622">
        <w:rPr>
          <w:sz w:val="24"/>
          <w:szCs w:val="24"/>
        </w:rPr>
        <w:t>egulations</w:t>
      </w:r>
      <w:r w:rsidRPr="00140622">
        <w:rPr>
          <w:sz w:val="24"/>
          <w:szCs w:val="24"/>
        </w:rPr>
        <w:t xml:space="preserve"> 50 and International Conference on Harmonization (ICH) guidelines, shall be obtained from each patient or patient’s authorized legal representative prior to entering the patient into the trial.  The Investigator shall provide a copy of the signed </w:t>
      </w:r>
      <w:r w:rsidR="00CA544F" w:rsidRPr="00140622">
        <w:rPr>
          <w:sz w:val="24"/>
          <w:szCs w:val="24"/>
        </w:rPr>
        <w:t>i</w:t>
      </w:r>
      <w:r w:rsidRPr="00140622">
        <w:rPr>
          <w:sz w:val="24"/>
          <w:szCs w:val="24"/>
        </w:rPr>
        <w:t xml:space="preserve">nformed </w:t>
      </w:r>
      <w:r w:rsidR="00CA544F" w:rsidRPr="00140622">
        <w:rPr>
          <w:sz w:val="24"/>
          <w:szCs w:val="24"/>
        </w:rPr>
        <w:t>c</w:t>
      </w:r>
      <w:r w:rsidRPr="00140622">
        <w:rPr>
          <w:sz w:val="24"/>
          <w:szCs w:val="24"/>
        </w:rPr>
        <w:t xml:space="preserve">onsent to the patient or patient’s authorized legal representative and a copy shall be maintained in the patient’s record file. </w:t>
      </w:r>
      <w:bookmarkStart w:id="42" w:name="_Toc57126410"/>
    </w:p>
    <w:p w:rsidR="00695CEF" w:rsidRPr="00140622" w:rsidRDefault="00695CEF" w:rsidP="00FC1BDA">
      <w:pPr>
        <w:spacing w:before="0" w:after="0" w:line="480" w:lineRule="auto"/>
        <w:jc w:val="both"/>
        <w:rPr>
          <w:b/>
          <w:sz w:val="24"/>
          <w:szCs w:val="24"/>
        </w:rPr>
      </w:pPr>
    </w:p>
    <w:p w:rsidR="00002774" w:rsidRPr="00140622" w:rsidRDefault="00002774" w:rsidP="00FC1BDA">
      <w:pPr>
        <w:spacing w:before="0" w:after="0" w:line="480" w:lineRule="auto"/>
        <w:jc w:val="both"/>
        <w:rPr>
          <w:b/>
          <w:sz w:val="24"/>
          <w:szCs w:val="24"/>
        </w:rPr>
      </w:pPr>
      <w:r w:rsidRPr="00140622">
        <w:rPr>
          <w:b/>
          <w:sz w:val="24"/>
          <w:szCs w:val="24"/>
        </w:rPr>
        <w:t>DATA HANDLING AND RECORD KEEPING</w:t>
      </w:r>
      <w:bookmarkEnd w:id="42"/>
    </w:p>
    <w:p w:rsidR="00002774" w:rsidRPr="00140622" w:rsidRDefault="00002774" w:rsidP="00FC1BDA">
      <w:pPr>
        <w:spacing w:before="0" w:after="0" w:line="480" w:lineRule="auto"/>
        <w:ind w:firstLine="720"/>
        <w:jc w:val="both"/>
        <w:rPr>
          <w:sz w:val="24"/>
          <w:szCs w:val="24"/>
        </w:rPr>
      </w:pPr>
      <w:r w:rsidRPr="00140622">
        <w:rPr>
          <w:sz w:val="24"/>
          <w:szCs w:val="24"/>
        </w:rPr>
        <w:t xml:space="preserve">The CRFs must be completed in permanent black ink using a ballpoint pen.  The form must be legible. </w:t>
      </w:r>
      <w:r w:rsidR="00835049">
        <w:rPr>
          <w:sz w:val="24"/>
          <w:szCs w:val="24"/>
        </w:rPr>
        <w:t xml:space="preserve"> </w:t>
      </w:r>
      <w:r w:rsidRPr="00140622">
        <w:rPr>
          <w:sz w:val="24"/>
          <w:szCs w:val="24"/>
        </w:rPr>
        <w:t>Correction to data on a CRF may be made only by putting a single line through the incorrect data and writing the correct value, allowing the original text to remain legible.  Each correction should be initialed and dated by the person making the change.  If corrections are made after review and signature by the Investigator, he/she must be made aware of the changes and document this awareness.</w:t>
      </w:r>
      <w:r w:rsidR="0021384B" w:rsidRPr="00140622">
        <w:rPr>
          <w:sz w:val="24"/>
          <w:szCs w:val="24"/>
        </w:rPr>
        <w:t xml:space="preserve">  The consent forms and CRFs will be stored in a locked file cabinet in the PIs office.</w:t>
      </w:r>
    </w:p>
    <w:p w:rsidR="00B03A2C" w:rsidRPr="00140622" w:rsidRDefault="00B03A2C" w:rsidP="00FC1BDA">
      <w:pPr>
        <w:spacing w:before="0" w:after="0" w:line="480" w:lineRule="auto"/>
        <w:jc w:val="both"/>
        <w:rPr>
          <w:b/>
          <w:sz w:val="24"/>
          <w:szCs w:val="24"/>
        </w:rPr>
      </w:pPr>
    </w:p>
    <w:p w:rsidR="00002774" w:rsidRPr="00140622" w:rsidRDefault="00002774" w:rsidP="00FC1BDA">
      <w:pPr>
        <w:spacing w:before="0" w:after="0" w:line="480" w:lineRule="auto"/>
        <w:jc w:val="both"/>
        <w:rPr>
          <w:b/>
          <w:sz w:val="24"/>
          <w:szCs w:val="24"/>
        </w:rPr>
      </w:pPr>
      <w:r w:rsidRPr="00140622">
        <w:rPr>
          <w:b/>
          <w:sz w:val="24"/>
          <w:szCs w:val="24"/>
        </w:rPr>
        <w:t>RECORDS RETENTION</w:t>
      </w:r>
    </w:p>
    <w:p w:rsidR="00002774" w:rsidRPr="00140622" w:rsidRDefault="00002774" w:rsidP="00FC1BDA">
      <w:pPr>
        <w:spacing w:before="0" w:after="0" w:line="480" w:lineRule="auto"/>
        <w:ind w:firstLine="720"/>
        <w:jc w:val="both"/>
        <w:rPr>
          <w:sz w:val="24"/>
          <w:szCs w:val="24"/>
        </w:rPr>
      </w:pPr>
      <w:r w:rsidRPr="00140622">
        <w:rPr>
          <w:sz w:val="24"/>
          <w:szCs w:val="24"/>
        </w:rPr>
        <w:lastRenderedPageBreak/>
        <w:t xml:space="preserve">To comply with FDA regulations, the </w:t>
      </w:r>
      <w:r w:rsidR="0021384B" w:rsidRPr="00140622">
        <w:rPr>
          <w:sz w:val="24"/>
          <w:szCs w:val="24"/>
        </w:rPr>
        <w:t xml:space="preserve">PI will </w:t>
      </w:r>
      <w:r w:rsidRPr="00140622">
        <w:rPr>
          <w:sz w:val="24"/>
          <w:szCs w:val="24"/>
        </w:rPr>
        <w:t xml:space="preserve">maintain the records of drug disposition, patient exclusion logs, signed consent forms, </w:t>
      </w:r>
      <w:r w:rsidR="00CA544F" w:rsidRPr="00140622">
        <w:rPr>
          <w:sz w:val="24"/>
          <w:szCs w:val="24"/>
        </w:rPr>
        <w:t>CRFs,</w:t>
      </w:r>
      <w:r w:rsidRPr="00140622">
        <w:rPr>
          <w:sz w:val="24"/>
          <w:szCs w:val="24"/>
        </w:rPr>
        <w:t xml:space="preserve"> all correspondence, and supporting </w:t>
      </w:r>
      <w:r w:rsidR="00286343">
        <w:rPr>
          <w:sz w:val="24"/>
          <w:szCs w:val="24"/>
        </w:rPr>
        <w:t>documentation for a minimum of 6</w:t>
      </w:r>
      <w:r w:rsidRPr="00140622">
        <w:rPr>
          <w:sz w:val="24"/>
          <w:szCs w:val="24"/>
        </w:rPr>
        <w:t xml:space="preserve"> years after the investigation is</w:t>
      </w:r>
      <w:r w:rsidR="0021384B" w:rsidRPr="00140622">
        <w:rPr>
          <w:sz w:val="24"/>
          <w:szCs w:val="24"/>
        </w:rPr>
        <w:t xml:space="preserve"> complete</w:t>
      </w:r>
      <w:r w:rsidRPr="00140622">
        <w:rPr>
          <w:sz w:val="24"/>
          <w:szCs w:val="24"/>
        </w:rPr>
        <w:t>.</w:t>
      </w:r>
      <w:r w:rsidR="0021384B" w:rsidRPr="00140622">
        <w:rPr>
          <w:sz w:val="24"/>
          <w:szCs w:val="24"/>
        </w:rPr>
        <w:t xml:space="preserve">  </w:t>
      </w:r>
      <w:r w:rsidRPr="00140622">
        <w:rPr>
          <w:sz w:val="24"/>
          <w:szCs w:val="24"/>
        </w:rPr>
        <w:t>The Investigator may withdraw from the responsibility to maintain records and transfer custody of the records to another person who will accept responsibility for them.  Notice of transfer must be given to the sponsor preferably before, but no later than, 10 days after transfer.</w:t>
      </w:r>
      <w:bookmarkStart w:id="43" w:name="_Toc57126411"/>
    </w:p>
    <w:p w:rsidR="008F4332" w:rsidRPr="00140622" w:rsidRDefault="008F4332" w:rsidP="00FC1BDA">
      <w:pPr>
        <w:spacing w:before="0" w:after="0" w:line="480" w:lineRule="auto"/>
        <w:jc w:val="both"/>
        <w:rPr>
          <w:b/>
          <w:sz w:val="24"/>
          <w:szCs w:val="24"/>
        </w:rPr>
      </w:pPr>
    </w:p>
    <w:p w:rsidR="00002774" w:rsidRPr="00140622" w:rsidRDefault="00002774" w:rsidP="00FC1BDA">
      <w:pPr>
        <w:spacing w:before="0" w:after="0" w:line="480" w:lineRule="auto"/>
        <w:jc w:val="both"/>
        <w:rPr>
          <w:b/>
          <w:sz w:val="24"/>
          <w:szCs w:val="24"/>
        </w:rPr>
      </w:pPr>
      <w:r w:rsidRPr="00140622">
        <w:rPr>
          <w:b/>
          <w:sz w:val="24"/>
          <w:szCs w:val="24"/>
        </w:rPr>
        <w:t>D</w:t>
      </w:r>
      <w:bookmarkEnd w:id="43"/>
      <w:r w:rsidRPr="00140622">
        <w:rPr>
          <w:b/>
          <w:sz w:val="24"/>
          <w:szCs w:val="24"/>
        </w:rPr>
        <w:t>ATA MONITORING</w:t>
      </w:r>
    </w:p>
    <w:p w:rsidR="00002774" w:rsidRPr="00140622" w:rsidRDefault="00002774" w:rsidP="00FC1BDA">
      <w:pPr>
        <w:spacing w:before="0" w:after="0" w:line="480" w:lineRule="auto"/>
        <w:ind w:firstLine="720"/>
        <w:jc w:val="both"/>
        <w:rPr>
          <w:sz w:val="24"/>
          <w:szCs w:val="24"/>
        </w:rPr>
      </w:pPr>
      <w:r w:rsidRPr="00140622">
        <w:rPr>
          <w:sz w:val="24"/>
          <w:szCs w:val="24"/>
        </w:rPr>
        <w:t xml:space="preserve">During the course </w:t>
      </w:r>
      <w:r w:rsidR="00835049">
        <w:rPr>
          <w:sz w:val="24"/>
          <w:szCs w:val="24"/>
        </w:rPr>
        <w:t>of the study, the sponsor</w:t>
      </w:r>
      <w:r w:rsidR="00CA544F" w:rsidRPr="00140622">
        <w:rPr>
          <w:sz w:val="24"/>
          <w:szCs w:val="24"/>
        </w:rPr>
        <w:t xml:space="preserve"> </w:t>
      </w:r>
      <w:r w:rsidR="00E3275F">
        <w:rPr>
          <w:sz w:val="24"/>
          <w:szCs w:val="24"/>
        </w:rPr>
        <w:t xml:space="preserve">or the IRB </w:t>
      </w:r>
      <w:r w:rsidRPr="00140622">
        <w:rPr>
          <w:sz w:val="24"/>
          <w:szCs w:val="24"/>
        </w:rPr>
        <w:t>may conduct an on</w:t>
      </w:r>
      <w:r w:rsidR="00CA544F" w:rsidRPr="00140622">
        <w:rPr>
          <w:sz w:val="24"/>
          <w:szCs w:val="24"/>
        </w:rPr>
        <w:t>-</w:t>
      </w:r>
      <w:r w:rsidRPr="00140622">
        <w:rPr>
          <w:sz w:val="24"/>
          <w:szCs w:val="24"/>
        </w:rPr>
        <w:t>site audit.</w:t>
      </w:r>
    </w:p>
    <w:p w:rsidR="008F4332" w:rsidRPr="00140622" w:rsidRDefault="008F4332" w:rsidP="00FC1BDA">
      <w:pPr>
        <w:spacing w:before="0" w:after="0" w:line="480" w:lineRule="auto"/>
        <w:jc w:val="both"/>
        <w:rPr>
          <w:b/>
          <w:sz w:val="24"/>
          <w:szCs w:val="24"/>
        </w:rPr>
      </w:pPr>
    </w:p>
    <w:p w:rsidR="00002774" w:rsidRPr="00140622" w:rsidRDefault="00002774" w:rsidP="00FC1BDA">
      <w:pPr>
        <w:spacing w:before="0" w:after="0" w:line="480" w:lineRule="auto"/>
        <w:jc w:val="both"/>
        <w:rPr>
          <w:b/>
          <w:sz w:val="24"/>
          <w:szCs w:val="24"/>
        </w:rPr>
      </w:pPr>
      <w:r w:rsidRPr="00140622">
        <w:rPr>
          <w:b/>
          <w:sz w:val="24"/>
          <w:szCs w:val="24"/>
        </w:rPr>
        <w:t>C</w:t>
      </w:r>
      <w:r w:rsidR="00CA544F" w:rsidRPr="00140622">
        <w:rPr>
          <w:b/>
          <w:sz w:val="24"/>
          <w:szCs w:val="24"/>
        </w:rPr>
        <w:t xml:space="preserve">ASE </w:t>
      </w:r>
      <w:r w:rsidRPr="00140622">
        <w:rPr>
          <w:b/>
          <w:sz w:val="24"/>
          <w:szCs w:val="24"/>
        </w:rPr>
        <w:t>R</w:t>
      </w:r>
      <w:r w:rsidR="00CA544F" w:rsidRPr="00140622">
        <w:rPr>
          <w:b/>
          <w:sz w:val="24"/>
          <w:szCs w:val="24"/>
        </w:rPr>
        <w:t xml:space="preserve">EPORT </w:t>
      </w:r>
      <w:r w:rsidRPr="00140622">
        <w:rPr>
          <w:b/>
          <w:sz w:val="24"/>
          <w:szCs w:val="24"/>
        </w:rPr>
        <w:t>F</w:t>
      </w:r>
      <w:r w:rsidR="00CA544F" w:rsidRPr="00140622">
        <w:rPr>
          <w:b/>
          <w:sz w:val="24"/>
          <w:szCs w:val="24"/>
        </w:rPr>
        <w:t>ORM</w:t>
      </w:r>
      <w:r w:rsidRPr="00140622">
        <w:rPr>
          <w:b/>
          <w:sz w:val="24"/>
          <w:szCs w:val="24"/>
        </w:rPr>
        <w:t>S</w:t>
      </w:r>
    </w:p>
    <w:p w:rsidR="00002774" w:rsidRPr="00140622" w:rsidRDefault="00002774" w:rsidP="00FC1BDA">
      <w:pPr>
        <w:spacing w:before="0" w:after="0" w:line="480" w:lineRule="auto"/>
        <w:ind w:firstLine="720"/>
        <w:jc w:val="both"/>
        <w:rPr>
          <w:sz w:val="24"/>
          <w:szCs w:val="24"/>
        </w:rPr>
      </w:pPr>
      <w:r w:rsidRPr="00140622">
        <w:rPr>
          <w:sz w:val="24"/>
          <w:szCs w:val="24"/>
        </w:rPr>
        <w:t>CRF</w:t>
      </w:r>
      <w:r w:rsidR="00286343">
        <w:rPr>
          <w:sz w:val="24"/>
          <w:szCs w:val="24"/>
        </w:rPr>
        <w:t xml:space="preserve">s will be maintained in a locked file cabinet in the PIs office </w:t>
      </w:r>
      <w:r w:rsidRPr="00140622">
        <w:rPr>
          <w:sz w:val="24"/>
          <w:szCs w:val="24"/>
        </w:rPr>
        <w:t>and kept current and up</w:t>
      </w:r>
      <w:r w:rsidR="00CA544F" w:rsidRPr="00140622">
        <w:rPr>
          <w:sz w:val="24"/>
          <w:szCs w:val="24"/>
        </w:rPr>
        <w:t>-</w:t>
      </w:r>
      <w:r w:rsidRPr="00140622">
        <w:rPr>
          <w:sz w:val="24"/>
          <w:szCs w:val="24"/>
        </w:rPr>
        <w:t>to</w:t>
      </w:r>
      <w:r w:rsidR="00CA544F" w:rsidRPr="00140622">
        <w:rPr>
          <w:sz w:val="24"/>
          <w:szCs w:val="24"/>
        </w:rPr>
        <w:t>-</w:t>
      </w:r>
      <w:r w:rsidRPr="00140622">
        <w:rPr>
          <w:sz w:val="24"/>
          <w:szCs w:val="24"/>
        </w:rPr>
        <w:t xml:space="preserve">date. </w:t>
      </w:r>
      <w:r w:rsidR="00E3275F">
        <w:rPr>
          <w:sz w:val="24"/>
          <w:szCs w:val="24"/>
        </w:rPr>
        <w:t xml:space="preserve"> </w:t>
      </w:r>
      <w:r w:rsidRPr="00140622">
        <w:rPr>
          <w:sz w:val="24"/>
          <w:szCs w:val="24"/>
        </w:rPr>
        <w:t>Data should be entered within</w:t>
      </w:r>
      <w:r w:rsidR="00E3275F">
        <w:rPr>
          <w:sz w:val="24"/>
          <w:szCs w:val="24"/>
        </w:rPr>
        <w:t xml:space="preserve"> 24 hours of the patient’s evaluation</w:t>
      </w:r>
      <w:r w:rsidRPr="00140622">
        <w:rPr>
          <w:sz w:val="24"/>
          <w:szCs w:val="24"/>
        </w:rPr>
        <w:t xml:space="preserve">. </w:t>
      </w:r>
      <w:r w:rsidR="00E3275F">
        <w:rPr>
          <w:sz w:val="24"/>
          <w:szCs w:val="24"/>
        </w:rPr>
        <w:t xml:space="preserve"> </w:t>
      </w:r>
      <w:r w:rsidRPr="00140622">
        <w:rPr>
          <w:sz w:val="24"/>
          <w:szCs w:val="24"/>
        </w:rPr>
        <w:t xml:space="preserve">The CRF must be completed in black ballpoint pen. </w:t>
      </w:r>
      <w:r w:rsidR="00E3275F">
        <w:rPr>
          <w:sz w:val="24"/>
          <w:szCs w:val="24"/>
        </w:rPr>
        <w:t xml:space="preserve"> </w:t>
      </w:r>
      <w:r w:rsidRPr="00140622">
        <w:rPr>
          <w:sz w:val="24"/>
          <w:szCs w:val="24"/>
        </w:rPr>
        <w:t>The investigator must sign and date all applicable pages</w:t>
      </w:r>
      <w:r w:rsidR="00286343">
        <w:rPr>
          <w:sz w:val="24"/>
          <w:szCs w:val="24"/>
        </w:rPr>
        <w:t>.</w:t>
      </w:r>
      <w:r w:rsidRPr="00140622">
        <w:rPr>
          <w:sz w:val="24"/>
          <w:szCs w:val="24"/>
        </w:rPr>
        <w:t xml:space="preserve"> </w:t>
      </w:r>
    </w:p>
    <w:p w:rsidR="008F4332" w:rsidRPr="00140622" w:rsidRDefault="008F4332" w:rsidP="00FC1BDA">
      <w:pPr>
        <w:spacing w:before="0" w:after="0" w:line="480" w:lineRule="auto"/>
        <w:jc w:val="both"/>
        <w:rPr>
          <w:b/>
          <w:sz w:val="24"/>
          <w:szCs w:val="24"/>
        </w:rPr>
      </w:pPr>
    </w:p>
    <w:p w:rsidR="00002774" w:rsidRPr="00140622" w:rsidRDefault="00002774" w:rsidP="00FC1BDA">
      <w:pPr>
        <w:spacing w:before="0" w:after="0" w:line="480" w:lineRule="auto"/>
        <w:jc w:val="both"/>
        <w:rPr>
          <w:b/>
          <w:sz w:val="24"/>
          <w:szCs w:val="24"/>
        </w:rPr>
      </w:pPr>
      <w:r w:rsidRPr="00140622">
        <w:rPr>
          <w:b/>
          <w:sz w:val="24"/>
          <w:szCs w:val="24"/>
        </w:rPr>
        <w:t>COMMUNICATION OF STUDY RESULTS</w:t>
      </w:r>
    </w:p>
    <w:p w:rsidR="00002774" w:rsidRPr="00140622" w:rsidRDefault="00002774" w:rsidP="00FC1BDA">
      <w:pPr>
        <w:spacing w:before="0" w:after="0" w:line="480" w:lineRule="auto"/>
        <w:ind w:firstLine="720"/>
        <w:jc w:val="both"/>
        <w:rPr>
          <w:sz w:val="24"/>
          <w:szCs w:val="24"/>
        </w:rPr>
      </w:pPr>
      <w:r w:rsidRPr="00140622">
        <w:rPr>
          <w:sz w:val="24"/>
          <w:szCs w:val="24"/>
        </w:rPr>
        <w:t xml:space="preserve">The manuscript containing the overall study results will be </w:t>
      </w:r>
      <w:r w:rsidR="00286343">
        <w:rPr>
          <w:sz w:val="24"/>
          <w:szCs w:val="24"/>
        </w:rPr>
        <w:t>distributed to the Sponsor for</w:t>
      </w:r>
      <w:r w:rsidRPr="00140622">
        <w:rPr>
          <w:sz w:val="24"/>
          <w:szCs w:val="24"/>
        </w:rPr>
        <w:t xml:space="preserve"> review before submission to a peer-reviewed journal, but the final contents will be at the discretion of the </w:t>
      </w:r>
      <w:r w:rsidR="00CA544F" w:rsidRPr="00140622">
        <w:rPr>
          <w:sz w:val="24"/>
          <w:szCs w:val="24"/>
        </w:rPr>
        <w:t>P</w:t>
      </w:r>
      <w:r w:rsidRPr="00140622">
        <w:rPr>
          <w:sz w:val="24"/>
          <w:szCs w:val="24"/>
        </w:rPr>
        <w:t xml:space="preserve">rincipal </w:t>
      </w:r>
      <w:r w:rsidR="00CA544F" w:rsidRPr="00140622">
        <w:rPr>
          <w:sz w:val="24"/>
          <w:szCs w:val="24"/>
        </w:rPr>
        <w:t>I</w:t>
      </w:r>
      <w:r w:rsidRPr="00140622">
        <w:rPr>
          <w:sz w:val="24"/>
          <w:szCs w:val="24"/>
        </w:rPr>
        <w:t xml:space="preserve">nvestigator(s). Any other manuscripts containing these data, including abstracts, must be distributed to </w:t>
      </w:r>
      <w:r w:rsidR="00CA544F" w:rsidRPr="00140622">
        <w:rPr>
          <w:sz w:val="24"/>
          <w:szCs w:val="24"/>
        </w:rPr>
        <w:t xml:space="preserve">the </w:t>
      </w:r>
      <w:r w:rsidRPr="00140622">
        <w:rPr>
          <w:sz w:val="24"/>
          <w:szCs w:val="24"/>
        </w:rPr>
        <w:t>Sponsor before submission with a reasonable period for review. Submitted publications will conform to international standards f</w:t>
      </w:r>
      <w:r w:rsidR="007D3756" w:rsidRPr="00140622">
        <w:rPr>
          <w:sz w:val="24"/>
          <w:szCs w:val="24"/>
        </w:rPr>
        <w:t>or biomedical manuscripts, including authorship.</w:t>
      </w:r>
    </w:p>
    <w:p w:rsidR="007D3756" w:rsidRPr="00140622" w:rsidRDefault="007D3756" w:rsidP="00514FF7">
      <w:pPr>
        <w:spacing w:before="0" w:after="0" w:line="480" w:lineRule="auto"/>
        <w:jc w:val="both"/>
        <w:rPr>
          <w:sz w:val="24"/>
          <w:szCs w:val="24"/>
        </w:rPr>
        <w:sectPr w:rsidR="007D3756" w:rsidRPr="00140622" w:rsidSect="00B36C12">
          <w:headerReference w:type="default" r:id="rId10"/>
          <w:footerReference w:type="even" r:id="rId11"/>
          <w:footerReference w:type="default" r:id="rId12"/>
          <w:pgSz w:w="12240" w:h="15840" w:code="1"/>
          <w:pgMar w:top="1440" w:right="994" w:bottom="1440" w:left="1526" w:header="720" w:footer="720" w:gutter="0"/>
          <w:cols w:space="720"/>
          <w:noEndnote/>
        </w:sectPr>
      </w:pPr>
      <w:bookmarkStart w:id="44" w:name="_GoBack"/>
      <w:bookmarkEnd w:id="44"/>
    </w:p>
    <w:bookmarkEnd w:id="0"/>
    <w:p w:rsidR="008A4052" w:rsidRPr="00140622" w:rsidRDefault="008A4052" w:rsidP="00FC1BDA">
      <w:pPr>
        <w:spacing w:line="480" w:lineRule="auto"/>
        <w:jc w:val="both"/>
        <w:rPr>
          <w:sz w:val="24"/>
          <w:szCs w:val="24"/>
        </w:rPr>
      </w:pPr>
    </w:p>
    <w:p w:rsidR="0053409B" w:rsidRDefault="00706A77" w:rsidP="0053409B">
      <w:pPr>
        <w:tabs>
          <w:tab w:val="right" w:pos="540"/>
          <w:tab w:val="left" w:pos="720"/>
        </w:tabs>
        <w:spacing w:after="0"/>
        <w:ind w:left="720" w:hanging="720"/>
        <w:rPr>
          <w:sz w:val="24"/>
          <w:szCs w:val="24"/>
        </w:rPr>
      </w:pPr>
      <w:r w:rsidRPr="00140622">
        <w:rPr>
          <w:sz w:val="24"/>
          <w:szCs w:val="24"/>
        </w:rPr>
        <w:fldChar w:fldCharType="begin"/>
      </w:r>
      <w:r w:rsidR="008A4052" w:rsidRPr="00140622">
        <w:rPr>
          <w:sz w:val="24"/>
          <w:szCs w:val="24"/>
        </w:rPr>
        <w:instrText xml:space="preserve"> ADDIN REFMGR.REFLIST </w:instrText>
      </w:r>
      <w:r w:rsidRPr="00140622">
        <w:rPr>
          <w:sz w:val="24"/>
          <w:szCs w:val="24"/>
        </w:rPr>
        <w:fldChar w:fldCharType="separate"/>
      </w:r>
      <w:r w:rsidR="0053409B">
        <w:rPr>
          <w:sz w:val="24"/>
          <w:szCs w:val="24"/>
        </w:rPr>
        <w:t>Reference List</w:t>
      </w:r>
    </w:p>
    <w:p w:rsidR="0053409B" w:rsidRDefault="0053409B" w:rsidP="0053409B">
      <w:pPr>
        <w:tabs>
          <w:tab w:val="right" w:pos="540"/>
          <w:tab w:val="left" w:pos="720"/>
        </w:tabs>
        <w:spacing w:after="0"/>
        <w:ind w:left="720" w:hanging="720"/>
        <w:rPr>
          <w:sz w:val="24"/>
          <w:szCs w:val="24"/>
        </w:rPr>
      </w:pPr>
    </w:p>
    <w:p w:rsidR="0053409B" w:rsidRDefault="0053409B" w:rsidP="0053409B">
      <w:pPr>
        <w:tabs>
          <w:tab w:val="right" w:pos="540"/>
          <w:tab w:val="left" w:pos="720"/>
        </w:tabs>
        <w:spacing w:after="240"/>
        <w:ind w:left="720" w:hanging="720"/>
        <w:rPr>
          <w:sz w:val="24"/>
          <w:szCs w:val="24"/>
        </w:rPr>
      </w:pPr>
      <w:r>
        <w:rPr>
          <w:sz w:val="24"/>
          <w:szCs w:val="24"/>
        </w:rPr>
        <w:tab/>
        <w:t xml:space="preserve">(1) </w:t>
      </w:r>
      <w:r>
        <w:rPr>
          <w:sz w:val="24"/>
          <w:szCs w:val="24"/>
        </w:rPr>
        <w:tab/>
        <w:t>Wisplinghoff H, Bischoff T, Tallent SM, Seifert H, Wenzel RP, Edmond MB. Nosocomial bloodstream infections in US hospitals: analysis of 24,179 cases from a prospective nationwide surveillance study. Clin Infect Dis 2004; 39(3):309-317.</w:t>
      </w:r>
    </w:p>
    <w:p w:rsidR="0053409B" w:rsidRDefault="0053409B" w:rsidP="0053409B">
      <w:pPr>
        <w:tabs>
          <w:tab w:val="right" w:pos="540"/>
          <w:tab w:val="left" w:pos="720"/>
        </w:tabs>
        <w:spacing w:after="240"/>
        <w:ind w:left="720" w:hanging="720"/>
        <w:rPr>
          <w:sz w:val="24"/>
          <w:szCs w:val="24"/>
        </w:rPr>
      </w:pPr>
      <w:r>
        <w:rPr>
          <w:sz w:val="24"/>
          <w:szCs w:val="24"/>
        </w:rPr>
        <w:tab/>
        <w:t xml:space="preserve">(2) </w:t>
      </w:r>
      <w:r>
        <w:rPr>
          <w:sz w:val="24"/>
          <w:szCs w:val="24"/>
        </w:rPr>
        <w:tab/>
        <w:t>Pfaller MA, Jones RN, Doern GV et al. International Surveillance of Bloodstream Infections Due to Candida Species: Frequency of Occurrence and Antifungal Susceptibilities of Isolates Collected in 1997áin the United States, Canada, and South America for the SENTRY Program. J Clin Microbiol 1998; 36(7):1886-1889.</w:t>
      </w:r>
    </w:p>
    <w:p w:rsidR="0053409B" w:rsidRDefault="0053409B" w:rsidP="0053409B">
      <w:pPr>
        <w:tabs>
          <w:tab w:val="right" w:pos="540"/>
          <w:tab w:val="left" w:pos="720"/>
        </w:tabs>
        <w:spacing w:after="240"/>
        <w:ind w:left="720" w:hanging="720"/>
        <w:rPr>
          <w:sz w:val="24"/>
          <w:szCs w:val="24"/>
        </w:rPr>
      </w:pPr>
      <w:r>
        <w:rPr>
          <w:sz w:val="24"/>
          <w:szCs w:val="24"/>
        </w:rPr>
        <w:tab/>
        <w:t xml:space="preserve">(3) </w:t>
      </w:r>
      <w:r>
        <w:rPr>
          <w:sz w:val="24"/>
          <w:szCs w:val="24"/>
        </w:rPr>
        <w:tab/>
        <w:t>Falagas ME, Apostolou KE, Pappas VD. Attributable mortality of candidemia: a systematic review of matched cohort and case-control studies. Eur J Clin Microbiol Infect Dis 2006; 25(7):419-425.</w:t>
      </w:r>
    </w:p>
    <w:p w:rsidR="0053409B" w:rsidRDefault="0053409B" w:rsidP="0053409B">
      <w:pPr>
        <w:tabs>
          <w:tab w:val="right" w:pos="540"/>
          <w:tab w:val="left" w:pos="720"/>
        </w:tabs>
        <w:spacing w:after="240"/>
        <w:ind w:left="720" w:hanging="720"/>
        <w:rPr>
          <w:sz w:val="24"/>
          <w:szCs w:val="24"/>
        </w:rPr>
      </w:pPr>
      <w:r>
        <w:rPr>
          <w:sz w:val="24"/>
          <w:szCs w:val="24"/>
        </w:rPr>
        <w:tab/>
        <w:t xml:space="preserve">(4) </w:t>
      </w:r>
      <w:r>
        <w:rPr>
          <w:sz w:val="24"/>
          <w:szCs w:val="24"/>
        </w:rPr>
        <w:tab/>
        <w:t>Fridkin SK. Candidemia is Costly--Plain and Simple. Clin Infect Dis 2005; 41(9):1240-1241.</w:t>
      </w:r>
    </w:p>
    <w:p w:rsidR="0053409B" w:rsidRDefault="0053409B" w:rsidP="0053409B">
      <w:pPr>
        <w:tabs>
          <w:tab w:val="right" w:pos="540"/>
          <w:tab w:val="left" w:pos="720"/>
        </w:tabs>
        <w:spacing w:after="240"/>
        <w:ind w:left="720" w:hanging="720"/>
        <w:rPr>
          <w:sz w:val="24"/>
          <w:szCs w:val="24"/>
        </w:rPr>
      </w:pPr>
      <w:r>
        <w:rPr>
          <w:sz w:val="24"/>
          <w:szCs w:val="24"/>
        </w:rPr>
        <w:tab/>
        <w:t xml:space="preserve">(5) </w:t>
      </w:r>
      <w:r>
        <w:rPr>
          <w:sz w:val="24"/>
          <w:szCs w:val="24"/>
        </w:rPr>
        <w:tab/>
        <w:t>Zaoutis TE, Argon J, Chu J, Berlin JA, Walsh TJ, Feudtner C. The Epidemiology and Attributable Outcomes of Candidemia in Adults and Children Hospitalized in the United States: A Propensity Analysis. Clin Infect Dis 2005; 41(9):1232-1239.</w:t>
      </w:r>
    </w:p>
    <w:p w:rsidR="0053409B" w:rsidRDefault="0053409B" w:rsidP="0053409B">
      <w:pPr>
        <w:tabs>
          <w:tab w:val="right" w:pos="540"/>
          <w:tab w:val="left" w:pos="720"/>
        </w:tabs>
        <w:spacing w:after="240"/>
        <w:ind w:left="720" w:hanging="720"/>
        <w:rPr>
          <w:sz w:val="24"/>
          <w:szCs w:val="24"/>
        </w:rPr>
      </w:pPr>
      <w:r>
        <w:rPr>
          <w:sz w:val="24"/>
          <w:szCs w:val="24"/>
        </w:rPr>
        <w:tab/>
        <w:t xml:space="preserve">(6) </w:t>
      </w:r>
      <w:r>
        <w:rPr>
          <w:sz w:val="24"/>
          <w:szCs w:val="24"/>
        </w:rPr>
        <w:tab/>
        <w:t>Cruciani M, de LF, Mengoli C. Prophylaxis of Candida infections in adult trauma and surgical intensive care patients: a systematic review and meta-analysis. Intensive Care Med 2005; 31(11):1479-1487.</w:t>
      </w:r>
    </w:p>
    <w:p w:rsidR="0053409B" w:rsidRDefault="0053409B" w:rsidP="0053409B">
      <w:pPr>
        <w:tabs>
          <w:tab w:val="right" w:pos="540"/>
          <w:tab w:val="left" w:pos="720"/>
        </w:tabs>
        <w:spacing w:after="240"/>
        <w:ind w:left="720" w:hanging="720"/>
        <w:rPr>
          <w:sz w:val="24"/>
          <w:szCs w:val="24"/>
        </w:rPr>
      </w:pPr>
      <w:r>
        <w:rPr>
          <w:sz w:val="24"/>
          <w:szCs w:val="24"/>
        </w:rPr>
        <w:tab/>
        <w:t xml:space="preserve">(7) </w:t>
      </w:r>
      <w:r>
        <w:rPr>
          <w:sz w:val="24"/>
          <w:szCs w:val="24"/>
        </w:rPr>
        <w:tab/>
        <w:t>Lipsett PA. Clinical trials of antifungal prophylaxis among patients in surgical intensive care units: concepts and considerations. Clin Infect Dis 2004; 39 Suppl 4:S193-S199.</w:t>
      </w:r>
    </w:p>
    <w:p w:rsidR="0053409B" w:rsidRDefault="0053409B" w:rsidP="0053409B">
      <w:pPr>
        <w:tabs>
          <w:tab w:val="right" w:pos="540"/>
          <w:tab w:val="left" w:pos="720"/>
        </w:tabs>
        <w:spacing w:after="240"/>
        <w:ind w:left="720" w:hanging="720"/>
        <w:rPr>
          <w:sz w:val="24"/>
          <w:szCs w:val="24"/>
        </w:rPr>
      </w:pPr>
      <w:r>
        <w:rPr>
          <w:sz w:val="24"/>
          <w:szCs w:val="24"/>
        </w:rPr>
        <w:tab/>
        <w:t xml:space="preserve">(8) </w:t>
      </w:r>
      <w:r>
        <w:rPr>
          <w:sz w:val="24"/>
          <w:szCs w:val="24"/>
        </w:rPr>
        <w:tab/>
        <w:t>Pelz RKM, Hendrix CWM, Swoboda SMR et al. Double-Blind Placebo-Controlled Trial of Fluconazole to Prevent Candidal Infections in Critically Ill Surgical Patients. [Article]. Annals of Surgery 2001; 233(4):542-548.</w:t>
      </w:r>
    </w:p>
    <w:p w:rsidR="0053409B" w:rsidRDefault="0053409B" w:rsidP="0053409B">
      <w:pPr>
        <w:tabs>
          <w:tab w:val="right" w:pos="540"/>
          <w:tab w:val="left" w:pos="720"/>
        </w:tabs>
        <w:spacing w:after="240"/>
        <w:ind w:left="720" w:hanging="720"/>
        <w:rPr>
          <w:sz w:val="24"/>
          <w:szCs w:val="24"/>
        </w:rPr>
      </w:pPr>
      <w:r>
        <w:rPr>
          <w:sz w:val="24"/>
          <w:szCs w:val="24"/>
        </w:rPr>
        <w:tab/>
        <w:t xml:space="preserve">(9) </w:t>
      </w:r>
      <w:r>
        <w:rPr>
          <w:sz w:val="24"/>
          <w:szCs w:val="24"/>
        </w:rPr>
        <w:tab/>
        <w:t>Playford EG, Webster AC, Sorrell TC, Craig JC. Antifungal agents for preventing fungal infections in non-neutropenic critically ill and surgical patients: systematic review and meta-analysis of randomized clinical trials. J Antimicrob Chemother 2006; 57(4):628-638.</w:t>
      </w:r>
    </w:p>
    <w:p w:rsidR="0053409B" w:rsidRDefault="0053409B" w:rsidP="0053409B">
      <w:pPr>
        <w:tabs>
          <w:tab w:val="right" w:pos="540"/>
          <w:tab w:val="left" w:pos="720"/>
        </w:tabs>
        <w:spacing w:after="240"/>
        <w:ind w:left="720" w:hanging="720"/>
        <w:rPr>
          <w:sz w:val="24"/>
          <w:szCs w:val="24"/>
        </w:rPr>
      </w:pPr>
      <w:r>
        <w:rPr>
          <w:sz w:val="24"/>
          <w:szCs w:val="24"/>
        </w:rPr>
        <w:tab/>
        <w:t xml:space="preserve">(10) </w:t>
      </w:r>
      <w:r>
        <w:rPr>
          <w:sz w:val="24"/>
          <w:szCs w:val="24"/>
        </w:rPr>
        <w:tab/>
        <w:t>Rex JH, Sobel JD. Prophylactic antifungal therapy in the intensive care unit. Clin Infect Dis 2001; 32(8):1191-1200.</w:t>
      </w:r>
    </w:p>
    <w:p w:rsidR="0053409B" w:rsidRDefault="0053409B" w:rsidP="0053409B">
      <w:pPr>
        <w:tabs>
          <w:tab w:val="right" w:pos="540"/>
          <w:tab w:val="left" w:pos="720"/>
        </w:tabs>
        <w:spacing w:after="240"/>
        <w:ind w:left="720" w:hanging="720"/>
        <w:rPr>
          <w:sz w:val="24"/>
          <w:szCs w:val="24"/>
        </w:rPr>
      </w:pPr>
      <w:r>
        <w:rPr>
          <w:sz w:val="24"/>
          <w:szCs w:val="24"/>
        </w:rPr>
        <w:tab/>
        <w:t xml:space="preserve">(11) </w:t>
      </w:r>
      <w:r>
        <w:rPr>
          <w:sz w:val="24"/>
          <w:szCs w:val="24"/>
        </w:rPr>
        <w:tab/>
        <w:t>Rex JHM. Antifungal prophylaxis in the intensive care unit: Who should get it? *. [Editorial]. Critical Care Medicine 2006; 34(4):1286-1287.</w:t>
      </w:r>
    </w:p>
    <w:p w:rsidR="0053409B" w:rsidRDefault="0053409B" w:rsidP="0053409B">
      <w:pPr>
        <w:tabs>
          <w:tab w:val="right" w:pos="540"/>
          <w:tab w:val="left" w:pos="720"/>
        </w:tabs>
        <w:spacing w:after="240"/>
        <w:ind w:left="720" w:hanging="720"/>
        <w:rPr>
          <w:sz w:val="24"/>
          <w:szCs w:val="24"/>
        </w:rPr>
      </w:pPr>
      <w:r>
        <w:rPr>
          <w:sz w:val="24"/>
          <w:szCs w:val="24"/>
        </w:rPr>
        <w:lastRenderedPageBreak/>
        <w:tab/>
        <w:t xml:space="preserve">(12) </w:t>
      </w:r>
      <w:r>
        <w:rPr>
          <w:sz w:val="24"/>
          <w:szCs w:val="24"/>
        </w:rPr>
        <w:tab/>
        <w:t>van Burik JA, Ratanatharathorn V, Stepan DE et al. Micafungin versus fluconazole for prophylaxis against invasive fungal infections during neutropenia in patients undergoing hematopoietic stem cell transplantation. Clin Infect Dis 2004; 39(10):1407-1416.</w:t>
      </w:r>
    </w:p>
    <w:p w:rsidR="0053409B" w:rsidRDefault="0053409B" w:rsidP="0053409B">
      <w:pPr>
        <w:tabs>
          <w:tab w:val="right" w:pos="540"/>
          <w:tab w:val="left" w:pos="720"/>
        </w:tabs>
        <w:spacing w:after="240"/>
        <w:ind w:left="720" w:hanging="720"/>
        <w:rPr>
          <w:sz w:val="24"/>
          <w:szCs w:val="24"/>
        </w:rPr>
      </w:pPr>
      <w:r>
        <w:rPr>
          <w:sz w:val="24"/>
          <w:szCs w:val="24"/>
        </w:rPr>
        <w:tab/>
        <w:t xml:space="preserve">(13) </w:t>
      </w:r>
      <w:r>
        <w:rPr>
          <w:sz w:val="24"/>
          <w:szCs w:val="24"/>
        </w:rPr>
        <w:tab/>
        <w:t>Odabasi Z, Mattiuzzi G, Estey E et al. Beta-D-glucan as a diagnostic adjunct for invasive fungal infections: validation, cutoff development, and performance in patients with acute myelogenous leukemia and myelodysplastic syndrome. Clin Infect Dis 2004; 39(2):199-205.</w:t>
      </w:r>
    </w:p>
    <w:p w:rsidR="0053409B" w:rsidRDefault="0053409B" w:rsidP="0053409B">
      <w:pPr>
        <w:tabs>
          <w:tab w:val="right" w:pos="540"/>
          <w:tab w:val="left" w:pos="720"/>
        </w:tabs>
        <w:spacing w:after="240"/>
        <w:ind w:left="720" w:hanging="720"/>
        <w:rPr>
          <w:sz w:val="24"/>
          <w:szCs w:val="24"/>
        </w:rPr>
      </w:pPr>
      <w:r>
        <w:rPr>
          <w:sz w:val="24"/>
          <w:szCs w:val="24"/>
        </w:rPr>
        <w:tab/>
        <w:t xml:space="preserve">(14) </w:t>
      </w:r>
      <w:r>
        <w:rPr>
          <w:sz w:val="24"/>
          <w:szCs w:val="24"/>
        </w:rPr>
        <w:tab/>
        <w:t>Mennink-Kersten MASH, Warris A, Verweij PE. 1,3-{beta}-D-Glucan in Patients Receiving Intravenous Amoxicillin-Clavulanic Acid. N Engl J Med 2006; 354(26):2834-2835.</w:t>
      </w:r>
    </w:p>
    <w:p w:rsidR="0053409B" w:rsidRDefault="0053409B" w:rsidP="0053409B">
      <w:pPr>
        <w:tabs>
          <w:tab w:val="right" w:pos="540"/>
          <w:tab w:val="left" w:pos="720"/>
        </w:tabs>
        <w:spacing w:after="240"/>
        <w:ind w:left="720" w:hanging="720"/>
        <w:rPr>
          <w:sz w:val="24"/>
          <w:szCs w:val="24"/>
        </w:rPr>
      </w:pPr>
      <w:r>
        <w:rPr>
          <w:sz w:val="24"/>
          <w:szCs w:val="24"/>
        </w:rPr>
        <w:tab/>
        <w:t xml:space="preserve">(15) </w:t>
      </w:r>
      <w:r>
        <w:rPr>
          <w:sz w:val="24"/>
          <w:szCs w:val="24"/>
        </w:rPr>
        <w:tab/>
        <w:t>Kanda H, Kubo K, Hamasaki K et al. Influence of various hemodialysis membranes on the plasma (1[rarr]3)-[bgr]-D-glucan level. Kidney Int 2001; 60(1):319-323.</w:t>
      </w:r>
    </w:p>
    <w:p w:rsidR="0053409B" w:rsidRDefault="0053409B" w:rsidP="0053409B">
      <w:pPr>
        <w:tabs>
          <w:tab w:val="right" w:pos="540"/>
          <w:tab w:val="left" w:pos="720"/>
        </w:tabs>
        <w:spacing w:after="240"/>
        <w:ind w:left="720" w:hanging="720"/>
        <w:rPr>
          <w:sz w:val="24"/>
          <w:szCs w:val="24"/>
        </w:rPr>
      </w:pPr>
      <w:r>
        <w:rPr>
          <w:sz w:val="24"/>
          <w:szCs w:val="24"/>
        </w:rPr>
        <w:tab/>
        <w:t xml:space="preserve">(16) </w:t>
      </w:r>
      <w:r>
        <w:rPr>
          <w:sz w:val="24"/>
          <w:szCs w:val="24"/>
        </w:rPr>
        <w:tab/>
        <w:t>Ogawa M, Hori H, Niiguchi S, Azuma E, Komada Y. False-positive plasma (1--&gt;3)-beta-D-glucan test following immunoglobulin product replacement in an adult bone marrow recipient. Int J Hematol 2004; 80(1):97-98.</w:t>
      </w:r>
    </w:p>
    <w:p w:rsidR="0053409B" w:rsidRDefault="0053409B" w:rsidP="0053409B">
      <w:pPr>
        <w:tabs>
          <w:tab w:val="right" w:pos="540"/>
          <w:tab w:val="left" w:pos="720"/>
        </w:tabs>
        <w:spacing w:after="240"/>
        <w:ind w:left="720" w:hanging="720"/>
        <w:rPr>
          <w:sz w:val="24"/>
          <w:szCs w:val="24"/>
        </w:rPr>
      </w:pPr>
      <w:r>
        <w:rPr>
          <w:sz w:val="24"/>
          <w:szCs w:val="24"/>
        </w:rPr>
        <w:tab/>
        <w:t xml:space="preserve">(17) </w:t>
      </w:r>
      <w:r>
        <w:rPr>
          <w:sz w:val="24"/>
          <w:szCs w:val="24"/>
        </w:rPr>
        <w:tab/>
        <w:t>Usami M, Ohata A, Horiuchi T, Nagasawa K, Wakabayashi T, Tanaka S. Positive (1?3)-beta-d-glucan in blood components and release of (1?3)-beta-d-glucan from depth-type membrane filters for blood processing. Transfusion 2002; 42(9):1189-1195.</w:t>
      </w:r>
    </w:p>
    <w:p w:rsidR="0053409B" w:rsidRDefault="0053409B" w:rsidP="0053409B">
      <w:pPr>
        <w:tabs>
          <w:tab w:val="right" w:pos="540"/>
          <w:tab w:val="left" w:pos="720"/>
        </w:tabs>
        <w:spacing w:after="240"/>
        <w:ind w:left="720" w:hanging="720"/>
        <w:rPr>
          <w:sz w:val="24"/>
          <w:szCs w:val="24"/>
        </w:rPr>
      </w:pPr>
      <w:r>
        <w:rPr>
          <w:sz w:val="24"/>
          <w:szCs w:val="24"/>
        </w:rPr>
        <w:tab/>
        <w:t xml:space="preserve">(18) </w:t>
      </w:r>
      <w:r>
        <w:rPr>
          <w:sz w:val="24"/>
          <w:szCs w:val="24"/>
        </w:rPr>
        <w:tab/>
        <w:t>Marty FM, Lowry CM, Lempitski SJ, Kubiak DW, Finkelman MA, Baden LR. Reactivity of (1-&gt;3)-{beta}-D-Glucan Assay with Commonly Used Intravenous Antimicrobials. Antimicrob Agents Chemother 2006; 50(10):3450-3453.</w:t>
      </w:r>
    </w:p>
    <w:p w:rsidR="0053409B" w:rsidRDefault="0053409B" w:rsidP="0053409B">
      <w:pPr>
        <w:tabs>
          <w:tab w:val="right" w:pos="540"/>
          <w:tab w:val="left" w:pos="720"/>
        </w:tabs>
        <w:spacing w:after="240"/>
        <w:ind w:left="720" w:hanging="720"/>
        <w:rPr>
          <w:sz w:val="24"/>
          <w:szCs w:val="24"/>
        </w:rPr>
      </w:pPr>
      <w:r>
        <w:rPr>
          <w:sz w:val="24"/>
          <w:szCs w:val="24"/>
        </w:rPr>
        <w:tab/>
        <w:t xml:space="preserve">(19) </w:t>
      </w:r>
      <w:r>
        <w:rPr>
          <w:sz w:val="24"/>
          <w:szCs w:val="24"/>
        </w:rPr>
        <w:tab/>
        <w:t>Sobel JD, Revankar SG. Echinocandins -- First-Choice or First-Line Therapy for Invasive Candidiasis? N Engl J Med 2007; 356(24):2525-2526.</w:t>
      </w:r>
    </w:p>
    <w:p w:rsidR="0053409B" w:rsidRDefault="0053409B" w:rsidP="0053409B">
      <w:pPr>
        <w:tabs>
          <w:tab w:val="right" w:pos="540"/>
          <w:tab w:val="left" w:pos="720"/>
        </w:tabs>
        <w:spacing w:after="240"/>
        <w:ind w:left="720" w:hanging="720"/>
        <w:rPr>
          <w:sz w:val="24"/>
          <w:szCs w:val="24"/>
        </w:rPr>
      </w:pPr>
      <w:r>
        <w:rPr>
          <w:sz w:val="24"/>
          <w:szCs w:val="24"/>
        </w:rPr>
        <w:tab/>
        <w:t xml:space="preserve">(20) </w:t>
      </w:r>
      <w:r>
        <w:rPr>
          <w:sz w:val="24"/>
          <w:szCs w:val="24"/>
        </w:rPr>
        <w:tab/>
        <w:t>Vazquez JA, Sobel JD. Anidulafungin: A Novel Echinocandin. Clin Infect Dis 2006; 43(2):215-222.</w:t>
      </w:r>
    </w:p>
    <w:p w:rsidR="0053409B" w:rsidRDefault="0053409B" w:rsidP="0053409B">
      <w:pPr>
        <w:tabs>
          <w:tab w:val="right" w:pos="540"/>
          <w:tab w:val="left" w:pos="720"/>
        </w:tabs>
        <w:spacing w:after="240"/>
        <w:ind w:left="720" w:hanging="720"/>
        <w:rPr>
          <w:sz w:val="24"/>
          <w:szCs w:val="24"/>
        </w:rPr>
      </w:pPr>
      <w:r>
        <w:rPr>
          <w:sz w:val="24"/>
          <w:szCs w:val="24"/>
        </w:rPr>
        <w:tab/>
        <w:t xml:space="preserve">(21) </w:t>
      </w:r>
      <w:r>
        <w:rPr>
          <w:sz w:val="24"/>
          <w:szCs w:val="24"/>
        </w:rPr>
        <w:tab/>
        <w:t>Dowell JA, Stogniew M, Krause D, Damle B. Anidulafungin Does Not Require Dosage Adjustment in Subjects With Varying Degrees of Hepatic or Renal Impairment. J Clin Pharmacol 2007; 47(4):461-470.</w:t>
      </w:r>
    </w:p>
    <w:p w:rsidR="0053409B" w:rsidRDefault="0053409B" w:rsidP="0053409B">
      <w:pPr>
        <w:tabs>
          <w:tab w:val="right" w:pos="540"/>
          <w:tab w:val="left" w:pos="720"/>
        </w:tabs>
        <w:spacing w:after="240"/>
        <w:ind w:left="720" w:hanging="720"/>
        <w:rPr>
          <w:sz w:val="24"/>
          <w:szCs w:val="24"/>
        </w:rPr>
      </w:pPr>
      <w:r>
        <w:rPr>
          <w:sz w:val="24"/>
          <w:szCs w:val="24"/>
        </w:rPr>
        <w:tab/>
        <w:t xml:space="preserve">(22) </w:t>
      </w:r>
      <w:r>
        <w:rPr>
          <w:sz w:val="24"/>
          <w:szCs w:val="24"/>
        </w:rPr>
        <w:tab/>
        <w:t xml:space="preserve">Pfizer I. Eraxis Package Insert.  2007. </w:t>
      </w:r>
      <w:r>
        <w:rPr>
          <w:sz w:val="24"/>
          <w:szCs w:val="24"/>
        </w:rPr>
        <w:br/>
        <w:t>Ref Type: Generic</w:t>
      </w:r>
    </w:p>
    <w:p w:rsidR="0053409B" w:rsidRDefault="0053409B" w:rsidP="0053409B">
      <w:pPr>
        <w:tabs>
          <w:tab w:val="right" w:pos="540"/>
          <w:tab w:val="left" w:pos="720"/>
        </w:tabs>
        <w:spacing w:after="240"/>
        <w:ind w:left="720" w:hanging="720"/>
        <w:rPr>
          <w:sz w:val="24"/>
          <w:szCs w:val="24"/>
        </w:rPr>
      </w:pPr>
      <w:r>
        <w:rPr>
          <w:sz w:val="24"/>
          <w:szCs w:val="24"/>
        </w:rPr>
        <w:tab/>
        <w:t xml:space="preserve">(23) </w:t>
      </w:r>
      <w:r>
        <w:rPr>
          <w:sz w:val="24"/>
          <w:szCs w:val="24"/>
        </w:rPr>
        <w:tab/>
        <w:t>Boldrick JC, Alizadeh AA, Diehn M et al. Stereotyped and specific gene expression programs in human innate immune responses to bacteria</w:t>
      </w:r>
      <w:r>
        <w:rPr>
          <w:sz w:val="24"/>
          <w:szCs w:val="24"/>
        </w:rPr>
        <w:br/>
        <w:t>1. Proc Natl Acad Sci U S A 2002; 99(2):972-977.</w:t>
      </w:r>
    </w:p>
    <w:p w:rsidR="0053409B" w:rsidRDefault="0053409B" w:rsidP="0053409B">
      <w:pPr>
        <w:tabs>
          <w:tab w:val="right" w:pos="540"/>
          <w:tab w:val="left" w:pos="720"/>
        </w:tabs>
        <w:spacing w:after="240"/>
        <w:ind w:left="720" w:hanging="720"/>
        <w:rPr>
          <w:sz w:val="24"/>
          <w:szCs w:val="24"/>
        </w:rPr>
      </w:pPr>
      <w:r>
        <w:rPr>
          <w:sz w:val="24"/>
          <w:szCs w:val="24"/>
        </w:rPr>
        <w:lastRenderedPageBreak/>
        <w:tab/>
        <w:t xml:space="preserve">(24) </w:t>
      </w:r>
      <w:r>
        <w:rPr>
          <w:sz w:val="24"/>
          <w:szCs w:val="24"/>
        </w:rPr>
        <w:tab/>
        <w:t>Kawada J, Kimura H, Kamachi Y et al. Analysis of gene-expression profiles by oligonucleotide microarray in children with influenza</w:t>
      </w:r>
      <w:r>
        <w:rPr>
          <w:sz w:val="24"/>
          <w:szCs w:val="24"/>
        </w:rPr>
        <w:br/>
        <w:t>1. J Gen Virol 2006; 87(Pt 6):1677-1683.</w:t>
      </w:r>
    </w:p>
    <w:p w:rsidR="0053409B" w:rsidRDefault="0053409B" w:rsidP="0053409B">
      <w:pPr>
        <w:tabs>
          <w:tab w:val="right" w:pos="540"/>
          <w:tab w:val="left" w:pos="720"/>
        </w:tabs>
        <w:spacing w:after="240"/>
        <w:ind w:left="720" w:hanging="720"/>
        <w:rPr>
          <w:sz w:val="24"/>
          <w:szCs w:val="24"/>
        </w:rPr>
      </w:pPr>
      <w:r>
        <w:rPr>
          <w:sz w:val="24"/>
          <w:szCs w:val="24"/>
        </w:rPr>
        <w:tab/>
        <w:t xml:space="preserve">(25) </w:t>
      </w:r>
      <w:r>
        <w:rPr>
          <w:sz w:val="24"/>
          <w:szCs w:val="24"/>
        </w:rPr>
        <w:tab/>
        <w:t>Ostrosky-Zeichner L, Alexander BD, Kett DH et al. Multicenter clinical evaluation of the (1--&gt;3) beta-D-glucan assay as an aid to diagnosis of fungal infections in humans. Clin Infect Dis 2005; 41(5):654-659.</w:t>
      </w:r>
    </w:p>
    <w:p w:rsidR="0053409B" w:rsidRDefault="0053409B" w:rsidP="0053409B">
      <w:pPr>
        <w:tabs>
          <w:tab w:val="right" w:pos="540"/>
          <w:tab w:val="left" w:pos="720"/>
        </w:tabs>
        <w:spacing w:after="240"/>
        <w:ind w:left="720" w:hanging="720"/>
        <w:rPr>
          <w:sz w:val="24"/>
          <w:szCs w:val="24"/>
        </w:rPr>
      </w:pPr>
      <w:r>
        <w:rPr>
          <w:sz w:val="24"/>
          <w:szCs w:val="24"/>
        </w:rPr>
        <w:tab/>
        <w:t xml:space="preserve">(26) </w:t>
      </w:r>
      <w:r>
        <w:rPr>
          <w:sz w:val="24"/>
          <w:szCs w:val="24"/>
        </w:rPr>
        <w:tab/>
        <w:t>Ascioglu S, Rex JH, de Pauw B et al. Defining Opportunistic Invasive Fungal Infections in Immunocompromised Patients with Cancer and Hematopoietic Stem Cell Transplants: An International Consensus</w:t>
      </w:r>
      <w:r>
        <w:rPr>
          <w:sz w:val="24"/>
          <w:szCs w:val="24"/>
        </w:rPr>
        <w:br/>
        <w:t>1. Clin Infect Dis 2002; 34(1):7.</w:t>
      </w:r>
    </w:p>
    <w:p w:rsidR="0053409B" w:rsidRDefault="0053409B" w:rsidP="0053409B">
      <w:pPr>
        <w:tabs>
          <w:tab w:val="right" w:pos="540"/>
          <w:tab w:val="left" w:pos="720"/>
        </w:tabs>
        <w:spacing w:after="240"/>
        <w:ind w:left="720" w:hanging="720"/>
        <w:rPr>
          <w:sz w:val="24"/>
          <w:szCs w:val="24"/>
        </w:rPr>
      </w:pPr>
      <w:r>
        <w:rPr>
          <w:sz w:val="24"/>
          <w:szCs w:val="24"/>
        </w:rPr>
        <w:tab/>
        <w:t xml:space="preserve">(27) </w:t>
      </w:r>
      <w:r>
        <w:rPr>
          <w:sz w:val="24"/>
          <w:szCs w:val="24"/>
        </w:rPr>
        <w:tab/>
        <w:t>Takesue Y, Kakehashi M, Ohge H et al. Combined assessment of beta-D-glucan and degree of candida colonization before starting empiric therapy for candidiasis in surgical patients. World J Surg 2004; 28(6):625-630.</w:t>
      </w:r>
    </w:p>
    <w:p w:rsidR="0053409B" w:rsidRDefault="0053409B" w:rsidP="0053409B">
      <w:pPr>
        <w:tabs>
          <w:tab w:val="right" w:pos="540"/>
          <w:tab w:val="left" w:pos="720"/>
        </w:tabs>
        <w:spacing w:after="240"/>
        <w:ind w:left="720" w:hanging="720"/>
        <w:rPr>
          <w:sz w:val="24"/>
          <w:szCs w:val="24"/>
        </w:rPr>
      </w:pPr>
      <w:r>
        <w:rPr>
          <w:sz w:val="24"/>
          <w:szCs w:val="24"/>
        </w:rPr>
        <w:tab/>
        <w:t xml:space="preserve">(28) </w:t>
      </w:r>
      <w:r>
        <w:rPr>
          <w:sz w:val="24"/>
          <w:szCs w:val="24"/>
        </w:rPr>
        <w:tab/>
        <w:t>Berchuck A, Iversen ES, Lancaster JM et al. Patterns of gene expression that characterize long-term survival in advanced stage serous ovarian cancers</w:t>
      </w:r>
      <w:r>
        <w:rPr>
          <w:sz w:val="24"/>
          <w:szCs w:val="24"/>
        </w:rPr>
        <w:br/>
        <w:t>1. Clin Cancer Res 2005; 11(10):3686-3696.</w:t>
      </w:r>
    </w:p>
    <w:p w:rsidR="0053409B" w:rsidRDefault="0053409B" w:rsidP="0053409B">
      <w:pPr>
        <w:tabs>
          <w:tab w:val="right" w:pos="540"/>
          <w:tab w:val="left" w:pos="720"/>
        </w:tabs>
        <w:spacing w:after="240"/>
        <w:ind w:left="720" w:hanging="720"/>
        <w:rPr>
          <w:sz w:val="24"/>
          <w:szCs w:val="24"/>
        </w:rPr>
      </w:pPr>
      <w:r>
        <w:rPr>
          <w:sz w:val="24"/>
          <w:szCs w:val="24"/>
        </w:rPr>
        <w:tab/>
        <w:t xml:space="preserve">(29) </w:t>
      </w:r>
      <w:r>
        <w:rPr>
          <w:sz w:val="24"/>
          <w:szCs w:val="24"/>
        </w:rPr>
        <w:tab/>
        <w:t>Seo D, Wang T, Dressman H et al. Gene expression phenotypes of atherosclerosis</w:t>
      </w:r>
      <w:r>
        <w:rPr>
          <w:sz w:val="24"/>
          <w:szCs w:val="24"/>
        </w:rPr>
        <w:br/>
        <w:t>1. Arterioscler Thromb Vasc Biol 2004; 24(10):1922-1927.</w:t>
      </w:r>
    </w:p>
    <w:p w:rsidR="0053409B" w:rsidRDefault="0053409B" w:rsidP="0053409B">
      <w:pPr>
        <w:tabs>
          <w:tab w:val="right" w:pos="540"/>
          <w:tab w:val="left" w:pos="720"/>
        </w:tabs>
        <w:spacing w:after="240"/>
        <w:ind w:left="720" w:hanging="720"/>
        <w:rPr>
          <w:sz w:val="24"/>
          <w:szCs w:val="24"/>
        </w:rPr>
      </w:pPr>
      <w:r>
        <w:rPr>
          <w:sz w:val="24"/>
          <w:szCs w:val="24"/>
        </w:rPr>
        <w:tab/>
        <w:t xml:space="preserve">(30) </w:t>
      </w:r>
      <w:r>
        <w:rPr>
          <w:sz w:val="24"/>
          <w:szCs w:val="24"/>
        </w:rPr>
        <w:tab/>
        <w:t>Wei C, Li J, Bumgarner RE. Sample size for detecting differentially expressed genes in microarray experiments</w:t>
      </w:r>
      <w:r>
        <w:rPr>
          <w:sz w:val="24"/>
          <w:szCs w:val="24"/>
        </w:rPr>
        <w:br/>
        <w:t>1. BMC Genomics 2004; 5(1):87.</w:t>
      </w:r>
    </w:p>
    <w:p w:rsidR="0053409B" w:rsidRDefault="0053409B" w:rsidP="0053409B">
      <w:pPr>
        <w:tabs>
          <w:tab w:val="right" w:pos="540"/>
          <w:tab w:val="left" w:pos="720"/>
        </w:tabs>
        <w:spacing w:after="0"/>
        <w:ind w:left="720" w:hanging="720"/>
        <w:rPr>
          <w:sz w:val="24"/>
          <w:szCs w:val="24"/>
        </w:rPr>
      </w:pPr>
    </w:p>
    <w:p w:rsidR="008A4052" w:rsidRPr="00140622" w:rsidRDefault="00706A77" w:rsidP="0053409B">
      <w:pPr>
        <w:tabs>
          <w:tab w:val="right" w:pos="540"/>
          <w:tab w:val="left" w:pos="720"/>
        </w:tabs>
        <w:spacing w:after="0"/>
        <w:ind w:left="720" w:hanging="720"/>
        <w:rPr>
          <w:sz w:val="24"/>
          <w:szCs w:val="24"/>
        </w:rPr>
      </w:pPr>
      <w:r w:rsidRPr="00140622">
        <w:rPr>
          <w:sz w:val="24"/>
          <w:szCs w:val="24"/>
        </w:rPr>
        <w:fldChar w:fldCharType="end"/>
      </w:r>
    </w:p>
    <w:p w:rsidR="005C1AE6" w:rsidRPr="00140622" w:rsidRDefault="008A4052" w:rsidP="00FC1BDA">
      <w:pPr>
        <w:spacing w:line="480" w:lineRule="auto"/>
        <w:rPr>
          <w:b/>
          <w:sz w:val="24"/>
          <w:szCs w:val="24"/>
        </w:rPr>
      </w:pPr>
      <w:r w:rsidRPr="00140622">
        <w:rPr>
          <w:sz w:val="24"/>
          <w:szCs w:val="24"/>
        </w:rPr>
        <w:br w:type="page"/>
      </w:r>
      <w:proofErr w:type="gramStart"/>
      <w:r w:rsidR="005C1AE6" w:rsidRPr="00140622">
        <w:rPr>
          <w:b/>
          <w:sz w:val="24"/>
          <w:szCs w:val="24"/>
        </w:rPr>
        <w:lastRenderedPageBreak/>
        <w:t>Table 1</w:t>
      </w:r>
      <w:r w:rsidR="006155FC" w:rsidRPr="00140622">
        <w:rPr>
          <w:b/>
          <w:sz w:val="24"/>
          <w:szCs w:val="24"/>
        </w:rPr>
        <w:t>.</w:t>
      </w:r>
      <w:proofErr w:type="gramEnd"/>
      <w:r w:rsidR="006155FC" w:rsidRPr="00140622">
        <w:rPr>
          <w:b/>
          <w:sz w:val="24"/>
          <w:szCs w:val="24"/>
        </w:rPr>
        <w:t xml:space="preserve"> Clinical Risk F</w:t>
      </w:r>
      <w:r w:rsidR="005C1AE6" w:rsidRPr="00140622">
        <w:rPr>
          <w:b/>
          <w:sz w:val="24"/>
          <w:szCs w:val="24"/>
        </w:rPr>
        <w:t>actors for I</w:t>
      </w:r>
      <w:r w:rsidR="006155FC" w:rsidRPr="00140622">
        <w:rPr>
          <w:b/>
          <w:sz w:val="24"/>
          <w:szCs w:val="24"/>
        </w:rPr>
        <w:t xml:space="preserve">nvasive </w:t>
      </w:r>
      <w:r w:rsidR="005C1AE6" w:rsidRPr="00140622">
        <w:rPr>
          <w:b/>
          <w:sz w:val="24"/>
          <w:szCs w:val="24"/>
        </w:rPr>
        <w:t>C</w:t>
      </w:r>
      <w:r w:rsidR="006155FC" w:rsidRPr="00140622">
        <w:rPr>
          <w:b/>
          <w:sz w:val="24"/>
          <w:szCs w:val="24"/>
        </w:rPr>
        <w:t>andidiasis</w:t>
      </w:r>
      <w:r w:rsidR="005C1AE6" w:rsidRPr="00140622">
        <w:rPr>
          <w:b/>
          <w:sz w:val="24"/>
          <w:szCs w:val="24"/>
        </w:rPr>
        <w:t xml:space="preserve"> </w:t>
      </w:r>
      <w:r w:rsidR="006155FC" w:rsidRPr="00140622">
        <w:rPr>
          <w:b/>
          <w:sz w:val="24"/>
          <w:szCs w:val="24"/>
        </w:rPr>
        <w:t>in Adult Intensive Care Patients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77"/>
      </w:tblGrid>
      <w:tr w:rsidR="006155FC" w:rsidRPr="00140622" w:rsidTr="00932811">
        <w:trPr>
          <w:trHeight w:val="285"/>
        </w:trPr>
        <w:tc>
          <w:tcPr>
            <w:tcW w:w="8677" w:type="dxa"/>
            <w:shd w:val="clear" w:color="auto" w:fill="auto"/>
          </w:tcPr>
          <w:p w:rsidR="006155FC" w:rsidRPr="00932811" w:rsidRDefault="006155FC" w:rsidP="00932811">
            <w:pPr>
              <w:spacing w:line="480" w:lineRule="auto"/>
              <w:jc w:val="center"/>
              <w:rPr>
                <w:b/>
                <w:sz w:val="24"/>
                <w:szCs w:val="24"/>
              </w:rPr>
            </w:pPr>
            <w:r w:rsidRPr="00932811">
              <w:rPr>
                <w:b/>
                <w:sz w:val="24"/>
                <w:szCs w:val="24"/>
              </w:rPr>
              <w:t>Risk Factors</w:t>
            </w:r>
          </w:p>
        </w:tc>
      </w:tr>
      <w:tr w:rsidR="006155FC" w:rsidRPr="00140622" w:rsidTr="00932811">
        <w:trPr>
          <w:trHeight w:val="252"/>
        </w:trPr>
        <w:tc>
          <w:tcPr>
            <w:tcW w:w="8677" w:type="dxa"/>
            <w:shd w:val="clear" w:color="auto" w:fill="auto"/>
          </w:tcPr>
          <w:p w:rsidR="006155FC" w:rsidRPr="00932811" w:rsidRDefault="006155FC" w:rsidP="00932811">
            <w:pPr>
              <w:spacing w:line="480" w:lineRule="auto"/>
              <w:rPr>
                <w:sz w:val="24"/>
                <w:szCs w:val="24"/>
              </w:rPr>
            </w:pPr>
            <w:r w:rsidRPr="00932811">
              <w:rPr>
                <w:sz w:val="24"/>
                <w:szCs w:val="24"/>
              </w:rPr>
              <w:t>Prolonged length of stay</w:t>
            </w:r>
          </w:p>
        </w:tc>
      </w:tr>
      <w:tr w:rsidR="006155FC" w:rsidRPr="00140622" w:rsidTr="00932811">
        <w:trPr>
          <w:trHeight w:val="285"/>
        </w:trPr>
        <w:tc>
          <w:tcPr>
            <w:tcW w:w="8677" w:type="dxa"/>
            <w:shd w:val="clear" w:color="auto" w:fill="auto"/>
          </w:tcPr>
          <w:p w:rsidR="006155FC" w:rsidRPr="00932811" w:rsidRDefault="006155FC" w:rsidP="00932811">
            <w:pPr>
              <w:spacing w:line="480" w:lineRule="auto"/>
              <w:rPr>
                <w:sz w:val="24"/>
                <w:szCs w:val="24"/>
              </w:rPr>
            </w:pPr>
            <w:r w:rsidRPr="00932811">
              <w:rPr>
                <w:sz w:val="24"/>
                <w:szCs w:val="24"/>
              </w:rPr>
              <w:t>High acuity</w:t>
            </w:r>
          </w:p>
        </w:tc>
      </w:tr>
      <w:tr w:rsidR="006155FC" w:rsidRPr="00140622" w:rsidTr="00932811">
        <w:trPr>
          <w:trHeight w:val="291"/>
        </w:trPr>
        <w:tc>
          <w:tcPr>
            <w:tcW w:w="8677" w:type="dxa"/>
            <w:shd w:val="clear" w:color="auto" w:fill="auto"/>
          </w:tcPr>
          <w:p w:rsidR="006155FC" w:rsidRPr="00932811" w:rsidRDefault="006155FC" w:rsidP="00932811">
            <w:pPr>
              <w:spacing w:line="480" w:lineRule="auto"/>
              <w:rPr>
                <w:sz w:val="24"/>
                <w:szCs w:val="24"/>
              </w:rPr>
            </w:pPr>
            <w:r w:rsidRPr="00932811">
              <w:rPr>
                <w:sz w:val="24"/>
                <w:szCs w:val="24"/>
              </w:rPr>
              <w:t>Diabetes</w:t>
            </w:r>
          </w:p>
        </w:tc>
      </w:tr>
      <w:tr w:rsidR="006155FC" w:rsidRPr="00140622" w:rsidTr="00932811">
        <w:trPr>
          <w:trHeight w:val="285"/>
        </w:trPr>
        <w:tc>
          <w:tcPr>
            <w:tcW w:w="8677" w:type="dxa"/>
            <w:shd w:val="clear" w:color="auto" w:fill="auto"/>
          </w:tcPr>
          <w:p w:rsidR="006155FC" w:rsidRPr="00932811" w:rsidRDefault="006155FC" w:rsidP="00932811">
            <w:pPr>
              <w:spacing w:line="480" w:lineRule="auto"/>
              <w:rPr>
                <w:sz w:val="24"/>
                <w:szCs w:val="24"/>
              </w:rPr>
            </w:pPr>
            <w:r w:rsidRPr="00932811">
              <w:rPr>
                <w:sz w:val="24"/>
                <w:szCs w:val="24"/>
              </w:rPr>
              <w:t>Renal failure</w:t>
            </w:r>
          </w:p>
        </w:tc>
      </w:tr>
      <w:tr w:rsidR="006155FC" w:rsidRPr="00140622" w:rsidTr="00932811">
        <w:trPr>
          <w:trHeight w:val="285"/>
        </w:trPr>
        <w:tc>
          <w:tcPr>
            <w:tcW w:w="8677" w:type="dxa"/>
            <w:shd w:val="clear" w:color="auto" w:fill="auto"/>
          </w:tcPr>
          <w:p w:rsidR="006155FC" w:rsidRPr="00932811" w:rsidRDefault="006155FC" w:rsidP="00932811">
            <w:pPr>
              <w:spacing w:line="480" w:lineRule="auto"/>
              <w:rPr>
                <w:sz w:val="24"/>
                <w:szCs w:val="24"/>
              </w:rPr>
            </w:pPr>
            <w:r w:rsidRPr="00932811">
              <w:rPr>
                <w:sz w:val="24"/>
                <w:szCs w:val="24"/>
              </w:rPr>
              <w:t>Hemodialysis</w:t>
            </w:r>
          </w:p>
        </w:tc>
      </w:tr>
      <w:tr w:rsidR="006155FC" w:rsidRPr="00140622" w:rsidTr="00932811">
        <w:trPr>
          <w:trHeight w:val="291"/>
        </w:trPr>
        <w:tc>
          <w:tcPr>
            <w:tcW w:w="8677" w:type="dxa"/>
            <w:shd w:val="clear" w:color="auto" w:fill="auto"/>
          </w:tcPr>
          <w:p w:rsidR="006155FC" w:rsidRPr="00932811" w:rsidRDefault="006155FC" w:rsidP="00932811">
            <w:pPr>
              <w:spacing w:line="480" w:lineRule="auto"/>
              <w:rPr>
                <w:sz w:val="24"/>
                <w:szCs w:val="24"/>
              </w:rPr>
            </w:pPr>
            <w:r w:rsidRPr="00932811">
              <w:rPr>
                <w:sz w:val="24"/>
                <w:szCs w:val="24"/>
              </w:rPr>
              <w:t>Broad-spectrum antibiotics</w:t>
            </w:r>
          </w:p>
        </w:tc>
      </w:tr>
      <w:tr w:rsidR="006155FC" w:rsidRPr="00140622" w:rsidTr="00932811">
        <w:trPr>
          <w:trHeight w:val="285"/>
        </w:trPr>
        <w:tc>
          <w:tcPr>
            <w:tcW w:w="8677" w:type="dxa"/>
            <w:shd w:val="clear" w:color="auto" w:fill="auto"/>
          </w:tcPr>
          <w:p w:rsidR="006155FC" w:rsidRPr="00932811" w:rsidRDefault="006155FC" w:rsidP="00932811">
            <w:pPr>
              <w:spacing w:line="480" w:lineRule="auto"/>
              <w:rPr>
                <w:sz w:val="24"/>
                <w:szCs w:val="24"/>
              </w:rPr>
            </w:pPr>
            <w:r w:rsidRPr="00932811">
              <w:rPr>
                <w:sz w:val="24"/>
                <w:szCs w:val="24"/>
              </w:rPr>
              <w:t>Central venous catheter</w:t>
            </w:r>
          </w:p>
        </w:tc>
      </w:tr>
      <w:tr w:rsidR="006155FC" w:rsidRPr="00140622" w:rsidTr="00932811">
        <w:trPr>
          <w:trHeight w:val="291"/>
        </w:trPr>
        <w:tc>
          <w:tcPr>
            <w:tcW w:w="8677" w:type="dxa"/>
            <w:shd w:val="clear" w:color="auto" w:fill="auto"/>
          </w:tcPr>
          <w:p w:rsidR="006155FC" w:rsidRPr="00932811" w:rsidRDefault="006155FC" w:rsidP="00932811">
            <w:pPr>
              <w:spacing w:line="480" w:lineRule="auto"/>
              <w:rPr>
                <w:sz w:val="24"/>
                <w:szCs w:val="24"/>
              </w:rPr>
            </w:pPr>
            <w:r w:rsidRPr="00932811">
              <w:rPr>
                <w:sz w:val="24"/>
                <w:szCs w:val="24"/>
              </w:rPr>
              <w:t>Parenteral nutrition</w:t>
            </w:r>
          </w:p>
        </w:tc>
      </w:tr>
      <w:tr w:rsidR="006155FC" w:rsidRPr="00140622" w:rsidTr="00932811">
        <w:trPr>
          <w:trHeight w:val="285"/>
        </w:trPr>
        <w:tc>
          <w:tcPr>
            <w:tcW w:w="8677" w:type="dxa"/>
            <w:shd w:val="clear" w:color="auto" w:fill="auto"/>
          </w:tcPr>
          <w:p w:rsidR="006155FC" w:rsidRPr="00932811" w:rsidRDefault="006155FC" w:rsidP="00932811">
            <w:pPr>
              <w:spacing w:line="480" w:lineRule="auto"/>
              <w:rPr>
                <w:sz w:val="24"/>
                <w:szCs w:val="24"/>
              </w:rPr>
            </w:pPr>
            <w:r w:rsidRPr="00932811">
              <w:rPr>
                <w:sz w:val="24"/>
                <w:szCs w:val="24"/>
              </w:rPr>
              <w:t>Immunosuppressive drugs</w:t>
            </w:r>
          </w:p>
        </w:tc>
      </w:tr>
      <w:tr w:rsidR="006155FC" w:rsidRPr="00140622" w:rsidTr="00932811">
        <w:trPr>
          <w:trHeight w:val="291"/>
        </w:trPr>
        <w:tc>
          <w:tcPr>
            <w:tcW w:w="8677" w:type="dxa"/>
            <w:shd w:val="clear" w:color="auto" w:fill="auto"/>
          </w:tcPr>
          <w:p w:rsidR="006155FC" w:rsidRPr="00932811" w:rsidRDefault="006155FC" w:rsidP="00932811">
            <w:pPr>
              <w:spacing w:line="480" w:lineRule="auto"/>
              <w:rPr>
                <w:sz w:val="24"/>
                <w:szCs w:val="24"/>
              </w:rPr>
            </w:pPr>
            <w:r w:rsidRPr="00932811">
              <w:rPr>
                <w:sz w:val="24"/>
                <w:szCs w:val="24"/>
              </w:rPr>
              <w:t>Cancer chemotherapy</w:t>
            </w:r>
          </w:p>
        </w:tc>
      </w:tr>
      <w:tr w:rsidR="006155FC" w:rsidRPr="00140622" w:rsidTr="00932811">
        <w:trPr>
          <w:trHeight w:val="285"/>
        </w:trPr>
        <w:tc>
          <w:tcPr>
            <w:tcW w:w="8677" w:type="dxa"/>
            <w:shd w:val="clear" w:color="auto" w:fill="auto"/>
          </w:tcPr>
          <w:p w:rsidR="006155FC" w:rsidRPr="00932811" w:rsidRDefault="006155FC" w:rsidP="00932811">
            <w:pPr>
              <w:spacing w:line="480" w:lineRule="auto"/>
              <w:rPr>
                <w:sz w:val="24"/>
                <w:szCs w:val="24"/>
              </w:rPr>
            </w:pPr>
            <w:r w:rsidRPr="00932811">
              <w:rPr>
                <w:sz w:val="24"/>
                <w:szCs w:val="24"/>
              </w:rPr>
              <w:t>Severe acute pancreatitis</w:t>
            </w:r>
          </w:p>
        </w:tc>
      </w:tr>
      <w:tr w:rsidR="006155FC" w:rsidRPr="00140622" w:rsidTr="00932811">
        <w:trPr>
          <w:trHeight w:val="291"/>
        </w:trPr>
        <w:tc>
          <w:tcPr>
            <w:tcW w:w="8677" w:type="dxa"/>
            <w:shd w:val="clear" w:color="auto" w:fill="auto"/>
          </w:tcPr>
          <w:p w:rsidR="006155FC" w:rsidRPr="00932811" w:rsidRDefault="006155FC" w:rsidP="00932811">
            <w:pPr>
              <w:spacing w:line="480" w:lineRule="auto"/>
              <w:rPr>
                <w:sz w:val="24"/>
                <w:szCs w:val="24"/>
              </w:rPr>
            </w:pPr>
            <w:r w:rsidRPr="00932811">
              <w:rPr>
                <w:i/>
                <w:sz w:val="24"/>
                <w:szCs w:val="24"/>
              </w:rPr>
              <w:t xml:space="preserve">Candida </w:t>
            </w:r>
            <w:r w:rsidRPr="00932811">
              <w:rPr>
                <w:sz w:val="24"/>
                <w:szCs w:val="24"/>
              </w:rPr>
              <w:t>colonization at multiple sites</w:t>
            </w:r>
          </w:p>
        </w:tc>
      </w:tr>
      <w:tr w:rsidR="006155FC" w:rsidRPr="00140622" w:rsidTr="00932811">
        <w:trPr>
          <w:trHeight w:val="291"/>
        </w:trPr>
        <w:tc>
          <w:tcPr>
            <w:tcW w:w="8677" w:type="dxa"/>
            <w:shd w:val="clear" w:color="auto" w:fill="auto"/>
          </w:tcPr>
          <w:p w:rsidR="006155FC" w:rsidRPr="00932811" w:rsidRDefault="006155FC" w:rsidP="00932811">
            <w:pPr>
              <w:spacing w:line="480" w:lineRule="auto"/>
              <w:rPr>
                <w:sz w:val="24"/>
                <w:szCs w:val="24"/>
              </w:rPr>
            </w:pPr>
            <w:r w:rsidRPr="00932811">
              <w:rPr>
                <w:sz w:val="24"/>
                <w:szCs w:val="24"/>
              </w:rPr>
              <w:t>Surgery</w:t>
            </w:r>
          </w:p>
        </w:tc>
      </w:tr>
      <w:tr w:rsidR="006155FC" w:rsidRPr="00140622" w:rsidTr="00932811">
        <w:trPr>
          <w:trHeight w:val="291"/>
        </w:trPr>
        <w:tc>
          <w:tcPr>
            <w:tcW w:w="8677" w:type="dxa"/>
            <w:shd w:val="clear" w:color="auto" w:fill="auto"/>
          </w:tcPr>
          <w:p w:rsidR="006155FC" w:rsidRPr="00932811" w:rsidRDefault="006155FC" w:rsidP="00932811">
            <w:pPr>
              <w:spacing w:line="480" w:lineRule="auto"/>
              <w:rPr>
                <w:sz w:val="24"/>
                <w:szCs w:val="24"/>
              </w:rPr>
            </w:pPr>
            <w:r w:rsidRPr="00932811">
              <w:rPr>
                <w:sz w:val="24"/>
                <w:szCs w:val="24"/>
              </w:rPr>
              <w:t>Transplantation</w:t>
            </w:r>
          </w:p>
        </w:tc>
      </w:tr>
    </w:tbl>
    <w:p w:rsidR="006155FC" w:rsidRPr="00140622" w:rsidRDefault="006155FC" w:rsidP="00FC1BDA">
      <w:pPr>
        <w:spacing w:line="480" w:lineRule="auto"/>
        <w:rPr>
          <w:sz w:val="24"/>
          <w:szCs w:val="24"/>
        </w:rPr>
      </w:pPr>
    </w:p>
    <w:p w:rsidR="006155FC" w:rsidRPr="00140622" w:rsidRDefault="006155FC" w:rsidP="00FC1BDA">
      <w:pPr>
        <w:spacing w:line="480" w:lineRule="auto"/>
        <w:rPr>
          <w:sz w:val="24"/>
          <w:szCs w:val="24"/>
        </w:rPr>
      </w:pPr>
    </w:p>
    <w:p w:rsidR="006155FC" w:rsidRPr="00140622" w:rsidRDefault="005C1AE6" w:rsidP="00FC1BDA">
      <w:pPr>
        <w:spacing w:line="480" w:lineRule="auto"/>
        <w:rPr>
          <w:b/>
          <w:sz w:val="24"/>
          <w:szCs w:val="24"/>
        </w:rPr>
      </w:pPr>
      <w:r w:rsidRPr="00140622">
        <w:rPr>
          <w:sz w:val="24"/>
          <w:szCs w:val="24"/>
        </w:rPr>
        <w:br w:type="page"/>
      </w:r>
      <w:proofErr w:type="gramStart"/>
      <w:r w:rsidR="003A0B8B" w:rsidRPr="00140622">
        <w:rPr>
          <w:b/>
          <w:sz w:val="24"/>
          <w:szCs w:val="24"/>
        </w:rPr>
        <w:lastRenderedPageBreak/>
        <w:t>Table 2</w:t>
      </w:r>
      <w:r w:rsidR="006155FC" w:rsidRPr="00140622">
        <w:rPr>
          <w:b/>
          <w:sz w:val="24"/>
          <w:szCs w:val="24"/>
        </w:rPr>
        <w:t>.</w:t>
      </w:r>
      <w:proofErr w:type="gramEnd"/>
      <w:r w:rsidR="006155FC" w:rsidRPr="00140622">
        <w:rPr>
          <w:b/>
          <w:sz w:val="24"/>
          <w:szCs w:val="24"/>
        </w:rPr>
        <w:t xml:space="preserve"> Factors Associated with False Positive β-D-</w:t>
      </w:r>
      <w:proofErr w:type="spellStart"/>
      <w:r w:rsidR="006155FC" w:rsidRPr="00140622">
        <w:rPr>
          <w:b/>
          <w:sz w:val="24"/>
          <w:szCs w:val="24"/>
        </w:rPr>
        <w:t>Glucan</w:t>
      </w:r>
      <w:proofErr w:type="spellEnd"/>
      <w:r w:rsidR="006155FC" w:rsidRPr="00140622">
        <w:rPr>
          <w:b/>
          <w:sz w:val="24"/>
          <w:szCs w:val="24"/>
        </w:rPr>
        <w:t xml:space="preserve"> Test Results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59176D" w:rsidRPr="00140622" w:rsidTr="00932811">
        <w:tc>
          <w:tcPr>
            <w:tcW w:w="9576" w:type="dxa"/>
            <w:shd w:val="clear" w:color="auto" w:fill="auto"/>
          </w:tcPr>
          <w:p w:rsidR="0059176D" w:rsidRPr="00932811" w:rsidRDefault="0059176D" w:rsidP="00932811">
            <w:pPr>
              <w:spacing w:line="480" w:lineRule="auto"/>
              <w:jc w:val="both"/>
              <w:rPr>
                <w:sz w:val="24"/>
                <w:szCs w:val="24"/>
              </w:rPr>
            </w:pPr>
            <w:r w:rsidRPr="00932811">
              <w:rPr>
                <w:sz w:val="24"/>
                <w:szCs w:val="24"/>
              </w:rPr>
              <w:t>Laboratory contamination</w:t>
            </w:r>
          </w:p>
          <w:p w:rsidR="0059176D" w:rsidRPr="00932811" w:rsidRDefault="00B563E8" w:rsidP="00932811">
            <w:pPr>
              <w:spacing w:line="480" w:lineRule="auto"/>
              <w:jc w:val="both"/>
              <w:rPr>
                <w:sz w:val="24"/>
                <w:szCs w:val="24"/>
              </w:rPr>
            </w:pPr>
            <w:r w:rsidRPr="00932811">
              <w:rPr>
                <w:sz w:val="24"/>
                <w:szCs w:val="24"/>
              </w:rPr>
              <w:t xml:space="preserve">     Non-</w:t>
            </w:r>
            <w:proofErr w:type="spellStart"/>
            <w:r w:rsidRPr="00932811">
              <w:rPr>
                <w:sz w:val="24"/>
                <w:szCs w:val="24"/>
              </w:rPr>
              <w:t>g</w:t>
            </w:r>
            <w:r w:rsidR="0059176D" w:rsidRPr="00932811">
              <w:rPr>
                <w:sz w:val="24"/>
                <w:szCs w:val="24"/>
              </w:rPr>
              <w:t>lucan</w:t>
            </w:r>
            <w:proofErr w:type="spellEnd"/>
            <w:r w:rsidR="0059176D" w:rsidRPr="00932811">
              <w:rPr>
                <w:sz w:val="24"/>
                <w:szCs w:val="24"/>
              </w:rPr>
              <w:t xml:space="preserve"> free glassware and/or plastics</w:t>
            </w:r>
          </w:p>
          <w:p w:rsidR="0059176D" w:rsidRPr="00932811" w:rsidRDefault="00B563E8" w:rsidP="00932811">
            <w:pPr>
              <w:spacing w:line="480" w:lineRule="auto"/>
              <w:jc w:val="both"/>
              <w:rPr>
                <w:sz w:val="24"/>
                <w:szCs w:val="24"/>
              </w:rPr>
            </w:pPr>
            <w:r w:rsidRPr="00932811">
              <w:rPr>
                <w:sz w:val="24"/>
                <w:szCs w:val="24"/>
              </w:rPr>
              <w:t xml:space="preserve">      Starched</w:t>
            </w:r>
            <w:r w:rsidR="0059176D" w:rsidRPr="00932811">
              <w:rPr>
                <w:sz w:val="24"/>
                <w:szCs w:val="24"/>
              </w:rPr>
              <w:t xml:space="preserve"> laboratory coats</w:t>
            </w:r>
          </w:p>
        </w:tc>
      </w:tr>
      <w:tr w:rsidR="0059176D" w:rsidRPr="00140622" w:rsidTr="00932811">
        <w:tc>
          <w:tcPr>
            <w:tcW w:w="9576" w:type="dxa"/>
            <w:shd w:val="clear" w:color="auto" w:fill="auto"/>
          </w:tcPr>
          <w:p w:rsidR="0059176D" w:rsidRPr="00932811" w:rsidRDefault="0059176D" w:rsidP="00932811">
            <w:pPr>
              <w:spacing w:line="480" w:lineRule="auto"/>
              <w:jc w:val="both"/>
              <w:rPr>
                <w:sz w:val="24"/>
                <w:szCs w:val="24"/>
              </w:rPr>
            </w:pPr>
            <w:r w:rsidRPr="00932811">
              <w:rPr>
                <w:sz w:val="24"/>
                <w:szCs w:val="24"/>
              </w:rPr>
              <w:t>Immunoglobulin therapy</w:t>
            </w:r>
          </w:p>
        </w:tc>
      </w:tr>
      <w:tr w:rsidR="0059176D" w:rsidRPr="00140622" w:rsidTr="00932811">
        <w:tc>
          <w:tcPr>
            <w:tcW w:w="9576" w:type="dxa"/>
            <w:shd w:val="clear" w:color="auto" w:fill="auto"/>
          </w:tcPr>
          <w:p w:rsidR="0059176D" w:rsidRPr="00932811" w:rsidRDefault="0059176D" w:rsidP="00932811">
            <w:pPr>
              <w:spacing w:line="480" w:lineRule="auto"/>
              <w:jc w:val="both"/>
              <w:rPr>
                <w:sz w:val="24"/>
                <w:szCs w:val="24"/>
              </w:rPr>
            </w:pPr>
            <w:r w:rsidRPr="00932811">
              <w:rPr>
                <w:sz w:val="24"/>
                <w:szCs w:val="24"/>
              </w:rPr>
              <w:t>Albumin supplementation</w:t>
            </w:r>
          </w:p>
        </w:tc>
      </w:tr>
      <w:tr w:rsidR="0059176D" w:rsidRPr="00140622" w:rsidTr="00932811">
        <w:tc>
          <w:tcPr>
            <w:tcW w:w="9576" w:type="dxa"/>
            <w:shd w:val="clear" w:color="auto" w:fill="auto"/>
          </w:tcPr>
          <w:p w:rsidR="0059176D" w:rsidRPr="00932811" w:rsidRDefault="0059176D" w:rsidP="00932811">
            <w:pPr>
              <w:spacing w:line="480" w:lineRule="auto"/>
              <w:jc w:val="both"/>
              <w:rPr>
                <w:sz w:val="24"/>
                <w:szCs w:val="24"/>
              </w:rPr>
            </w:pPr>
            <w:r w:rsidRPr="00932811">
              <w:rPr>
                <w:sz w:val="24"/>
                <w:szCs w:val="24"/>
              </w:rPr>
              <w:t>Cellulose containing dialysis membranes</w:t>
            </w:r>
          </w:p>
        </w:tc>
      </w:tr>
      <w:tr w:rsidR="0059176D" w:rsidRPr="00140622" w:rsidTr="00932811">
        <w:tc>
          <w:tcPr>
            <w:tcW w:w="9576" w:type="dxa"/>
            <w:shd w:val="clear" w:color="auto" w:fill="auto"/>
          </w:tcPr>
          <w:p w:rsidR="0059176D" w:rsidRPr="00932811" w:rsidRDefault="0059176D" w:rsidP="00932811">
            <w:pPr>
              <w:spacing w:line="480" w:lineRule="auto"/>
              <w:jc w:val="both"/>
              <w:rPr>
                <w:sz w:val="24"/>
                <w:szCs w:val="24"/>
              </w:rPr>
            </w:pPr>
            <w:proofErr w:type="spellStart"/>
            <w:r w:rsidRPr="00932811">
              <w:rPr>
                <w:sz w:val="24"/>
                <w:szCs w:val="24"/>
              </w:rPr>
              <w:t>Serosal</w:t>
            </w:r>
            <w:proofErr w:type="spellEnd"/>
            <w:r w:rsidRPr="00932811">
              <w:rPr>
                <w:sz w:val="24"/>
                <w:szCs w:val="24"/>
              </w:rPr>
              <w:t xml:space="preserve"> exposure to </w:t>
            </w:r>
            <w:proofErr w:type="spellStart"/>
            <w:r w:rsidRPr="00932811">
              <w:rPr>
                <w:sz w:val="24"/>
                <w:szCs w:val="24"/>
              </w:rPr>
              <w:t>glucan</w:t>
            </w:r>
            <w:proofErr w:type="spellEnd"/>
            <w:r w:rsidRPr="00932811">
              <w:rPr>
                <w:sz w:val="24"/>
                <w:szCs w:val="24"/>
              </w:rPr>
              <w:t xml:space="preserve"> containing gauze</w:t>
            </w:r>
          </w:p>
        </w:tc>
      </w:tr>
      <w:tr w:rsidR="0059176D" w:rsidRPr="00140622" w:rsidTr="00932811">
        <w:tc>
          <w:tcPr>
            <w:tcW w:w="9576" w:type="dxa"/>
            <w:shd w:val="clear" w:color="auto" w:fill="auto"/>
          </w:tcPr>
          <w:p w:rsidR="0059176D" w:rsidRPr="00932811" w:rsidRDefault="0059176D" w:rsidP="00932811">
            <w:pPr>
              <w:spacing w:line="480" w:lineRule="auto"/>
              <w:jc w:val="both"/>
              <w:rPr>
                <w:sz w:val="24"/>
                <w:szCs w:val="24"/>
              </w:rPr>
            </w:pPr>
            <w:r w:rsidRPr="00932811">
              <w:rPr>
                <w:sz w:val="24"/>
                <w:szCs w:val="24"/>
              </w:rPr>
              <w:t>Amoxicillin-</w:t>
            </w:r>
            <w:proofErr w:type="spellStart"/>
            <w:r w:rsidRPr="00932811">
              <w:rPr>
                <w:sz w:val="24"/>
                <w:szCs w:val="24"/>
              </w:rPr>
              <w:t>clavulonic</w:t>
            </w:r>
            <w:proofErr w:type="spellEnd"/>
            <w:r w:rsidRPr="00932811">
              <w:rPr>
                <w:sz w:val="24"/>
                <w:szCs w:val="24"/>
              </w:rPr>
              <w:t xml:space="preserve"> acid therapy</w:t>
            </w:r>
          </w:p>
        </w:tc>
      </w:tr>
    </w:tbl>
    <w:p w:rsidR="003C779C" w:rsidRPr="00140622" w:rsidRDefault="003C779C" w:rsidP="00FC1BDA">
      <w:pPr>
        <w:spacing w:line="480" w:lineRule="auto"/>
        <w:rPr>
          <w:sz w:val="24"/>
          <w:szCs w:val="24"/>
        </w:rPr>
      </w:pPr>
    </w:p>
    <w:p w:rsidR="005C1AE6" w:rsidRPr="00140622" w:rsidRDefault="003C779C" w:rsidP="00FC1BDA">
      <w:pPr>
        <w:spacing w:line="480" w:lineRule="auto"/>
        <w:rPr>
          <w:sz w:val="24"/>
          <w:szCs w:val="24"/>
        </w:rPr>
      </w:pPr>
      <w:r w:rsidRPr="00140622">
        <w:rPr>
          <w:sz w:val="24"/>
          <w:szCs w:val="24"/>
        </w:rPr>
        <w:br w:type="page"/>
      </w:r>
    </w:p>
    <w:p w:rsidR="00B563E8" w:rsidRPr="00140622" w:rsidRDefault="00B563E8" w:rsidP="00FC1BDA">
      <w:pPr>
        <w:spacing w:line="480" w:lineRule="auto"/>
        <w:rPr>
          <w:sz w:val="24"/>
          <w:szCs w:val="24"/>
        </w:rPr>
      </w:pPr>
    </w:p>
    <w:p w:rsidR="008A4052" w:rsidRPr="00140622" w:rsidRDefault="00F95529" w:rsidP="00FC1BDA">
      <w:pPr>
        <w:spacing w:line="480" w:lineRule="auto"/>
        <w:rPr>
          <w:b/>
          <w:sz w:val="24"/>
          <w:szCs w:val="24"/>
        </w:rPr>
      </w:pPr>
      <w:proofErr w:type="gramStart"/>
      <w:r w:rsidRPr="00140622">
        <w:rPr>
          <w:b/>
          <w:sz w:val="24"/>
          <w:szCs w:val="24"/>
        </w:rPr>
        <w:t>Ta</w:t>
      </w:r>
      <w:r w:rsidR="00F228AE" w:rsidRPr="00140622">
        <w:rPr>
          <w:b/>
          <w:sz w:val="24"/>
          <w:szCs w:val="24"/>
        </w:rPr>
        <w:t>ble 3</w:t>
      </w:r>
      <w:r w:rsidRPr="00140622">
        <w:rPr>
          <w:b/>
          <w:sz w:val="24"/>
          <w:szCs w:val="24"/>
        </w:rPr>
        <w:t>.</w:t>
      </w:r>
      <w:proofErr w:type="gramEnd"/>
      <w:r w:rsidRPr="00140622">
        <w:rPr>
          <w:b/>
          <w:sz w:val="24"/>
          <w:szCs w:val="24"/>
        </w:rPr>
        <w:t xml:space="preserve"> Definitions of Invasive Fungal I</w:t>
      </w:r>
      <w:r w:rsidR="008A4052" w:rsidRPr="00140622">
        <w:rPr>
          <w:b/>
          <w:sz w:val="24"/>
          <w:szCs w:val="24"/>
        </w:rPr>
        <w:t xml:space="preserve">nfections </w:t>
      </w: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9"/>
        <w:gridCol w:w="7331"/>
      </w:tblGrid>
      <w:tr w:rsidR="008A4052" w:rsidRPr="00140622" w:rsidTr="00932811">
        <w:tc>
          <w:tcPr>
            <w:tcW w:w="2749" w:type="dxa"/>
            <w:tcBorders>
              <w:top w:val="single" w:sz="8" w:space="0" w:color="auto"/>
              <w:bottom w:val="single" w:sz="8" w:space="0" w:color="auto"/>
            </w:tcBorders>
            <w:shd w:val="clear" w:color="auto" w:fill="auto"/>
          </w:tcPr>
          <w:p w:rsidR="008A4052" w:rsidRPr="00932811" w:rsidRDefault="008A4052" w:rsidP="00932811">
            <w:pPr>
              <w:spacing w:line="480" w:lineRule="auto"/>
              <w:rPr>
                <w:b/>
                <w:bCs/>
                <w:color w:val="000000"/>
                <w:sz w:val="24"/>
                <w:szCs w:val="24"/>
              </w:rPr>
            </w:pPr>
            <w:r w:rsidRPr="00932811">
              <w:rPr>
                <w:b/>
                <w:bCs/>
                <w:color w:val="000000"/>
                <w:sz w:val="24"/>
                <w:szCs w:val="24"/>
              </w:rPr>
              <w:t>Category, type of infection</w:t>
            </w:r>
          </w:p>
        </w:tc>
        <w:tc>
          <w:tcPr>
            <w:tcW w:w="7331" w:type="dxa"/>
            <w:tcBorders>
              <w:top w:val="single" w:sz="8" w:space="0" w:color="auto"/>
              <w:bottom w:val="single" w:sz="8" w:space="0" w:color="auto"/>
            </w:tcBorders>
            <w:shd w:val="clear" w:color="auto" w:fill="auto"/>
          </w:tcPr>
          <w:p w:rsidR="008A4052" w:rsidRPr="00932811" w:rsidRDefault="008A4052" w:rsidP="00932811">
            <w:pPr>
              <w:spacing w:line="480" w:lineRule="auto"/>
              <w:jc w:val="center"/>
              <w:rPr>
                <w:b/>
                <w:bCs/>
                <w:color w:val="000000"/>
                <w:sz w:val="24"/>
                <w:szCs w:val="24"/>
              </w:rPr>
            </w:pPr>
            <w:r w:rsidRPr="00932811">
              <w:rPr>
                <w:b/>
                <w:bCs/>
                <w:color w:val="000000"/>
                <w:sz w:val="24"/>
                <w:szCs w:val="24"/>
              </w:rPr>
              <w:t>Description</w:t>
            </w:r>
          </w:p>
        </w:tc>
      </w:tr>
      <w:tr w:rsidR="008A4052" w:rsidRPr="00140622" w:rsidTr="00932811">
        <w:tc>
          <w:tcPr>
            <w:tcW w:w="2749" w:type="dxa"/>
            <w:tcBorders>
              <w:top w:val="single" w:sz="8" w:space="0" w:color="auto"/>
            </w:tcBorders>
            <w:shd w:val="clear" w:color="auto" w:fill="auto"/>
          </w:tcPr>
          <w:p w:rsidR="008A4052" w:rsidRPr="00932811" w:rsidRDefault="008A4052" w:rsidP="00932811">
            <w:pPr>
              <w:spacing w:line="480" w:lineRule="auto"/>
              <w:rPr>
                <w:bCs/>
                <w:color w:val="000000"/>
                <w:sz w:val="24"/>
                <w:szCs w:val="24"/>
              </w:rPr>
            </w:pPr>
            <w:r w:rsidRPr="00932811">
              <w:rPr>
                <w:bCs/>
                <w:color w:val="000000"/>
                <w:sz w:val="24"/>
                <w:szCs w:val="24"/>
              </w:rPr>
              <w:t>Proven IFIs</w:t>
            </w:r>
          </w:p>
        </w:tc>
        <w:tc>
          <w:tcPr>
            <w:tcW w:w="7331" w:type="dxa"/>
            <w:tcBorders>
              <w:top w:val="single" w:sz="8" w:space="0" w:color="auto"/>
            </w:tcBorders>
            <w:shd w:val="clear" w:color="auto" w:fill="auto"/>
          </w:tcPr>
          <w:p w:rsidR="008A4052" w:rsidRPr="00932811" w:rsidRDefault="008A4052" w:rsidP="00932811">
            <w:pPr>
              <w:spacing w:line="480" w:lineRule="auto"/>
              <w:rPr>
                <w:bCs/>
                <w:color w:val="000000"/>
                <w:sz w:val="24"/>
                <w:szCs w:val="24"/>
              </w:rPr>
            </w:pPr>
          </w:p>
        </w:tc>
      </w:tr>
      <w:tr w:rsidR="008A4052" w:rsidRPr="00140622" w:rsidTr="00932811">
        <w:tc>
          <w:tcPr>
            <w:tcW w:w="2749" w:type="dxa"/>
            <w:shd w:val="clear" w:color="auto" w:fill="auto"/>
          </w:tcPr>
          <w:p w:rsidR="008A4052" w:rsidRPr="00932811" w:rsidRDefault="008A4052" w:rsidP="00932811">
            <w:pPr>
              <w:spacing w:line="480" w:lineRule="auto"/>
              <w:ind w:left="180"/>
              <w:rPr>
                <w:bCs/>
                <w:color w:val="000000"/>
                <w:sz w:val="24"/>
                <w:szCs w:val="24"/>
              </w:rPr>
            </w:pPr>
            <w:r w:rsidRPr="00932811">
              <w:rPr>
                <w:bCs/>
                <w:color w:val="000000"/>
                <w:sz w:val="24"/>
                <w:szCs w:val="24"/>
              </w:rPr>
              <w:t>Deep tissue infections</w:t>
            </w:r>
          </w:p>
        </w:tc>
        <w:tc>
          <w:tcPr>
            <w:tcW w:w="7331" w:type="dxa"/>
            <w:shd w:val="clear" w:color="auto" w:fill="auto"/>
          </w:tcPr>
          <w:p w:rsidR="008A4052" w:rsidRPr="00932811" w:rsidRDefault="008A4052" w:rsidP="00932811">
            <w:pPr>
              <w:spacing w:line="480" w:lineRule="auto"/>
              <w:rPr>
                <w:bCs/>
                <w:color w:val="000000"/>
                <w:sz w:val="24"/>
                <w:szCs w:val="24"/>
              </w:rPr>
            </w:pPr>
          </w:p>
        </w:tc>
      </w:tr>
      <w:tr w:rsidR="008A4052" w:rsidRPr="00140622" w:rsidTr="00932811">
        <w:tc>
          <w:tcPr>
            <w:tcW w:w="2749" w:type="dxa"/>
            <w:shd w:val="clear" w:color="auto" w:fill="auto"/>
          </w:tcPr>
          <w:p w:rsidR="008A4052" w:rsidRPr="00932811" w:rsidRDefault="008A4052" w:rsidP="00932811">
            <w:pPr>
              <w:spacing w:line="480" w:lineRule="auto"/>
              <w:ind w:left="360"/>
              <w:rPr>
                <w:bCs/>
                <w:color w:val="000000"/>
                <w:sz w:val="24"/>
                <w:szCs w:val="24"/>
                <w:vertAlign w:val="superscript"/>
              </w:rPr>
            </w:pPr>
            <w:r w:rsidRPr="00932811">
              <w:rPr>
                <w:bCs/>
                <w:color w:val="000000"/>
                <w:sz w:val="24"/>
                <w:szCs w:val="24"/>
              </w:rPr>
              <w:t>Molds</w:t>
            </w:r>
          </w:p>
        </w:tc>
        <w:tc>
          <w:tcPr>
            <w:tcW w:w="7331" w:type="dxa"/>
            <w:shd w:val="clear" w:color="auto" w:fill="auto"/>
          </w:tcPr>
          <w:p w:rsidR="008A4052" w:rsidRPr="00932811" w:rsidRDefault="008A4052" w:rsidP="00932811">
            <w:pPr>
              <w:spacing w:line="480" w:lineRule="auto"/>
              <w:ind w:left="288" w:hanging="288"/>
              <w:rPr>
                <w:bCs/>
                <w:color w:val="000000"/>
                <w:sz w:val="24"/>
                <w:szCs w:val="24"/>
              </w:rPr>
            </w:pPr>
            <w:proofErr w:type="spellStart"/>
            <w:r w:rsidRPr="00932811">
              <w:rPr>
                <w:bCs/>
                <w:color w:val="000000"/>
                <w:sz w:val="24"/>
                <w:szCs w:val="24"/>
              </w:rPr>
              <w:t>Histopathologic</w:t>
            </w:r>
            <w:proofErr w:type="spellEnd"/>
            <w:r w:rsidRPr="00932811">
              <w:rPr>
                <w:bCs/>
                <w:color w:val="000000"/>
                <w:sz w:val="24"/>
                <w:szCs w:val="24"/>
              </w:rPr>
              <w:t xml:space="preserve"> or </w:t>
            </w:r>
            <w:proofErr w:type="spellStart"/>
            <w:r w:rsidRPr="00932811">
              <w:rPr>
                <w:bCs/>
                <w:color w:val="000000"/>
                <w:sz w:val="24"/>
                <w:szCs w:val="24"/>
              </w:rPr>
              <w:t>cytopathologic</w:t>
            </w:r>
            <w:proofErr w:type="spellEnd"/>
            <w:r w:rsidRPr="00932811">
              <w:rPr>
                <w:bCs/>
                <w:color w:val="000000"/>
                <w:sz w:val="24"/>
                <w:szCs w:val="24"/>
              </w:rPr>
              <w:t xml:space="preserve"> examination showing hyphae from needle aspiration or biopsy specimen with evidence of associated tissue damage (either microscopically or unequivocally by imaging); or positive culture result for a sample obtained by sterile procedure from normally sterile and clinically or </w:t>
            </w:r>
            <w:proofErr w:type="spellStart"/>
            <w:r w:rsidRPr="00932811">
              <w:rPr>
                <w:bCs/>
                <w:color w:val="000000"/>
                <w:sz w:val="24"/>
                <w:szCs w:val="24"/>
              </w:rPr>
              <w:t>radiologically</w:t>
            </w:r>
            <w:proofErr w:type="spellEnd"/>
            <w:r w:rsidRPr="00932811">
              <w:rPr>
                <w:bCs/>
                <w:color w:val="000000"/>
                <w:sz w:val="24"/>
                <w:szCs w:val="24"/>
              </w:rPr>
              <w:t xml:space="preserve"> abnormal site consistent with infection, excluding urine and mucous membranes.</w:t>
            </w:r>
          </w:p>
        </w:tc>
      </w:tr>
      <w:tr w:rsidR="008A4052" w:rsidRPr="00140622" w:rsidTr="00932811">
        <w:tc>
          <w:tcPr>
            <w:tcW w:w="2749" w:type="dxa"/>
            <w:shd w:val="clear" w:color="auto" w:fill="auto"/>
          </w:tcPr>
          <w:p w:rsidR="008A4052" w:rsidRPr="00932811" w:rsidRDefault="008A4052" w:rsidP="00932811">
            <w:pPr>
              <w:spacing w:line="480" w:lineRule="auto"/>
              <w:ind w:left="360"/>
              <w:rPr>
                <w:bCs/>
                <w:color w:val="000000"/>
                <w:sz w:val="24"/>
                <w:szCs w:val="24"/>
                <w:vertAlign w:val="superscript"/>
              </w:rPr>
            </w:pPr>
            <w:r w:rsidRPr="00932811">
              <w:rPr>
                <w:bCs/>
                <w:color w:val="000000"/>
                <w:sz w:val="24"/>
                <w:szCs w:val="24"/>
              </w:rPr>
              <w:t>Yeasts</w:t>
            </w:r>
          </w:p>
        </w:tc>
        <w:tc>
          <w:tcPr>
            <w:tcW w:w="7331" w:type="dxa"/>
            <w:shd w:val="clear" w:color="auto" w:fill="auto"/>
          </w:tcPr>
          <w:p w:rsidR="008A4052" w:rsidRPr="00932811" w:rsidRDefault="008A4052" w:rsidP="00932811">
            <w:pPr>
              <w:spacing w:line="480" w:lineRule="auto"/>
              <w:ind w:left="288" w:hanging="288"/>
              <w:rPr>
                <w:bCs/>
                <w:color w:val="000000"/>
                <w:sz w:val="24"/>
                <w:szCs w:val="24"/>
              </w:rPr>
            </w:pPr>
            <w:proofErr w:type="spellStart"/>
            <w:r w:rsidRPr="00932811">
              <w:rPr>
                <w:bCs/>
                <w:color w:val="000000"/>
                <w:sz w:val="24"/>
                <w:szCs w:val="24"/>
              </w:rPr>
              <w:t>Histopathologic</w:t>
            </w:r>
            <w:proofErr w:type="spellEnd"/>
            <w:r w:rsidRPr="00932811">
              <w:rPr>
                <w:bCs/>
                <w:color w:val="000000"/>
                <w:sz w:val="24"/>
                <w:szCs w:val="24"/>
              </w:rPr>
              <w:t xml:space="preserve"> or </w:t>
            </w:r>
            <w:proofErr w:type="spellStart"/>
            <w:r w:rsidRPr="00932811">
              <w:rPr>
                <w:bCs/>
                <w:color w:val="000000"/>
                <w:sz w:val="24"/>
                <w:szCs w:val="24"/>
              </w:rPr>
              <w:t>cytopathologic</w:t>
            </w:r>
            <w:proofErr w:type="spellEnd"/>
            <w:r w:rsidRPr="00932811">
              <w:rPr>
                <w:bCs/>
                <w:color w:val="000000"/>
                <w:sz w:val="24"/>
                <w:szCs w:val="24"/>
              </w:rPr>
              <w:t xml:space="preserve"> examination showing yeast cells (</w:t>
            </w:r>
            <w:r w:rsidRPr="00932811">
              <w:rPr>
                <w:bCs/>
                <w:i/>
                <w:color w:val="000000"/>
                <w:sz w:val="24"/>
                <w:szCs w:val="24"/>
              </w:rPr>
              <w:t xml:space="preserve">Candida </w:t>
            </w:r>
            <w:r w:rsidRPr="00932811">
              <w:rPr>
                <w:bCs/>
                <w:color w:val="000000"/>
                <w:sz w:val="24"/>
                <w:szCs w:val="24"/>
              </w:rPr>
              <w:t xml:space="preserve">species may also show </w:t>
            </w:r>
            <w:proofErr w:type="spellStart"/>
            <w:r w:rsidRPr="00932811">
              <w:rPr>
                <w:bCs/>
                <w:color w:val="000000"/>
                <w:sz w:val="24"/>
                <w:szCs w:val="24"/>
              </w:rPr>
              <w:t>pseudohyphae</w:t>
            </w:r>
            <w:proofErr w:type="spellEnd"/>
            <w:r w:rsidRPr="00932811">
              <w:rPr>
                <w:bCs/>
                <w:color w:val="000000"/>
                <w:sz w:val="24"/>
                <w:szCs w:val="24"/>
              </w:rPr>
              <w:t xml:space="preserve"> or true hyphae) from specimens of needle aspiration or biopsy excluding mucous membranes; or positive culture result on sample obtained by sterile procedure from normally sterile and clinically or </w:t>
            </w:r>
            <w:proofErr w:type="spellStart"/>
            <w:r w:rsidRPr="00932811">
              <w:rPr>
                <w:bCs/>
                <w:color w:val="000000"/>
                <w:sz w:val="24"/>
                <w:szCs w:val="24"/>
              </w:rPr>
              <w:t>radiologically</w:t>
            </w:r>
            <w:proofErr w:type="spellEnd"/>
            <w:r w:rsidRPr="00932811">
              <w:rPr>
                <w:bCs/>
                <w:color w:val="000000"/>
                <w:sz w:val="24"/>
                <w:szCs w:val="24"/>
              </w:rPr>
              <w:t xml:space="preserve"> abnormal site consistent with infection, excluding urine, sinuses, and mucous membranes; or microscopy (India ink, </w:t>
            </w:r>
            <w:proofErr w:type="spellStart"/>
            <w:r w:rsidRPr="00932811">
              <w:rPr>
                <w:bCs/>
                <w:color w:val="000000"/>
                <w:sz w:val="24"/>
                <w:szCs w:val="24"/>
              </w:rPr>
              <w:t>mucicarmine</w:t>
            </w:r>
            <w:proofErr w:type="spellEnd"/>
            <w:r w:rsidRPr="00932811">
              <w:rPr>
                <w:bCs/>
                <w:color w:val="000000"/>
                <w:sz w:val="24"/>
                <w:szCs w:val="24"/>
              </w:rPr>
              <w:t xml:space="preserve"> stain) or antigen positivity for </w:t>
            </w:r>
            <w:r w:rsidRPr="00932811">
              <w:rPr>
                <w:bCs/>
                <w:i/>
                <w:color w:val="000000"/>
                <w:sz w:val="24"/>
                <w:szCs w:val="24"/>
              </w:rPr>
              <w:t>Cryptococcus</w:t>
            </w:r>
            <w:r w:rsidRPr="00932811">
              <w:rPr>
                <w:bCs/>
                <w:color w:val="000000"/>
                <w:sz w:val="24"/>
                <w:szCs w:val="24"/>
              </w:rPr>
              <w:t xml:space="preserve"> species in CSF.</w:t>
            </w:r>
          </w:p>
        </w:tc>
      </w:tr>
      <w:tr w:rsidR="008A4052" w:rsidRPr="00140622" w:rsidTr="00932811">
        <w:tc>
          <w:tcPr>
            <w:tcW w:w="2749" w:type="dxa"/>
            <w:shd w:val="clear" w:color="auto" w:fill="auto"/>
          </w:tcPr>
          <w:p w:rsidR="008A4052" w:rsidRPr="00932811" w:rsidRDefault="008A4052" w:rsidP="00932811">
            <w:pPr>
              <w:spacing w:line="480" w:lineRule="auto"/>
              <w:rPr>
                <w:bCs/>
                <w:color w:val="000000"/>
                <w:sz w:val="24"/>
                <w:szCs w:val="24"/>
              </w:rPr>
            </w:pPr>
            <w:proofErr w:type="spellStart"/>
            <w:r w:rsidRPr="00932811">
              <w:rPr>
                <w:bCs/>
                <w:color w:val="000000"/>
                <w:sz w:val="24"/>
                <w:szCs w:val="24"/>
              </w:rPr>
              <w:lastRenderedPageBreak/>
              <w:t>Fungemia</w:t>
            </w:r>
            <w:proofErr w:type="spellEnd"/>
          </w:p>
        </w:tc>
        <w:tc>
          <w:tcPr>
            <w:tcW w:w="7331" w:type="dxa"/>
            <w:shd w:val="clear" w:color="auto" w:fill="auto"/>
          </w:tcPr>
          <w:p w:rsidR="008A4052" w:rsidRPr="00932811" w:rsidRDefault="008A4052" w:rsidP="00932811">
            <w:pPr>
              <w:spacing w:line="480" w:lineRule="auto"/>
              <w:rPr>
                <w:bCs/>
                <w:color w:val="000000"/>
                <w:sz w:val="24"/>
                <w:szCs w:val="24"/>
              </w:rPr>
            </w:pPr>
          </w:p>
        </w:tc>
      </w:tr>
      <w:tr w:rsidR="008A4052" w:rsidRPr="00140622" w:rsidTr="00932811">
        <w:tc>
          <w:tcPr>
            <w:tcW w:w="2749" w:type="dxa"/>
            <w:shd w:val="clear" w:color="auto" w:fill="auto"/>
          </w:tcPr>
          <w:p w:rsidR="008A4052" w:rsidRPr="00932811" w:rsidRDefault="008A4052" w:rsidP="00932811">
            <w:pPr>
              <w:spacing w:line="480" w:lineRule="auto"/>
              <w:ind w:left="360"/>
              <w:rPr>
                <w:bCs/>
                <w:color w:val="000000"/>
                <w:sz w:val="24"/>
                <w:szCs w:val="24"/>
              </w:rPr>
            </w:pPr>
            <w:r w:rsidRPr="00932811">
              <w:rPr>
                <w:bCs/>
                <w:color w:val="000000"/>
                <w:sz w:val="24"/>
                <w:szCs w:val="24"/>
              </w:rPr>
              <w:t>Molds</w:t>
            </w:r>
          </w:p>
        </w:tc>
        <w:tc>
          <w:tcPr>
            <w:tcW w:w="7331" w:type="dxa"/>
            <w:shd w:val="clear" w:color="auto" w:fill="auto"/>
          </w:tcPr>
          <w:p w:rsidR="008A4052" w:rsidRPr="00932811" w:rsidRDefault="008A4052" w:rsidP="00932811">
            <w:pPr>
              <w:spacing w:line="480" w:lineRule="auto"/>
              <w:ind w:left="288" w:hanging="288"/>
              <w:rPr>
                <w:bCs/>
                <w:color w:val="000000"/>
                <w:sz w:val="24"/>
                <w:szCs w:val="24"/>
              </w:rPr>
            </w:pPr>
            <w:r w:rsidRPr="00932811">
              <w:rPr>
                <w:bCs/>
                <w:color w:val="000000"/>
                <w:sz w:val="24"/>
                <w:szCs w:val="24"/>
              </w:rPr>
              <w:t xml:space="preserve">Blood culture that yields fungi, excluding </w:t>
            </w:r>
            <w:proofErr w:type="spellStart"/>
            <w:r w:rsidRPr="00932811">
              <w:rPr>
                <w:bCs/>
                <w:i/>
                <w:color w:val="000000"/>
                <w:sz w:val="24"/>
                <w:szCs w:val="24"/>
              </w:rPr>
              <w:t>Aspergillus</w:t>
            </w:r>
            <w:proofErr w:type="spellEnd"/>
            <w:r w:rsidRPr="00932811">
              <w:rPr>
                <w:bCs/>
                <w:i/>
                <w:color w:val="000000"/>
                <w:sz w:val="24"/>
                <w:szCs w:val="24"/>
              </w:rPr>
              <w:t xml:space="preserve"> </w:t>
            </w:r>
            <w:r w:rsidRPr="00932811">
              <w:rPr>
                <w:bCs/>
                <w:color w:val="000000"/>
                <w:sz w:val="24"/>
                <w:szCs w:val="24"/>
              </w:rPr>
              <w:t xml:space="preserve">species and </w:t>
            </w:r>
            <w:proofErr w:type="spellStart"/>
            <w:r w:rsidRPr="00932811">
              <w:rPr>
                <w:bCs/>
                <w:i/>
                <w:color w:val="000000"/>
                <w:sz w:val="24"/>
                <w:szCs w:val="24"/>
              </w:rPr>
              <w:t>Penicillium</w:t>
            </w:r>
            <w:proofErr w:type="spellEnd"/>
            <w:r w:rsidRPr="00932811">
              <w:rPr>
                <w:bCs/>
                <w:color w:val="000000"/>
                <w:sz w:val="24"/>
                <w:szCs w:val="24"/>
              </w:rPr>
              <w:t xml:space="preserve"> species other than </w:t>
            </w:r>
            <w:proofErr w:type="spellStart"/>
            <w:r w:rsidRPr="00932811">
              <w:rPr>
                <w:bCs/>
                <w:i/>
                <w:color w:val="000000"/>
                <w:sz w:val="24"/>
                <w:szCs w:val="24"/>
              </w:rPr>
              <w:t>Penicillium</w:t>
            </w:r>
            <w:proofErr w:type="spellEnd"/>
            <w:r w:rsidRPr="00932811">
              <w:rPr>
                <w:bCs/>
                <w:i/>
                <w:color w:val="000000"/>
                <w:sz w:val="24"/>
                <w:szCs w:val="24"/>
              </w:rPr>
              <w:t xml:space="preserve"> </w:t>
            </w:r>
            <w:proofErr w:type="spellStart"/>
            <w:r w:rsidRPr="00932811">
              <w:rPr>
                <w:bCs/>
                <w:i/>
                <w:color w:val="000000"/>
                <w:sz w:val="24"/>
                <w:szCs w:val="24"/>
              </w:rPr>
              <w:t>marneffei</w:t>
            </w:r>
            <w:proofErr w:type="spellEnd"/>
            <w:r w:rsidRPr="00932811">
              <w:rPr>
                <w:bCs/>
                <w:color w:val="000000"/>
                <w:sz w:val="24"/>
                <w:szCs w:val="24"/>
              </w:rPr>
              <w:t>, accompanied by temporally related clinical signs and symptoms compatible with relevant organism.</w:t>
            </w:r>
          </w:p>
        </w:tc>
      </w:tr>
      <w:tr w:rsidR="008A4052" w:rsidRPr="00140622" w:rsidTr="00932811">
        <w:tc>
          <w:tcPr>
            <w:tcW w:w="2749" w:type="dxa"/>
            <w:shd w:val="clear" w:color="auto" w:fill="auto"/>
          </w:tcPr>
          <w:p w:rsidR="008A4052" w:rsidRPr="00932811" w:rsidRDefault="008A4052" w:rsidP="00932811">
            <w:pPr>
              <w:spacing w:line="480" w:lineRule="auto"/>
              <w:ind w:left="360"/>
              <w:rPr>
                <w:bCs/>
                <w:color w:val="000000"/>
                <w:sz w:val="24"/>
                <w:szCs w:val="24"/>
              </w:rPr>
            </w:pPr>
            <w:r w:rsidRPr="00932811">
              <w:rPr>
                <w:bCs/>
                <w:color w:val="000000"/>
                <w:sz w:val="24"/>
                <w:szCs w:val="24"/>
              </w:rPr>
              <w:t>Yeasts</w:t>
            </w:r>
          </w:p>
        </w:tc>
        <w:tc>
          <w:tcPr>
            <w:tcW w:w="7331" w:type="dxa"/>
            <w:shd w:val="clear" w:color="auto" w:fill="auto"/>
          </w:tcPr>
          <w:p w:rsidR="008A4052" w:rsidRPr="00932811" w:rsidRDefault="008A4052" w:rsidP="00932811">
            <w:pPr>
              <w:spacing w:line="480" w:lineRule="auto"/>
              <w:ind w:left="288" w:hanging="288"/>
              <w:rPr>
                <w:bCs/>
                <w:color w:val="000000"/>
                <w:sz w:val="24"/>
                <w:szCs w:val="24"/>
              </w:rPr>
            </w:pPr>
            <w:r w:rsidRPr="00932811">
              <w:rPr>
                <w:bCs/>
                <w:color w:val="000000"/>
                <w:sz w:val="24"/>
                <w:szCs w:val="24"/>
              </w:rPr>
              <w:t xml:space="preserve">Blood culture that yields </w:t>
            </w:r>
            <w:r w:rsidRPr="00932811">
              <w:rPr>
                <w:bCs/>
                <w:i/>
                <w:color w:val="000000"/>
                <w:sz w:val="24"/>
                <w:szCs w:val="24"/>
              </w:rPr>
              <w:t>Candida</w:t>
            </w:r>
            <w:r w:rsidRPr="00932811">
              <w:rPr>
                <w:bCs/>
                <w:color w:val="000000"/>
                <w:sz w:val="24"/>
                <w:szCs w:val="24"/>
              </w:rPr>
              <w:t xml:space="preserve"> species and other yeasts in patients with temporally related clinical signs and symptoms compatible with relevant organism. </w:t>
            </w:r>
          </w:p>
        </w:tc>
      </w:tr>
      <w:tr w:rsidR="008A4052" w:rsidRPr="00140622" w:rsidTr="00932811">
        <w:tc>
          <w:tcPr>
            <w:tcW w:w="2749" w:type="dxa"/>
            <w:shd w:val="clear" w:color="auto" w:fill="auto"/>
          </w:tcPr>
          <w:p w:rsidR="008A4052" w:rsidRPr="00932811" w:rsidRDefault="008A4052" w:rsidP="00932811">
            <w:pPr>
              <w:spacing w:line="480" w:lineRule="auto"/>
              <w:ind w:left="360"/>
              <w:rPr>
                <w:bCs/>
                <w:color w:val="000000"/>
                <w:sz w:val="24"/>
                <w:szCs w:val="24"/>
              </w:rPr>
            </w:pPr>
            <w:r w:rsidRPr="00932811">
              <w:rPr>
                <w:bCs/>
                <w:color w:val="000000"/>
                <w:sz w:val="24"/>
                <w:szCs w:val="24"/>
              </w:rPr>
              <w:t>Systemic or confined to lungs</w:t>
            </w:r>
          </w:p>
        </w:tc>
        <w:tc>
          <w:tcPr>
            <w:tcW w:w="7331" w:type="dxa"/>
            <w:shd w:val="clear" w:color="auto" w:fill="auto"/>
          </w:tcPr>
          <w:p w:rsidR="008A4052" w:rsidRPr="00932811" w:rsidRDefault="008A4052" w:rsidP="00932811">
            <w:pPr>
              <w:spacing w:line="480" w:lineRule="auto"/>
              <w:ind w:left="288" w:hanging="288"/>
              <w:rPr>
                <w:bCs/>
                <w:color w:val="000000"/>
                <w:sz w:val="24"/>
                <w:szCs w:val="24"/>
              </w:rPr>
            </w:pPr>
            <w:r w:rsidRPr="00932811">
              <w:rPr>
                <w:bCs/>
                <w:color w:val="000000"/>
                <w:sz w:val="24"/>
                <w:szCs w:val="24"/>
              </w:rPr>
              <w:t xml:space="preserve">Must be proven by culture from site affected, in host with symptoms attributed to fungal infection; if culture results are negative or unattainable, </w:t>
            </w:r>
            <w:proofErr w:type="spellStart"/>
            <w:r w:rsidRPr="00932811">
              <w:rPr>
                <w:bCs/>
                <w:color w:val="000000"/>
                <w:sz w:val="24"/>
                <w:szCs w:val="24"/>
              </w:rPr>
              <w:t>histopathologic</w:t>
            </w:r>
            <w:proofErr w:type="spellEnd"/>
            <w:r w:rsidRPr="00932811">
              <w:rPr>
                <w:bCs/>
                <w:color w:val="000000"/>
                <w:sz w:val="24"/>
                <w:szCs w:val="24"/>
              </w:rPr>
              <w:t xml:space="preserve"> or direct microscopic demonstration of appropriate morphological forms is considered adequate for dimorphic fungi (</w:t>
            </w:r>
            <w:proofErr w:type="spellStart"/>
            <w:r w:rsidRPr="00932811">
              <w:rPr>
                <w:bCs/>
                <w:i/>
                <w:color w:val="000000"/>
                <w:sz w:val="24"/>
                <w:szCs w:val="24"/>
              </w:rPr>
              <w:t>Blastomyces</w:t>
            </w:r>
            <w:proofErr w:type="spellEnd"/>
            <w:r w:rsidRPr="00932811">
              <w:rPr>
                <w:bCs/>
                <w:i/>
                <w:color w:val="000000"/>
                <w:sz w:val="24"/>
                <w:szCs w:val="24"/>
              </w:rPr>
              <w:t xml:space="preserve">, </w:t>
            </w:r>
            <w:proofErr w:type="spellStart"/>
            <w:r w:rsidRPr="00932811">
              <w:rPr>
                <w:bCs/>
                <w:i/>
                <w:color w:val="000000"/>
                <w:sz w:val="24"/>
                <w:szCs w:val="24"/>
              </w:rPr>
              <w:t>Coccidioides</w:t>
            </w:r>
            <w:proofErr w:type="spellEnd"/>
            <w:r w:rsidRPr="00932811">
              <w:rPr>
                <w:bCs/>
                <w:i/>
                <w:color w:val="000000"/>
                <w:sz w:val="24"/>
                <w:szCs w:val="24"/>
              </w:rPr>
              <w:t xml:space="preserve"> </w:t>
            </w:r>
            <w:r w:rsidRPr="00932811">
              <w:rPr>
                <w:bCs/>
                <w:color w:val="000000"/>
                <w:sz w:val="24"/>
                <w:szCs w:val="24"/>
              </w:rPr>
              <w:t xml:space="preserve">and </w:t>
            </w:r>
            <w:proofErr w:type="spellStart"/>
            <w:r w:rsidRPr="00932811">
              <w:rPr>
                <w:bCs/>
                <w:i/>
                <w:color w:val="000000"/>
                <w:sz w:val="24"/>
                <w:szCs w:val="24"/>
              </w:rPr>
              <w:t>Paracoccidioides</w:t>
            </w:r>
            <w:proofErr w:type="spellEnd"/>
            <w:r w:rsidRPr="00932811">
              <w:rPr>
                <w:bCs/>
                <w:i/>
                <w:color w:val="000000"/>
                <w:sz w:val="24"/>
                <w:szCs w:val="24"/>
              </w:rPr>
              <w:t xml:space="preserve"> </w:t>
            </w:r>
            <w:r w:rsidRPr="00932811">
              <w:rPr>
                <w:bCs/>
                <w:color w:val="000000"/>
                <w:sz w:val="24"/>
                <w:szCs w:val="24"/>
              </w:rPr>
              <w:t xml:space="preserve">species) having truly distinctive appearance; </w:t>
            </w:r>
            <w:proofErr w:type="spellStart"/>
            <w:r w:rsidRPr="00932811">
              <w:rPr>
                <w:bCs/>
                <w:i/>
                <w:color w:val="000000"/>
                <w:sz w:val="24"/>
                <w:szCs w:val="24"/>
              </w:rPr>
              <w:t>Histoplasma</w:t>
            </w:r>
            <w:proofErr w:type="spellEnd"/>
            <w:r w:rsidRPr="00932811">
              <w:rPr>
                <w:bCs/>
                <w:i/>
                <w:color w:val="000000"/>
                <w:sz w:val="24"/>
                <w:szCs w:val="24"/>
              </w:rPr>
              <w:t xml:space="preserve"> </w:t>
            </w:r>
            <w:proofErr w:type="spellStart"/>
            <w:r w:rsidRPr="00932811">
              <w:rPr>
                <w:bCs/>
                <w:i/>
                <w:color w:val="000000"/>
                <w:sz w:val="24"/>
                <w:szCs w:val="24"/>
              </w:rPr>
              <w:t>capsulatum</w:t>
            </w:r>
            <w:proofErr w:type="spellEnd"/>
            <w:r w:rsidRPr="00932811">
              <w:rPr>
                <w:bCs/>
                <w:i/>
                <w:color w:val="000000"/>
                <w:sz w:val="24"/>
                <w:szCs w:val="24"/>
              </w:rPr>
              <w:t xml:space="preserve"> </w:t>
            </w:r>
            <w:r w:rsidRPr="00932811">
              <w:rPr>
                <w:bCs/>
                <w:color w:val="000000"/>
                <w:sz w:val="24"/>
                <w:szCs w:val="24"/>
              </w:rPr>
              <w:t xml:space="preserve">variant </w:t>
            </w:r>
            <w:proofErr w:type="spellStart"/>
            <w:r w:rsidRPr="00932811">
              <w:rPr>
                <w:bCs/>
                <w:i/>
                <w:color w:val="000000"/>
                <w:sz w:val="24"/>
                <w:szCs w:val="24"/>
              </w:rPr>
              <w:t>capsulatum</w:t>
            </w:r>
            <w:proofErr w:type="spellEnd"/>
            <w:r w:rsidRPr="00932811">
              <w:rPr>
                <w:bCs/>
                <w:i/>
                <w:color w:val="000000"/>
                <w:sz w:val="24"/>
                <w:szCs w:val="24"/>
              </w:rPr>
              <w:t xml:space="preserve"> </w:t>
            </w:r>
            <w:r w:rsidRPr="00932811">
              <w:rPr>
                <w:bCs/>
                <w:color w:val="000000"/>
                <w:sz w:val="24"/>
                <w:szCs w:val="24"/>
              </w:rPr>
              <w:t xml:space="preserve">may resemble </w:t>
            </w:r>
            <w:r w:rsidRPr="00932811">
              <w:rPr>
                <w:bCs/>
                <w:i/>
                <w:color w:val="000000"/>
                <w:sz w:val="24"/>
                <w:szCs w:val="24"/>
              </w:rPr>
              <w:t>Candida</w:t>
            </w:r>
            <w:r w:rsidRPr="00932811">
              <w:rPr>
                <w:bCs/>
                <w:color w:val="000000"/>
                <w:sz w:val="24"/>
                <w:szCs w:val="24"/>
              </w:rPr>
              <w:t xml:space="preserve"> </w:t>
            </w:r>
            <w:proofErr w:type="spellStart"/>
            <w:r w:rsidRPr="00932811">
              <w:rPr>
                <w:bCs/>
                <w:i/>
                <w:color w:val="000000"/>
                <w:sz w:val="24"/>
                <w:szCs w:val="24"/>
              </w:rPr>
              <w:t>glabrata</w:t>
            </w:r>
            <w:proofErr w:type="spellEnd"/>
            <w:r w:rsidRPr="00932811">
              <w:rPr>
                <w:bCs/>
                <w:color w:val="000000"/>
                <w:sz w:val="24"/>
                <w:szCs w:val="24"/>
              </w:rPr>
              <w:t>.</w:t>
            </w:r>
          </w:p>
        </w:tc>
      </w:tr>
      <w:tr w:rsidR="008A4052" w:rsidRPr="00140622" w:rsidTr="00932811">
        <w:tc>
          <w:tcPr>
            <w:tcW w:w="2749" w:type="dxa"/>
            <w:shd w:val="clear" w:color="auto" w:fill="auto"/>
          </w:tcPr>
          <w:p w:rsidR="008A4052" w:rsidRPr="00932811" w:rsidRDefault="008A4052" w:rsidP="00932811">
            <w:pPr>
              <w:spacing w:line="480" w:lineRule="auto"/>
              <w:ind w:left="360"/>
              <w:rPr>
                <w:bCs/>
                <w:color w:val="000000"/>
                <w:sz w:val="24"/>
                <w:szCs w:val="24"/>
              </w:rPr>
            </w:pPr>
            <w:r w:rsidRPr="00932811">
              <w:rPr>
                <w:bCs/>
                <w:color w:val="000000"/>
                <w:sz w:val="24"/>
                <w:szCs w:val="24"/>
              </w:rPr>
              <w:t>Disseminated</w:t>
            </w:r>
          </w:p>
        </w:tc>
        <w:tc>
          <w:tcPr>
            <w:tcW w:w="7331" w:type="dxa"/>
            <w:shd w:val="clear" w:color="auto" w:fill="auto"/>
          </w:tcPr>
          <w:p w:rsidR="008A4052" w:rsidRPr="00932811" w:rsidRDefault="008A4052" w:rsidP="00932811">
            <w:pPr>
              <w:spacing w:line="480" w:lineRule="auto"/>
              <w:ind w:left="288" w:hanging="288"/>
              <w:rPr>
                <w:bCs/>
                <w:color w:val="000000"/>
                <w:sz w:val="24"/>
                <w:szCs w:val="24"/>
              </w:rPr>
            </w:pPr>
            <w:r w:rsidRPr="00932811">
              <w:rPr>
                <w:bCs/>
                <w:color w:val="000000"/>
                <w:sz w:val="24"/>
                <w:szCs w:val="24"/>
              </w:rPr>
              <w:t>May be established by positive blood culture result or positive result for urine or serum antigen by means of RIA [17]</w:t>
            </w:r>
          </w:p>
        </w:tc>
      </w:tr>
      <w:tr w:rsidR="008A4052" w:rsidRPr="00140622" w:rsidTr="00932811">
        <w:tc>
          <w:tcPr>
            <w:tcW w:w="2749" w:type="dxa"/>
            <w:shd w:val="clear" w:color="auto" w:fill="auto"/>
          </w:tcPr>
          <w:p w:rsidR="008A4052" w:rsidRPr="00932811" w:rsidRDefault="008A4052" w:rsidP="00932811">
            <w:pPr>
              <w:spacing w:line="480" w:lineRule="auto"/>
              <w:rPr>
                <w:bCs/>
                <w:color w:val="000000"/>
                <w:sz w:val="24"/>
                <w:szCs w:val="24"/>
              </w:rPr>
            </w:pPr>
            <w:r w:rsidRPr="00932811">
              <w:rPr>
                <w:bCs/>
                <w:color w:val="000000"/>
                <w:sz w:val="24"/>
                <w:szCs w:val="24"/>
              </w:rPr>
              <w:t>Probable IFIs</w:t>
            </w:r>
          </w:p>
        </w:tc>
        <w:tc>
          <w:tcPr>
            <w:tcW w:w="7331" w:type="dxa"/>
            <w:shd w:val="clear" w:color="auto" w:fill="auto"/>
          </w:tcPr>
          <w:p w:rsidR="008A4052" w:rsidRPr="00932811" w:rsidRDefault="008A4052" w:rsidP="00932811">
            <w:pPr>
              <w:spacing w:line="480" w:lineRule="auto"/>
              <w:ind w:left="288" w:hanging="288"/>
              <w:rPr>
                <w:bCs/>
                <w:color w:val="000000"/>
                <w:sz w:val="24"/>
                <w:szCs w:val="24"/>
              </w:rPr>
            </w:pPr>
            <w:r w:rsidRPr="00932811">
              <w:rPr>
                <w:bCs/>
                <w:color w:val="000000"/>
                <w:sz w:val="24"/>
                <w:szCs w:val="24"/>
              </w:rPr>
              <w:t>At least 1 ho</w:t>
            </w:r>
            <w:r w:rsidR="00286343" w:rsidRPr="00932811">
              <w:rPr>
                <w:bCs/>
                <w:color w:val="000000"/>
                <w:sz w:val="24"/>
                <w:szCs w:val="24"/>
              </w:rPr>
              <w:t>st factor criterion (see Table4</w:t>
            </w:r>
            <w:r w:rsidRPr="00932811">
              <w:rPr>
                <w:bCs/>
                <w:color w:val="000000"/>
                <w:sz w:val="24"/>
                <w:szCs w:val="24"/>
              </w:rPr>
              <w:t>); and 1 microbiological criterion; and 1 major (or 2 minor) clinical criteria from abnormal site consistent with infection.</w:t>
            </w:r>
          </w:p>
        </w:tc>
      </w:tr>
      <w:tr w:rsidR="008A4052" w:rsidRPr="00140622" w:rsidTr="00932811">
        <w:tc>
          <w:tcPr>
            <w:tcW w:w="2749" w:type="dxa"/>
            <w:tcBorders>
              <w:bottom w:val="single" w:sz="8" w:space="0" w:color="auto"/>
            </w:tcBorders>
            <w:shd w:val="clear" w:color="auto" w:fill="auto"/>
          </w:tcPr>
          <w:p w:rsidR="008A4052" w:rsidRPr="00932811" w:rsidRDefault="008A4052" w:rsidP="00932811">
            <w:pPr>
              <w:spacing w:line="480" w:lineRule="auto"/>
              <w:rPr>
                <w:bCs/>
                <w:color w:val="000000"/>
                <w:sz w:val="24"/>
                <w:szCs w:val="24"/>
              </w:rPr>
            </w:pPr>
            <w:r w:rsidRPr="00932811">
              <w:rPr>
                <w:bCs/>
                <w:color w:val="000000"/>
                <w:sz w:val="24"/>
                <w:szCs w:val="24"/>
              </w:rPr>
              <w:t xml:space="preserve">Possible </w:t>
            </w:r>
            <w:proofErr w:type="spellStart"/>
            <w:r w:rsidRPr="00932811">
              <w:rPr>
                <w:bCs/>
                <w:color w:val="000000"/>
                <w:sz w:val="24"/>
                <w:szCs w:val="24"/>
              </w:rPr>
              <w:t>IFIs</w:t>
            </w:r>
            <w:r w:rsidRPr="00932811">
              <w:rPr>
                <w:bCs/>
                <w:color w:val="000000"/>
                <w:sz w:val="24"/>
                <w:szCs w:val="24"/>
                <w:vertAlign w:val="superscript"/>
              </w:rPr>
              <w:t>d</w:t>
            </w:r>
            <w:proofErr w:type="spellEnd"/>
          </w:p>
        </w:tc>
        <w:tc>
          <w:tcPr>
            <w:tcW w:w="7331" w:type="dxa"/>
            <w:tcBorders>
              <w:bottom w:val="single" w:sz="8" w:space="0" w:color="auto"/>
            </w:tcBorders>
            <w:shd w:val="clear" w:color="auto" w:fill="auto"/>
          </w:tcPr>
          <w:p w:rsidR="008A4052" w:rsidRPr="00932811" w:rsidRDefault="008A4052" w:rsidP="00932811">
            <w:pPr>
              <w:spacing w:line="480" w:lineRule="auto"/>
              <w:ind w:left="288" w:hanging="288"/>
              <w:rPr>
                <w:bCs/>
                <w:color w:val="000000"/>
                <w:sz w:val="24"/>
                <w:szCs w:val="24"/>
              </w:rPr>
            </w:pPr>
            <w:r w:rsidRPr="00932811">
              <w:rPr>
                <w:bCs/>
                <w:color w:val="000000"/>
                <w:sz w:val="24"/>
                <w:szCs w:val="24"/>
              </w:rPr>
              <w:t xml:space="preserve">At least 1 host factor criterion; and 1 microbiological or 1 major (or 2 </w:t>
            </w:r>
            <w:r w:rsidRPr="00932811">
              <w:rPr>
                <w:bCs/>
                <w:color w:val="000000"/>
                <w:sz w:val="24"/>
                <w:szCs w:val="24"/>
              </w:rPr>
              <w:lastRenderedPageBreak/>
              <w:t>minor) clinical criteria from abnormal site consistent with infection.</w:t>
            </w:r>
          </w:p>
        </w:tc>
      </w:tr>
    </w:tbl>
    <w:p w:rsidR="008A4052" w:rsidRPr="00140622" w:rsidRDefault="008A4052" w:rsidP="00FC1BDA">
      <w:pPr>
        <w:spacing w:line="480" w:lineRule="auto"/>
        <w:rPr>
          <w:b/>
          <w:bCs/>
          <w:color w:val="000000"/>
          <w:sz w:val="24"/>
          <w:szCs w:val="24"/>
        </w:rPr>
      </w:pPr>
      <w:r w:rsidRPr="00140622">
        <w:rPr>
          <w:b/>
          <w:bCs/>
          <w:color w:val="000000"/>
          <w:sz w:val="24"/>
          <w:szCs w:val="24"/>
        </w:rPr>
        <w:lastRenderedPageBreak/>
        <w:t xml:space="preserve">(Adapted from </w:t>
      </w:r>
      <w:proofErr w:type="spellStart"/>
      <w:r w:rsidRPr="00140622">
        <w:rPr>
          <w:b/>
          <w:bCs/>
          <w:color w:val="000000"/>
          <w:sz w:val="24"/>
          <w:szCs w:val="24"/>
        </w:rPr>
        <w:t>Ascioglu</w:t>
      </w:r>
      <w:proofErr w:type="spellEnd"/>
      <w:r w:rsidRPr="00140622">
        <w:rPr>
          <w:b/>
          <w:bCs/>
          <w:color w:val="000000"/>
          <w:sz w:val="24"/>
          <w:szCs w:val="24"/>
        </w:rPr>
        <w:t xml:space="preserve"> et al</w:t>
      </w:r>
      <w:r w:rsidR="00F95529" w:rsidRPr="00140622">
        <w:rPr>
          <w:b/>
          <w:bCs/>
          <w:color w:val="000000"/>
          <w:sz w:val="24"/>
          <w:szCs w:val="24"/>
        </w:rPr>
        <w:t xml:space="preserve">. </w:t>
      </w:r>
      <w:r w:rsidR="00706A77" w:rsidRPr="00140622">
        <w:rPr>
          <w:b/>
          <w:bCs/>
          <w:color w:val="000000"/>
          <w:sz w:val="24"/>
          <w:szCs w:val="24"/>
        </w:rPr>
        <w:fldChar w:fldCharType="begin"/>
      </w:r>
      <w:r w:rsidR="0053409B">
        <w:rPr>
          <w:b/>
          <w:bCs/>
          <w:color w:val="000000"/>
          <w:sz w:val="24"/>
          <w:szCs w:val="24"/>
        </w:rPr>
        <w:instrText xml:space="preserve"> ADDIN REFMGR.CITE &lt;Refman&gt;&lt;Cite&gt;&lt;Author&gt;Ascioglu&lt;/Author&gt;&lt;Year&gt;2002&lt;/Year&gt;&lt;RecNum&gt;77&lt;/RecNum&gt;&lt;IDText&gt;Defining Opportunistic Invasive Fungal Infections in Immunocompromised Patients with Cancer and Hematopoietic Stem Cell Transplants: An International Consensus&amp;#xA;1&lt;/IDText&gt;&lt;MDL Ref_Type="Journal"&gt;&lt;Ref_Type&gt;Journal&lt;/Ref_Type&gt;&lt;Ref_ID&gt;77&lt;/Ref_ID&gt;&lt;Title_Primary&gt;Defining Opportunistic Invasive Fungal Infections in Immunocompromised Patients with Cancer and Hematopoietic Stem Cell Transplants: An International Consensus&amp;#xA;1&lt;/Title_Primary&gt;&lt;Authors_Primary&gt;Ascioglu,S.&lt;/Authors_Primary&gt;&lt;Authors_Primary&gt;Rex,J.H.&lt;/Authors_Primary&gt;&lt;Authors_Primary&gt;de Pauw,B.&lt;/Authors_Primary&gt;&lt;Authors_Primary&gt;Bennett,J.E.&lt;/Authors_Primary&gt;&lt;Authors_Primary&gt;BIlle,J.&lt;/Authors_Primary&gt;&lt;Authors_Primary&gt;Crokaert,F.&lt;/Authors_Primary&gt;&lt;Authors_Primary&gt;Denning,D.W.&lt;/Authors_Primary&gt;&lt;Authors_Primary&gt;Donnelly,J.P.&lt;/Authors_Primary&gt;&lt;Authors_Primary&gt;Edwards,J.E.&lt;/Authors_Primary&gt;&lt;Authors_Primary&gt;Erjavec,Z.&lt;/Authors_Primary&gt;&lt;Authors_Primary&gt;Fiere,D.&lt;/Authors_Primary&gt;&lt;Authors_Primary&gt;Lortholary,O.&lt;/Authors_Primary&gt;&lt;Authors_Primary&gt;Maertens,J.&lt;/Authors_Primary&gt;&lt;Authors_Primary&gt;Meis,J.F.&lt;/Authors_Primary&gt;&lt;Authors_Primary&gt;Patterson,T.F.&lt;/Authors_Primary&gt;&lt;Authors_Primary&gt;Ritter,J.&lt;/Authors_Primary&gt;&lt;Authors_Primary&gt;Selleslag,D.&lt;/Authors_Primary&gt;&lt;Authors_Primary&gt;Shah,P.M.&lt;/Authors_Primary&gt;&lt;Authors_Primary&gt;Stevens,D.A.&lt;/Authors_Primary&gt;&lt;Date_Primary&gt;2002/1/1&lt;/Date_Primary&gt;&lt;Keywords&gt;CANCER -- Patients&lt;/Keywords&gt;&lt;Keywords&gt;HEMATOPOIETIC stem cells&lt;/Keywords&gt;&lt;Keywords&gt;Infection&lt;/Keywords&gt;&lt;Keywords&gt;Mycoses&lt;/Keywords&gt;&lt;Keywords&gt;OPPORTUNISTIC infections&lt;/Keywords&gt;&lt;Keywords&gt;Transplantation&lt;/Keywords&gt;&lt;Reprint&gt;Not in File&lt;/Reprint&gt;&lt;Start_Page&gt;7&lt;/Start_Page&gt;&lt;Periodical&gt;Clin Infect Dis&lt;/Periodical&gt;&lt;Volume&gt;34&lt;/Volume&gt;&lt;Issue&gt;1&lt;/Issue&gt;&lt;Publisher&gt;Infectious Diseases Society of America&lt;/Publisher&gt;&lt;ISSN_ISBN&gt;10584838&lt;/ISSN_ISBN&gt;&lt;Misc_3&gt;Article&lt;/Misc_3&gt;&lt;Web_URL&gt;http://search.ebscohost.com/login.aspx?direct=true&amp;amp;db=aph&amp;amp;AN=5636078&amp;amp;site=ehost-live&amp;amp;scope=site&lt;/Web_URL&gt;&lt;ZZ_JournalFull&gt;&lt;f name="System"&gt;Clinical Infectious Diseases&lt;/f&gt;&lt;/ZZ_JournalFull&gt;&lt;ZZ_JournalStdAbbrev&gt;&lt;f name="System"&gt;Clin Infect Dis&lt;/f&gt;&lt;/ZZ_JournalStdAbbrev&gt;&lt;ZZ_WorkformID&gt;1&lt;/ZZ_WorkformID&gt;&lt;/MDL&gt;&lt;/Cite&gt;&lt;/Refman&gt;</w:instrText>
      </w:r>
      <w:r w:rsidR="00706A77" w:rsidRPr="00140622">
        <w:rPr>
          <w:b/>
          <w:bCs/>
          <w:color w:val="000000"/>
          <w:sz w:val="24"/>
          <w:szCs w:val="24"/>
        </w:rPr>
        <w:fldChar w:fldCharType="separate"/>
      </w:r>
      <w:r w:rsidR="00080721">
        <w:rPr>
          <w:b/>
          <w:bCs/>
          <w:color w:val="000000"/>
          <w:sz w:val="24"/>
          <w:szCs w:val="24"/>
        </w:rPr>
        <w:t>(26)</w:t>
      </w:r>
      <w:r w:rsidR="00706A77" w:rsidRPr="00140622">
        <w:rPr>
          <w:b/>
          <w:bCs/>
          <w:color w:val="000000"/>
          <w:sz w:val="24"/>
          <w:szCs w:val="24"/>
        </w:rPr>
        <w:fldChar w:fldCharType="end"/>
      </w:r>
    </w:p>
    <w:p w:rsidR="008A4052" w:rsidRPr="00140622" w:rsidRDefault="008A4052" w:rsidP="00FC1BDA">
      <w:pPr>
        <w:spacing w:line="480" w:lineRule="auto"/>
        <w:rPr>
          <w:b/>
          <w:bCs/>
          <w:color w:val="000000"/>
          <w:sz w:val="24"/>
          <w:szCs w:val="24"/>
        </w:rPr>
      </w:pPr>
      <w:r w:rsidRPr="00140622">
        <w:rPr>
          <w:sz w:val="24"/>
          <w:szCs w:val="24"/>
        </w:rPr>
        <w:br w:type="page"/>
      </w:r>
      <w:proofErr w:type="gramStart"/>
      <w:r w:rsidR="00F228AE" w:rsidRPr="00140622">
        <w:rPr>
          <w:b/>
          <w:sz w:val="24"/>
          <w:szCs w:val="24"/>
        </w:rPr>
        <w:lastRenderedPageBreak/>
        <w:t>Table 4</w:t>
      </w:r>
      <w:r w:rsidRPr="00140622">
        <w:rPr>
          <w:b/>
          <w:sz w:val="24"/>
          <w:szCs w:val="24"/>
        </w:rPr>
        <w:t>.</w:t>
      </w:r>
      <w:proofErr w:type="gramEnd"/>
      <w:r w:rsidRPr="00140622">
        <w:rPr>
          <w:b/>
          <w:sz w:val="24"/>
          <w:szCs w:val="24"/>
        </w:rPr>
        <w:t xml:space="preserve"> </w:t>
      </w:r>
      <w:r w:rsidR="00F95529" w:rsidRPr="00140622">
        <w:rPr>
          <w:b/>
          <w:bCs/>
          <w:color w:val="000000"/>
          <w:sz w:val="24"/>
          <w:szCs w:val="24"/>
        </w:rPr>
        <w:t>Host Factors, Microbiological, and Clinical Criteria for Invasive Fungal I</w:t>
      </w:r>
      <w:r w:rsidRPr="00140622">
        <w:rPr>
          <w:b/>
          <w:bCs/>
          <w:color w:val="000000"/>
          <w:sz w:val="24"/>
          <w:szCs w:val="24"/>
        </w:rPr>
        <w:t xml:space="preserve">nfections </w:t>
      </w:r>
      <w:r w:rsidR="00F95529" w:rsidRPr="00140622">
        <w:rPr>
          <w:b/>
          <w:bCs/>
          <w:color w:val="000000"/>
          <w:sz w:val="24"/>
          <w:szCs w:val="24"/>
        </w:rPr>
        <w:t xml:space="preserve">                                                </w:t>
      </w: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1"/>
        <w:gridCol w:w="7259"/>
      </w:tblGrid>
      <w:tr w:rsidR="008A4052" w:rsidRPr="00140622" w:rsidTr="00932811">
        <w:tc>
          <w:tcPr>
            <w:tcW w:w="3642" w:type="dxa"/>
            <w:tcBorders>
              <w:top w:val="single" w:sz="8" w:space="0" w:color="auto"/>
              <w:bottom w:val="single" w:sz="8" w:space="0" w:color="auto"/>
            </w:tcBorders>
            <w:shd w:val="clear" w:color="auto" w:fill="auto"/>
          </w:tcPr>
          <w:p w:rsidR="008A4052" w:rsidRPr="00932811" w:rsidRDefault="008A4052" w:rsidP="00932811">
            <w:pPr>
              <w:spacing w:line="480" w:lineRule="auto"/>
              <w:rPr>
                <w:b/>
                <w:bCs/>
                <w:color w:val="000000"/>
                <w:sz w:val="24"/>
                <w:szCs w:val="24"/>
              </w:rPr>
            </w:pPr>
            <w:r w:rsidRPr="00932811">
              <w:rPr>
                <w:b/>
                <w:bCs/>
                <w:color w:val="000000"/>
                <w:sz w:val="24"/>
                <w:szCs w:val="24"/>
              </w:rPr>
              <w:t>Type of criteria</w:t>
            </w:r>
          </w:p>
        </w:tc>
        <w:tc>
          <w:tcPr>
            <w:tcW w:w="11422" w:type="dxa"/>
            <w:tcBorders>
              <w:top w:val="single" w:sz="8" w:space="0" w:color="auto"/>
              <w:bottom w:val="single" w:sz="8" w:space="0" w:color="auto"/>
            </w:tcBorders>
            <w:shd w:val="clear" w:color="auto" w:fill="auto"/>
          </w:tcPr>
          <w:p w:rsidR="008A4052" w:rsidRPr="00932811" w:rsidRDefault="008A4052" w:rsidP="00932811">
            <w:pPr>
              <w:spacing w:line="480" w:lineRule="auto"/>
              <w:jc w:val="center"/>
              <w:rPr>
                <w:b/>
                <w:bCs/>
                <w:color w:val="000000"/>
                <w:sz w:val="24"/>
                <w:szCs w:val="24"/>
              </w:rPr>
            </w:pPr>
            <w:r w:rsidRPr="00932811">
              <w:rPr>
                <w:b/>
                <w:bCs/>
                <w:color w:val="000000"/>
                <w:sz w:val="24"/>
                <w:szCs w:val="24"/>
              </w:rPr>
              <w:t>Criteria</w:t>
            </w:r>
          </w:p>
        </w:tc>
      </w:tr>
      <w:tr w:rsidR="008A4052" w:rsidRPr="00140622" w:rsidTr="00932811">
        <w:tc>
          <w:tcPr>
            <w:tcW w:w="3642" w:type="dxa"/>
            <w:tcBorders>
              <w:top w:val="single" w:sz="8" w:space="0" w:color="auto"/>
            </w:tcBorders>
            <w:shd w:val="clear" w:color="auto" w:fill="auto"/>
          </w:tcPr>
          <w:p w:rsidR="008A4052" w:rsidRPr="00932811" w:rsidRDefault="008A4052" w:rsidP="00932811">
            <w:pPr>
              <w:spacing w:line="480" w:lineRule="auto"/>
              <w:rPr>
                <w:bCs/>
                <w:color w:val="000000"/>
                <w:sz w:val="24"/>
                <w:szCs w:val="24"/>
              </w:rPr>
            </w:pPr>
            <w:r w:rsidRPr="00932811">
              <w:rPr>
                <w:bCs/>
                <w:color w:val="000000"/>
                <w:sz w:val="24"/>
                <w:szCs w:val="24"/>
              </w:rPr>
              <w:t>Host factors</w:t>
            </w:r>
          </w:p>
        </w:tc>
        <w:tc>
          <w:tcPr>
            <w:tcW w:w="11422" w:type="dxa"/>
            <w:tcBorders>
              <w:top w:val="single" w:sz="8" w:space="0" w:color="auto"/>
            </w:tcBorders>
            <w:shd w:val="clear" w:color="auto" w:fill="auto"/>
          </w:tcPr>
          <w:p w:rsidR="008A4052" w:rsidRPr="00932811" w:rsidRDefault="008A4052" w:rsidP="00932811">
            <w:pPr>
              <w:spacing w:line="480" w:lineRule="auto"/>
              <w:ind w:left="288" w:hanging="288"/>
              <w:rPr>
                <w:bCs/>
                <w:color w:val="000000"/>
                <w:sz w:val="24"/>
                <w:szCs w:val="24"/>
              </w:rPr>
            </w:pPr>
            <w:r w:rsidRPr="00932811">
              <w:rPr>
                <w:bCs/>
                <w:color w:val="000000"/>
                <w:sz w:val="24"/>
                <w:szCs w:val="24"/>
              </w:rPr>
              <w:t>Neutropenia (&lt;500 neutrophils/mm</w:t>
            </w:r>
            <w:r w:rsidRPr="00932811">
              <w:rPr>
                <w:bCs/>
                <w:color w:val="000000"/>
                <w:sz w:val="24"/>
                <w:szCs w:val="24"/>
                <w:vertAlign w:val="superscript"/>
              </w:rPr>
              <w:t>3</w:t>
            </w:r>
            <w:r w:rsidRPr="00932811">
              <w:rPr>
                <w:bCs/>
                <w:color w:val="000000"/>
                <w:sz w:val="24"/>
                <w:szCs w:val="24"/>
              </w:rPr>
              <w:t xml:space="preserve"> for &gt;10 days)</w:t>
            </w:r>
          </w:p>
        </w:tc>
      </w:tr>
      <w:tr w:rsidR="008A4052" w:rsidRPr="00140622" w:rsidTr="00932811">
        <w:tc>
          <w:tcPr>
            <w:tcW w:w="3642" w:type="dxa"/>
            <w:shd w:val="clear" w:color="auto" w:fill="auto"/>
          </w:tcPr>
          <w:p w:rsidR="008A4052" w:rsidRPr="00932811" w:rsidRDefault="008A4052" w:rsidP="00932811">
            <w:pPr>
              <w:spacing w:line="480" w:lineRule="auto"/>
              <w:rPr>
                <w:bCs/>
                <w:color w:val="000000"/>
                <w:sz w:val="24"/>
                <w:szCs w:val="24"/>
              </w:rPr>
            </w:pPr>
          </w:p>
        </w:tc>
        <w:tc>
          <w:tcPr>
            <w:tcW w:w="11422" w:type="dxa"/>
            <w:shd w:val="clear" w:color="auto" w:fill="auto"/>
          </w:tcPr>
          <w:p w:rsidR="008A4052" w:rsidRPr="00932811" w:rsidRDefault="008A4052" w:rsidP="00932811">
            <w:pPr>
              <w:spacing w:line="480" w:lineRule="auto"/>
              <w:ind w:left="288" w:hanging="288"/>
              <w:rPr>
                <w:bCs/>
                <w:color w:val="000000"/>
                <w:sz w:val="24"/>
                <w:szCs w:val="24"/>
              </w:rPr>
            </w:pPr>
            <w:r w:rsidRPr="00932811">
              <w:rPr>
                <w:bCs/>
                <w:color w:val="000000"/>
                <w:sz w:val="24"/>
                <w:szCs w:val="24"/>
              </w:rPr>
              <w:t>Persistent high fever for &gt;96 h refractory to appropriate broad-spectrum antibacterial treatment in high-risk patients</w:t>
            </w:r>
          </w:p>
        </w:tc>
      </w:tr>
      <w:tr w:rsidR="008A4052" w:rsidRPr="00140622" w:rsidTr="00932811">
        <w:tc>
          <w:tcPr>
            <w:tcW w:w="3642" w:type="dxa"/>
            <w:shd w:val="clear" w:color="auto" w:fill="auto"/>
          </w:tcPr>
          <w:p w:rsidR="008A4052" w:rsidRPr="00932811" w:rsidRDefault="008A4052" w:rsidP="00932811">
            <w:pPr>
              <w:spacing w:line="480" w:lineRule="auto"/>
              <w:rPr>
                <w:bCs/>
                <w:color w:val="000000"/>
                <w:sz w:val="24"/>
                <w:szCs w:val="24"/>
              </w:rPr>
            </w:pPr>
          </w:p>
        </w:tc>
        <w:tc>
          <w:tcPr>
            <w:tcW w:w="11422" w:type="dxa"/>
            <w:shd w:val="clear" w:color="auto" w:fill="auto"/>
          </w:tcPr>
          <w:p w:rsidR="008A4052" w:rsidRPr="00932811" w:rsidRDefault="008A4052" w:rsidP="00932811">
            <w:pPr>
              <w:spacing w:line="480" w:lineRule="auto"/>
              <w:ind w:left="288" w:hanging="288"/>
              <w:rPr>
                <w:bCs/>
                <w:color w:val="000000"/>
                <w:sz w:val="24"/>
                <w:szCs w:val="24"/>
              </w:rPr>
            </w:pPr>
            <w:r w:rsidRPr="00932811">
              <w:rPr>
                <w:bCs/>
                <w:color w:val="000000"/>
                <w:sz w:val="24"/>
                <w:szCs w:val="24"/>
              </w:rPr>
              <w:t xml:space="preserve">Body temperature either &gt;38°C and any of the following predisposing conditions: prolonged neutropenia (&gt;10 days) in previous 60 days, recent or current use of significant </w:t>
            </w:r>
            <w:proofErr w:type="spellStart"/>
            <w:r w:rsidRPr="00932811">
              <w:rPr>
                <w:bCs/>
                <w:color w:val="000000"/>
                <w:sz w:val="24"/>
                <w:szCs w:val="24"/>
              </w:rPr>
              <w:t>immuno</w:t>
            </w:r>
            <w:proofErr w:type="spellEnd"/>
            <w:r w:rsidRPr="00932811">
              <w:rPr>
                <w:bCs/>
                <w:color w:val="000000"/>
                <w:sz w:val="24"/>
                <w:szCs w:val="24"/>
              </w:rPr>
              <w:t>-suppressive agents in previous 30 days, proven or probable IFI during previous episode or neutropenia, or coexistence of symptomatic AIDS</w:t>
            </w:r>
          </w:p>
        </w:tc>
      </w:tr>
      <w:tr w:rsidR="008A4052" w:rsidRPr="00140622" w:rsidTr="00932811">
        <w:tc>
          <w:tcPr>
            <w:tcW w:w="3642" w:type="dxa"/>
            <w:shd w:val="clear" w:color="auto" w:fill="auto"/>
          </w:tcPr>
          <w:p w:rsidR="008A4052" w:rsidRPr="00932811" w:rsidRDefault="008A4052" w:rsidP="00932811">
            <w:pPr>
              <w:spacing w:line="480" w:lineRule="auto"/>
              <w:rPr>
                <w:bCs/>
                <w:color w:val="000000"/>
                <w:sz w:val="24"/>
                <w:szCs w:val="24"/>
              </w:rPr>
            </w:pPr>
          </w:p>
        </w:tc>
        <w:tc>
          <w:tcPr>
            <w:tcW w:w="11422" w:type="dxa"/>
            <w:shd w:val="clear" w:color="auto" w:fill="auto"/>
          </w:tcPr>
          <w:p w:rsidR="008A4052" w:rsidRPr="00932811" w:rsidRDefault="008A4052" w:rsidP="00932811">
            <w:pPr>
              <w:spacing w:line="480" w:lineRule="auto"/>
              <w:ind w:left="288" w:hanging="288"/>
              <w:rPr>
                <w:bCs/>
                <w:color w:val="000000"/>
                <w:sz w:val="24"/>
                <w:szCs w:val="24"/>
              </w:rPr>
            </w:pPr>
            <w:r w:rsidRPr="00932811">
              <w:rPr>
                <w:bCs/>
                <w:color w:val="000000"/>
                <w:sz w:val="24"/>
                <w:szCs w:val="24"/>
              </w:rPr>
              <w:t>Signs and symptoms indicating graft-versus-host disease, particularly severe (grade ≥2) or chronic extensive disease</w:t>
            </w:r>
          </w:p>
        </w:tc>
      </w:tr>
      <w:tr w:rsidR="008A4052" w:rsidRPr="00140622" w:rsidTr="00932811">
        <w:tc>
          <w:tcPr>
            <w:tcW w:w="3642" w:type="dxa"/>
            <w:shd w:val="clear" w:color="auto" w:fill="auto"/>
          </w:tcPr>
          <w:p w:rsidR="008A4052" w:rsidRPr="00932811" w:rsidRDefault="008A4052" w:rsidP="00932811">
            <w:pPr>
              <w:spacing w:line="480" w:lineRule="auto"/>
              <w:rPr>
                <w:bCs/>
                <w:color w:val="000000"/>
                <w:sz w:val="24"/>
                <w:szCs w:val="24"/>
              </w:rPr>
            </w:pPr>
          </w:p>
        </w:tc>
        <w:tc>
          <w:tcPr>
            <w:tcW w:w="11422" w:type="dxa"/>
            <w:shd w:val="clear" w:color="auto" w:fill="auto"/>
          </w:tcPr>
          <w:p w:rsidR="008A4052" w:rsidRPr="00932811" w:rsidRDefault="008A4052" w:rsidP="00932811">
            <w:pPr>
              <w:spacing w:line="480" w:lineRule="auto"/>
              <w:ind w:left="288" w:hanging="288"/>
              <w:rPr>
                <w:bCs/>
                <w:color w:val="000000"/>
                <w:sz w:val="24"/>
                <w:szCs w:val="24"/>
              </w:rPr>
            </w:pPr>
            <w:r w:rsidRPr="00932811">
              <w:rPr>
                <w:bCs/>
                <w:color w:val="000000"/>
                <w:sz w:val="24"/>
                <w:szCs w:val="24"/>
              </w:rPr>
              <w:t>Prolonged (&gt;3 weeks) use of corticosteroids in previous 60 days</w:t>
            </w:r>
          </w:p>
        </w:tc>
      </w:tr>
      <w:tr w:rsidR="008A4052" w:rsidRPr="00140622" w:rsidTr="00932811">
        <w:tc>
          <w:tcPr>
            <w:tcW w:w="3642" w:type="dxa"/>
            <w:shd w:val="clear" w:color="auto" w:fill="auto"/>
          </w:tcPr>
          <w:p w:rsidR="008A4052" w:rsidRPr="00932811" w:rsidRDefault="008A4052" w:rsidP="00932811">
            <w:pPr>
              <w:spacing w:line="480" w:lineRule="auto"/>
              <w:rPr>
                <w:bCs/>
                <w:color w:val="000000"/>
                <w:sz w:val="24"/>
                <w:szCs w:val="24"/>
              </w:rPr>
            </w:pPr>
            <w:r w:rsidRPr="00932811">
              <w:rPr>
                <w:bCs/>
                <w:color w:val="000000"/>
                <w:sz w:val="24"/>
                <w:szCs w:val="24"/>
              </w:rPr>
              <w:t>Microbiological</w:t>
            </w:r>
          </w:p>
        </w:tc>
        <w:tc>
          <w:tcPr>
            <w:tcW w:w="11422" w:type="dxa"/>
            <w:shd w:val="clear" w:color="auto" w:fill="auto"/>
          </w:tcPr>
          <w:p w:rsidR="008A4052" w:rsidRPr="00932811" w:rsidRDefault="008A4052" w:rsidP="00932811">
            <w:pPr>
              <w:spacing w:line="480" w:lineRule="auto"/>
              <w:ind w:left="288" w:hanging="288"/>
              <w:rPr>
                <w:bCs/>
                <w:color w:val="000000"/>
                <w:sz w:val="24"/>
                <w:szCs w:val="24"/>
              </w:rPr>
            </w:pPr>
            <w:r w:rsidRPr="00932811">
              <w:rPr>
                <w:bCs/>
                <w:color w:val="000000"/>
                <w:sz w:val="24"/>
                <w:szCs w:val="24"/>
              </w:rPr>
              <w:t xml:space="preserve">Positive result of culture for mold (including </w:t>
            </w:r>
            <w:proofErr w:type="spellStart"/>
            <w:r w:rsidRPr="00932811">
              <w:rPr>
                <w:bCs/>
                <w:i/>
                <w:color w:val="000000"/>
                <w:sz w:val="24"/>
                <w:szCs w:val="24"/>
              </w:rPr>
              <w:t>Aspergillus</w:t>
            </w:r>
            <w:proofErr w:type="spellEnd"/>
            <w:r w:rsidRPr="00932811">
              <w:rPr>
                <w:bCs/>
                <w:i/>
                <w:color w:val="000000"/>
                <w:sz w:val="24"/>
                <w:szCs w:val="24"/>
              </w:rPr>
              <w:t xml:space="preserve">, </w:t>
            </w:r>
            <w:proofErr w:type="spellStart"/>
            <w:r w:rsidRPr="00932811">
              <w:rPr>
                <w:bCs/>
                <w:i/>
                <w:color w:val="000000"/>
                <w:sz w:val="24"/>
                <w:szCs w:val="24"/>
              </w:rPr>
              <w:t>Fusarium</w:t>
            </w:r>
            <w:proofErr w:type="spellEnd"/>
            <w:r w:rsidRPr="00932811">
              <w:rPr>
                <w:bCs/>
                <w:i/>
                <w:color w:val="000000"/>
                <w:sz w:val="24"/>
                <w:szCs w:val="24"/>
              </w:rPr>
              <w:t xml:space="preserve">, </w:t>
            </w:r>
            <w:r w:rsidRPr="00932811">
              <w:rPr>
                <w:bCs/>
                <w:color w:val="000000"/>
                <w:sz w:val="24"/>
                <w:szCs w:val="24"/>
              </w:rPr>
              <w:t xml:space="preserve">or </w:t>
            </w:r>
            <w:proofErr w:type="spellStart"/>
            <w:r w:rsidRPr="00932811">
              <w:rPr>
                <w:bCs/>
                <w:i/>
                <w:color w:val="000000"/>
                <w:sz w:val="24"/>
                <w:szCs w:val="24"/>
              </w:rPr>
              <w:t>Scedosporium</w:t>
            </w:r>
            <w:proofErr w:type="spellEnd"/>
            <w:r w:rsidRPr="00932811">
              <w:rPr>
                <w:bCs/>
                <w:color w:val="000000"/>
                <w:sz w:val="24"/>
                <w:szCs w:val="24"/>
              </w:rPr>
              <w:t xml:space="preserve"> species or </w:t>
            </w:r>
            <w:proofErr w:type="spellStart"/>
            <w:r w:rsidRPr="00932811">
              <w:rPr>
                <w:bCs/>
                <w:color w:val="000000"/>
                <w:sz w:val="24"/>
                <w:szCs w:val="24"/>
              </w:rPr>
              <w:t>Zygomycetes</w:t>
            </w:r>
            <w:proofErr w:type="spellEnd"/>
            <w:r w:rsidRPr="00932811">
              <w:rPr>
                <w:bCs/>
                <w:color w:val="000000"/>
                <w:sz w:val="24"/>
                <w:szCs w:val="24"/>
              </w:rPr>
              <w:t xml:space="preserve">) or </w:t>
            </w:r>
            <w:r w:rsidRPr="00932811">
              <w:rPr>
                <w:bCs/>
                <w:i/>
                <w:color w:val="000000"/>
                <w:sz w:val="24"/>
                <w:szCs w:val="24"/>
              </w:rPr>
              <w:t xml:space="preserve">Cryptococcus </w:t>
            </w:r>
            <w:proofErr w:type="spellStart"/>
            <w:r w:rsidRPr="00932811">
              <w:rPr>
                <w:bCs/>
                <w:i/>
                <w:color w:val="000000"/>
                <w:sz w:val="24"/>
                <w:szCs w:val="24"/>
              </w:rPr>
              <w:t>neoformans</w:t>
            </w:r>
            <w:proofErr w:type="spellEnd"/>
            <w:r w:rsidRPr="00932811">
              <w:rPr>
                <w:bCs/>
                <w:i/>
                <w:color w:val="000000"/>
                <w:sz w:val="24"/>
                <w:szCs w:val="24"/>
              </w:rPr>
              <w:t xml:space="preserve"> </w:t>
            </w:r>
            <w:r w:rsidRPr="00932811">
              <w:rPr>
                <w:bCs/>
                <w:color w:val="000000"/>
                <w:sz w:val="24"/>
                <w:szCs w:val="24"/>
              </w:rPr>
              <w:t xml:space="preserve">or an endemic fungal </w:t>
            </w:r>
            <w:proofErr w:type="spellStart"/>
            <w:r w:rsidRPr="00932811">
              <w:rPr>
                <w:bCs/>
                <w:color w:val="000000"/>
                <w:sz w:val="24"/>
                <w:szCs w:val="24"/>
              </w:rPr>
              <w:t>pathogen</w:t>
            </w:r>
            <w:r w:rsidRPr="00932811">
              <w:rPr>
                <w:bCs/>
                <w:color w:val="000000"/>
                <w:sz w:val="24"/>
                <w:szCs w:val="24"/>
                <w:vertAlign w:val="superscript"/>
              </w:rPr>
              <w:t>a</w:t>
            </w:r>
            <w:proofErr w:type="spellEnd"/>
            <w:r w:rsidRPr="00932811">
              <w:rPr>
                <w:bCs/>
                <w:color w:val="000000"/>
                <w:sz w:val="24"/>
                <w:szCs w:val="24"/>
              </w:rPr>
              <w:t xml:space="preserve"> from sputum or </w:t>
            </w:r>
            <w:proofErr w:type="spellStart"/>
            <w:r w:rsidRPr="00932811">
              <w:rPr>
                <w:bCs/>
                <w:color w:val="000000"/>
                <w:sz w:val="24"/>
                <w:szCs w:val="24"/>
              </w:rPr>
              <w:t>bronchoalveolar</w:t>
            </w:r>
            <w:proofErr w:type="spellEnd"/>
            <w:r w:rsidRPr="00932811">
              <w:rPr>
                <w:bCs/>
                <w:color w:val="000000"/>
                <w:sz w:val="24"/>
                <w:szCs w:val="24"/>
              </w:rPr>
              <w:t xml:space="preserve"> lavage fluid samples</w:t>
            </w:r>
          </w:p>
        </w:tc>
      </w:tr>
      <w:tr w:rsidR="008A4052" w:rsidRPr="00140622" w:rsidTr="00932811">
        <w:tc>
          <w:tcPr>
            <w:tcW w:w="3642" w:type="dxa"/>
            <w:shd w:val="clear" w:color="auto" w:fill="auto"/>
          </w:tcPr>
          <w:p w:rsidR="008A4052" w:rsidRPr="00932811" w:rsidRDefault="008A4052" w:rsidP="00932811">
            <w:pPr>
              <w:spacing w:line="480" w:lineRule="auto"/>
              <w:rPr>
                <w:bCs/>
                <w:color w:val="000000"/>
                <w:sz w:val="24"/>
                <w:szCs w:val="24"/>
              </w:rPr>
            </w:pPr>
          </w:p>
        </w:tc>
        <w:tc>
          <w:tcPr>
            <w:tcW w:w="11422" w:type="dxa"/>
            <w:shd w:val="clear" w:color="auto" w:fill="auto"/>
          </w:tcPr>
          <w:p w:rsidR="008A4052" w:rsidRPr="00932811" w:rsidRDefault="008A4052" w:rsidP="00932811">
            <w:pPr>
              <w:spacing w:line="480" w:lineRule="auto"/>
              <w:ind w:left="288" w:hanging="288"/>
              <w:rPr>
                <w:bCs/>
                <w:color w:val="000000"/>
                <w:sz w:val="24"/>
                <w:szCs w:val="24"/>
              </w:rPr>
            </w:pPr>
            <w:r w:rsidRPr="00932811">
              <w:rPr>
                <w:bCs/>
                <w:color w:val="000000"/>
                <w:sz w:val="24"/>
                <w:szCs w:val="24"/>
              </w:rPr>
              <w:t xml:space="preserve">Positive result of culture or findings of </w:t>
            </w:r>
            <w:proofErr w:type="spellStart"/>
            <w:r w:rsidRPr="00932811">
              <w:rPr>
                <w:bCs/>
                <w:color w:val="000000"/>
                <w:sz w:val="24"/>
                <w:szCs w:val="24"/>
              </w:rPr>
              <w:t>cytologic</w:t>
            </w:r>
            <w:proofErr w:type="spellEnd"/>
            <w:r w:rsidRPr="00932811">
              <w:rPr>
                <w:bCs/>
                <w:color w:val="000000"/>
                <w:sz w:val="24"/>
                <w:szCs w:val="24"/>
              </w:rPr>
              <w:t>/direct microscopic evaluation for mold from sinus aspirate specimen</w:t>
            </w:r>
          </w:p>
        </w:tc>
      </w:tr>
      <w:tr w:rsidR="008A4052" w:rsidRPr="00140622" w:rsidTr="00932811">
        <w:tc>
          <w:tcPr>
            <w:tcW w:w="3642" w:type="dxa"/>
            <w:shd w:val="clear" w:color="auto" w:fill="auto"/>
          </w:tcPr>
          <w:p w:rsidR="008A4052" w:rsidRPr="00932811" w:rsidRDefault="008A4052" w:rsidP="00932811">
            <w:pPr>
              <w:spacing w:line="480" w:lineRule="auto"/>
              <w:rPr>
                <w:bCs/>
                <w:color w:val="000000"/>
                <w:sz w:val="24"/>
                <w:szCs w:val="24"/>
              </w:rPr>
            </w:pPr>
          </w:p>
        </w:tc>
        <w:tc>
          <w:tcPr>
            <w:tcW w:w="11422" w:type="dxa"/>
            <w:shd w:val="clear" w:color="auto" w:fill="auto"/>
          </w:tcPr>
          <w:p w:rsidR="008A4052" w:rsidRPr="00932811" w:rsidRDefault="008A4052" w:rsidP="00932811">
            <w:pPr>
              <w:spacing w:line="480" w:lineRule="auto"/>
              <w:ind w:left="288" w:hanging="288"/>
              <w:rPr>
                <w:bCs/>
                <w:color w:val="000000"/>
                <w:sz w:val="24"/>
                <w:szCs w:val="24"/>
              </w:rPr>
            </w:pPr>
            <w:r w:rsidRPr="00932811">
              <w:rPr>
                <w:bCs/>
                <w:color w:val="000000"/>
                <w:sz w:val="24"/>
                <w:szCs w:val="24"/>
              </w:rPr>
              <w:t xml:space="preserve">Positive findings of </w:t>
            </w:r>
            <w:proofErr w:type="spellStart"/>
            <w:r w:rsidRPr="00932811">
              <w:rPr>
                <w:bCs/>
                <w:color w:val="000000"/>
                <w:sz w:val="24"/>
                <w:szCs w:val="24"/>
              </w:rPr>
              <w:t>cytologic</w:t>
            </w:r>
            <w:proofErr w:type="spellEnd"/>
            <w:r w:rsidRPr="00932811">
              <w:rPr>
                <w:bCs/>
                <w:color w:val="000000"/>
                <w:sz w:val="24"/>
                <w:szCs w:val="24"/>
              </w:rPr>
              <w:t xml:space="preserve">/direct microscopic evaluation for mold or </w:t>
            </w:r>
            <w:r w:rsidRPr="00932811">
              <w:rPr>
                <w:bCs/>
                <w:i/>
                <w:color w:val="000000"/>
                <w:sz w:val="24"/>
                <w:szCs w:val="24"/>
              </w:rPr>
              <w:t>Cryptococcus</w:t>
            </w:r>
            <w:r w:rsidRPr="00932811">
              <w:rPr>
                <w:bCs/>
                <w:color w:val="000000"/>
                <w:sz w:val="24"/>
                <w:szCs w:val="24"/>
              </w:rPr>
              <w:t xml:space="preserve"> species from sputum or </w:t>
            </w:r>
            <w:proofErr w:type="spellStart"/>
            <w:r w:rsidRPr="00932811">
              <w:rPr>
                <w:bCs/>
                <w:color w:val="000000"/>
                <w:sz w:val="24"/>
                <w:szCs w:val="24"/>
              </w:rPr>
              <w:t>bronchoalveolar</w:t>
            </w:r>
            <w:proofErr w:type="spellEnd"/>
            <w:r w:rsidRPr="00932811">
              <w:rPr>
                <w:bCs/>
                <w:color w:val="000000"/>
                <w:sz w:val="24"/>
                <w:szCs w:val="24"/>
              </w:rPr>
              <w:t xml:space="preserve"> lavage fluid </w:t>
            </w:r>
            <w:r w:rsidRPr="00932811">
              <w:rPr>
                <w:bCs/>
                <w:color w:val="000000"/>
                <w:sz w:val="24"/>
                <w:szCs w:val="24"/>
              </w:rPr>
              <w:lastRenderedPageBreak/>
              <w:t>samples</w:t>
            </w:r>
          </w:p>
        </w:tc>
      </w:tr>
      <w:tr w:rsidR="008A4052" w:rsidRPr="00140622" w:rsidTr="00932811">
        <w:tc>
          <w:tcPr>
            <w:tcW w:w="3642" w:type="dxa"/>
            <w:shd w:val="clear" w:color="auto" w:fill="auto"/>
          </w:tcPr>
          <w:p w:rsidR="008A4052" w:rsidRPr="00932811" w:rsidRDefault="008A4052" w:rsidP="00932811">
            <w:pPr>
              <w:spacing w:line="480" w:lineRule="auto"/>
              <w:rPr>
                <w:bCs/>
                <w:color w:val="000000"/>
                <w:sz w:val="24"/>
                <w:szCs w:val="24"/>
              </w:rPr>
            </w:pPr>
          </w:p>
        </w:tc>
        <w:tc>
          <w:tcPr>
            <w:tcW w:w="11422" w:type="dxa"/>
            <w:shd w:val="clear" w:color="auto" w:fill="auto"/>
          </w:tcPr>
          <w:p w:rsidR="008A4052" w:rsidRPr="00932811" w:rsidRDefault="008A4052" w:rsidP="00932811">
            <w:pPr>
              <w:spacing w:line="480" w:lineRule="auto"/>
              <w:ind w:left="288" w:hanging="288"/>
              <w:rPr>
                <w:bCs/>
                <w:color w:val="000000"/>
                <w:sz w:val="24"/>
                <w:szCs w:val="24"/>
              </w:rPr>
            </w:pPr>
            <w:r w:rsidRPr="00932811">
              <w:rPr>
                <w:bCs/>
                <w:color w:val="000000"/>
                <w:sz w:val="24"/>
                <w:szCs w:val="24"/>
              </w:rPr>
              <w:t xml:space="preserve">Positive result for </w:t>
            </w:r>
            <w:proofErr w:type="spellStart"/>
            <w:r w:rsidRPr="00932811">
              <w:rPr>
                <w:bCs/>
                <w:i/>
                <w:color w:val="000000"/>
                <w:sz w:val="24"/>
                <w:szCs w:val="24"/>
              </w:rPr>
              <w:t>Aspergillus</w:t>
            </w:r>
            <w:proofErr w:type="spellEnd"/>
            <w:r w:rsidRPr="00932811">
              <w:rPr>
                <w:bCs/>
                <w:color w:val="000000"/>
                <w:sz w:val="24"/>
                <w:szCs w:val="24"/>
              </w:rPr>
              <w:t xml:space="preserve"> antigen in specimens of </w:t>
            </w:r>
            <w:proofErr w:type="spellStart"/>
            <w:r w:rsidRPr="00932811">
              <w:rPr>
                <w:bCs/>
                <w:color w:val="000000"/>
                <w:sz w:val="24"/>
                <w:szCs w:val="24"/>
              </w:rPr>
              <w:t>bronchoalveolar</w:t>
            </w:r>
            <w:proofErr w:type="spellEnd"/>
            <w:r w:rsidRPr="00932811">
              <w:rPr>
                <w:bCs/>
                <w:color w:val="000000"/>
                <w:sz w:val="24"/>
                <w:szCs w:val="24"/>
              </w:rPr>
              <w:t xml:space="preserve"> lavage fluid, CSF, or ≥2 blood samples</w:t>
            </w:r>
          </w:p>
        </w:tc>
      </w:tr>
      <w:tr w:rsidR="008A4052" w:rsidRPr="00140622" w:rsidTr="00932811">
        <w:tc>
          <w:tcPr>
            <w:tcW w:w="3642" w:type="dxa"/>
            <w:shd w:val="clear" w:color="auto" w:fill="auto"/>
          </w:tcPr>
          <w:p w:rsidR="008A4052" w:rsidRPr="00932811" w:rsidRDefault="008A4052" w:rsidP="00932811">
            <w:pPr>
              <w:spacing w:line="480" w:lineRule="auto"/>
              <w:rPr>
                <w:bCs/>
                <w:color w:val="000000"/>
                <w:sz w:val="24"/>
                <w:szCs w:val="24"/>
              </w:rPr>
            </w:pPr>
          </w:p>
        </w:tc>
        <w:tc>
          <w:tcPr>
            <w:tcW w:w="11422" w:type="dxa"/>
            <w:shd w:val="clear" w:color="auto" w:fill="auto"/>
          </w:tcPr>
          <w:p w:rsidR="008A4052" w:rsidRPr="00932811" w:rsidRDefault="008A4052" w:rsidP="00932811">
            <w:pPr>
              <w:spacing w:line="480" w:lineRule="auto"/>
              <w:ind w:left="288" w:hanging="288"/>
              <w:rPr>
                <w:bCs/>
                <w:color w:val="000000"/>
                <w:sz w:val="24"/>
                <w:szCs w:val="24"/>
              </w:rPr>
            </w:pPr>
            <w:r w:rsidRPr="00932811">
              <w:rPr>
                <w:bCs/>
                <w:color w:val="000000"/>
                <w:sz w:val="24"/>
                <w:szCs w:val="24"/>
              </w:rPr>
              <w:t xml:space="preserve">Positive result for </w:t>
            </w:r>
            <w:proofErr w:type="spellStart"/>
            <w:r w:rsidRPr="00932811">
              <w:rPr>
                <w:bCs/>
                <w:color w:val="000000"/>
                <w:sz w:val="24"/>
                <w:szCs w:val="24"/>
              </w:rPr>
              <w:t>cryptococcal</w:t>
            </w:r>
            <w:proofErr w:type="spellEnd"/>
            <w:r w:rsidRPr="00932811">
              <w:rPr>
                <w:bCs/>
                <w:color w:val="000000"/>
                <w:sz w:val="24"/>
                <w:szCs w:val="24"/>
              </w:rPr>
              <w:t xml:space="preserve"> antigen in blood sample</w:t>
            </w:r>
          </w:p>
        </w:tc>
      </w:tr>
      <w:tr w:rsidR="008A4052" w:rsidRPr="00140622" w:rsidTr="00932811">
        <w:tc>
          <w:tcPr>
            <w:tcW w:w="3642" w:type="dxa"/>
            <w:shd w:val="clear" w:color="auto" w:fill="auto"/>
          </w:tcPr>
          <w:p w:rsidR="008A4052" w:rsidRPr="00932811" w:rsidRDefault="008A4052" w:rsidP="00932811">
            <w:pPr>
              <w:spacing w:line="480" w:lineRule="auto"/>
              <w:rPr>
                <w:bCs/>
                <w:color w:val="000000"/>
                <w:sz w:val="24"/>
                <w:szCs w:val="24"/>
              </w:rPr>
            </w:pPr>
          </w:p>
        </w:tc>
        <w:tc>
          <w:tcPr>
            <w:tcW w:w="11422" w:type="dxa"/>
            <w:shd w:val="clear" w:color="auto" w:fill="auto"/>
          </w:tcPr>
          <w:p w:rsidR="008A4052" w:rsidRPr="00932811" w:rsidRDefault="008A4052" w:rsidP="00932811">
            <w:pPr>
              <w:spacing w:line="480" w:lineRule="auto"/>
              <w:ind w:left="288" w:hanging="288"/>
              <w:rPr>
                <w:bCs/>
                <w:color w:val="000000"/>
                <w:sz w:val="24"/>
                <w:szCs w:val="24"/>
              </w:rPr>
            </w:pPr>
            <w:r w:rsidRPr="00932811">
              <w:rPr>
                <w:bCs/>
                <w:color w:val="000000"/>
                <w:sz w:val="24"/>
                <w:szCs w:val="24"/>
              </w:rPr>
              <w:t xml:space="preserve">Positive findings of </w:t>
            </w:r>
            <w:proofErr w:type="spellStart"/>
            <w:r w:rsidRPr="00932811">
              <w:rPr>
                <w:bCs/>
                <w:color w:val="000000"/>
                <w:sz w:val="24"/>
                <w:szCs w:val="24"/>
              </w:rPr>
              <w:t>cytologic</w:t>
            </w:r>
            <w:proofErr w:type="spellEnd"/>
            <w:r w:rsidRPr="00932811">
              <w:rPr>
                <w:bCs/>
                <w:color w:val="000000"/>
                <w:sz w:val="24"/>
                <w:szCs w:val="24"/>
              </w:rPr>
              <w:t xml:space="preserve"> or direct microscopic examination for fungal elements in sterile body fluid samples (e.g., </w:t>
            </w:r>
            <w:r w:rsidRPr="00932811">
              <w:rPr>
                <w:bCs/>
                <w:i/>
                <w:color w:val="000000"/>
                <w:sz w:val="24"/>
                <w:szCs w:val="24"/>
              </w:rPr>
              <w:t xml:space="preserve">Cryptococcus </w:t>
            </w:r>
            <w:r w:rsidRPr="00932811">
              <w:rPr>
                <w:bCs/>
                <w:color w:val="000000"/>
                <w:sz w:val="24"/>
                <w:szCs w:val="24"/>
              </w:rPr>
              <w:t>species in CSF)</w:t>
            </w:r>
          </w:p>
        </w:tc>
      </w:tr>
      <w:tr w:rsidR="008A4052" w:rsidRPr="00140622" w:rsidTr="00932811">
        <w:tc>
          <w:tcPr>
            <w:tcW w:w="3642" w:type="dxa"/>
            <w:shd w:val="clear" w:color="auto" w:fill="auto"/>
          </w:tcPr>
          <w:p w:rsidR="008A4052" w:rsidRPr="00932811" w:rsidRDefault="008A4052" w:rsidP="00932811">
            <w:pPr>
              <w:spacing w:line="480" w:lineRule="auto"/>
              <w:rPr>
                <w:bCs/>
                <w:color w:val="000000"/>
                <w:sz w:val="24"/>
                <w:szCs w:val="24"/>
              </w:rPr>
            </w:pPr>
          </w:p>
        </w:tc>
        <w:tc>
          <w:tcPr>
            <w:tcW w:w="11422" w:type="dxa"/>
            <w:shd w:val="clear" w:color="auto" w:fill="auto"/>
          </w:tcPr>
          <w:p w:rsidR="008A4052" w:rsidRPr="00932811" w:rsidRDefault="008A4052" w:rsidP="00932811">
            <w:pPr>
              <w:spacing w:line="480" w:lineRule="auto"/>
              <w:ind w:left="288" w:hanging="288"/>
              <w:rPr>
                <w:bCs/>
                <w:color w:val="000000"/>
                <w:sz w:val="24"/>
                <w:szCs w:val="24"/>
              </w:rPr>
            </w:pPr>
            <w:r w:rsidRPr="00932811">
              <w:rPr>
                <w:bCs/>
                <w:color w:val="000000"/>
                <w:sz w:val="24"/>
                <w:szCs w:val="24"/>
              </w:rPr>
              <w:t xml:space="preserve">Positive result for </w:t>
            </w:r>
            <w:proofErr w:type="spellStart"/>
            <w:r w:rsidRPr="00932811">
              <w:rPr>
                <w:bCs/>
                <w:i/>
                <w:color w:val="000000"/>
                <w:sz w:val="24"/>
                <w:szCs w:val="24"/>
              </w:rPr>
              <w:t>Histoplasma</w:t>
            </w:r>
            <w:proofErr w:type="spellEnd"/>
            <w:r w:rsidRPr="00932811">
              <w:rPr>
                <w:bCs/>
                <w:i/>
                <w:color w:val="000000"/>
                <w:sz w:val="24"/>
                <w:szCs w:val="24"/>
              </w:rPr>
              <w:t xml:space="preserve"> </w:t>
            </w:r>
            <w:proofErr w:type="spellStart"/>
            <w:r w:rsidRPr="00932811">
              <w:rPr>
                <w:bCs/>
                <w:i/>
                <w:color w:val="000000"/>
                <w:sz w:val="24"/>
                <w:szCs w:val="24"/>
              </w:rPr>
              <w:t>capsulatum</w:t>
            </w:r>
            <w:proofErr w:type="spellEnd"/>
            <w:r w:rsidRPr="00932811">
              <w:rPr>
                <w:bCs/>
                <w:color w:val="000000"/>
                <w:sz w:val="24"/>
                <w:szCs w:val="24"/>
              </w:rPr>
              <w:t xml:space="preserve"> anti</w:t>
            </w:r>
            <w:r w:rsidR="00286343" w:rsidRPr="00932811">
              <w:rPr>
                <w:bCs/>
                <w:color w:val="000000"/>
                <w:sz w:val="24"/>
                <w:szCs w:val="24"/>
              </w:rPr>
              <w:t>gen in blood, urine, or CSF</w:t>
            </w:r>
          </w:p>
        </w:tc>
      </w:tr>
      <w:tr w:rsidR="008A4052" w:rsidRPr="00140622" w:rsidTr="00932811">
        <w:tc>
          <w:tcPr>
            <w:tcW w:w="3642" w:type="dxa"/>
            <w:shd w:val="clear" w:color="auto" w:fill="auto"/>
          </w:tcPr>
          <w:p w:rsidR="008A4052" w:rsidRPr="00932811" w:rsidRDefault="008A4052" w:rsidP="00932811">
            <w:pPr>
              <w:spacing w:line="480" w:lineRule="auto"/>
              <w:rPr>
                <w:bCs/>
                <w:color w:val="000000"/>
                <w:sz w:val="24"/>
                <w:szCs w:val="24"/>
              </w:rPr>
            </w:pPr>
          </w:p>
        </w:tc>
        <w:tc>
          <w:tcPr>
            <w:tcW w:w="11422" w:type="dxa"/>
            <w:shd w:val="clear" w:color="auto" w:fill="auto"/>
          </w:tcPr>
          <w:p w:rsidR="008A4052" w:rsidRPr="00932811" w:rsidRDefault="008A4052" w:rsidP="00932811">
            <w:pPr>
              <w:spacing w:line="480" w:lineRule="auto"/>
              <w:ind w:left="288" w:hanging="288"/>
              <w:rPr>
                <w:bCs/>
                <w:color w:val="000000"/>
                <w:sz w:val="24"/>
                <w:szCs w:val="24"/>
              </w:rPr>
            </w:pPr>
            <w:r w:rsidRPr="00932811">
              <w:rPr>
                <w:bCs/>
                <w:color w:val="000000"/>
                <w:sz w:val="24"/>
                <w:szCs w:val="24"/>
              </w:rPr>
              <w:t>Two positive results of culture of urine samples for yeasts in absence of urinary catheter</w:t>
            </w:r>
          </w:p>
        </w:tc>
      </w:tr>
      <w:tr w:rsidR="008A4052" w:rsidRPr="00140622" w:rsidTr="00932811">
        <w:tc>
          <w:tcPr>
            <w:tcW w:w="3642" w:type="dxa"/>
            <w:shd w:val="clear" w:color="auto" w:fill="auto"/>
          </w:tcPr>
          <w:p w:rsidR="008A4052" w:rsidRPr="00932811" w:rsidRDefault="008A4052" w:rsidP="00932811">
            <w:pPr>
              <w:spacing w:line="480" w:lineRule="auto"/>
              <w:rPr>
                <w:bCs/>
                <w:color w:val="000000"/>
                <w:sz w:val="24"/>
                <w:szCs w:val="24"/>
              </w:rPr>
            </w:pPr>
          </w:p>
        </w:tc>
        <w:tc>
          <w:tcPr>
            <w:tcW w:w="11422" w:type="dxa"/>
            <w:shd w:val="clear" w:color="auto" w:fill="auto"/>
          </w:tcPr>
          <w:p w:rsidR="008A4052" w:rsidRPr="00932811" w:rsidRDefault="008A4052" w:rsidP="00932811">
            <w:pPr>
              <w:spacing w:line="480" w:lineRule="auto"/>
              <w:ind w:left="288" w:hanging="288"/>
              <w:rPr>
                <w:bCs/>
                <w:color w:val="000000"/>
                <w:sz w:val="24"/>
                <w:szCs w:val="24"/>
              </w:rPr>
            </w:pPr>
            <w:r w:rsidRPr="00932811">
              <w:rPr>
                <w:bCs/>
                <w:i/>
                <w:color w:val="000000"/>
                <w:sz w:val="24"/>
                <w:szCs w:val="24"/>
              </w:rPr>
              <w:t>Candida</w:t>
            </w:r>
            <w:r w:rsidRPr="00932811">
              <w:rPr>
                <w:bCs/>
                <w:color w:val="000000"/>
                <w:sz w:val="24"/>
                <w:szCs w:val="24"/>
              </w:rPr>
              <w:t xml:space="preserve"> casts in urine in absence of urinary catheter</w:t>
            </w:r>
          </w:p>
        </w:tc>
      </w:tr>
      <w:tr w:rsidR="008A4052" w:rsidRPr="00140622" w:rsidTr="00932811">
        <w:tc>
          <w:tcPr>
            <w:tcW w:w="3642" w:type="dxa"/>
            <w:shd w:val="clear" w:color="auto" w:fill="auto"/>
          </w:tcPr>
          <w:p w:rsidR="008A4052" w:rsidRPr="00932811" w:rsidRDefault="008A4052" w:rsidP="00932811">
            <w:pPr>
              <w:spacing w:line="480" w:lineRule="auto"/>
              <w:rPr>
                <w:bCs/>
                <w:color w:val="000000"/>
                <w:sz w:val="24"/>
                <w:szCs w:val="24"/>
              </w:rPr>
            </w:pPr>
          </w:p>
        </w:tc>
        <w:tc>
          <w:tcPr>
            <w:tcW w:w="11422" w:type="dxa"/>
            <w:shd w:val="clear" w:color="auto" w:fill="auto"/>
          </w:tcPr>
          <w:p w:rsidR="008A4052" w:rsidRPr="00932811" w:rsidRDefault="008A4052" w:rsidP="00932811">
            <w:pPr>
              <w:spacing w:line="480" w:lineRule="auto"/>
              <w:ind w:left="288" w:hanging="288"/>
              <w:rPr>
                <w:bCs/>
                <w:color w:val="000000"/>
                <w:sz w:val="24"/>
                <w:szCs w:val="24"/>
              </w:rPr>
            </w:pPr>
            <w:r w:rsidRPr="00932811">
              <w:rPr>
                <w:bCs/>
                <w:color w:val="000000"/>
                <w:sz w:val="24"/>
                <w:szCs w:val="24"/>
              </w:rPr>
              <w:t xml:space="preserve">Positive result of blood culture for </w:t>
            </w:r>
            <w:r w:rsidRPr="00932811">
              <w:rPr>
                <w:bCs/>
                <w:i/>
                <w:color w:val="000000"/>
                <w:sz w:val="24"/>
                <w:szCs w:val="24"/>
              </w:rPr>
              <w:t xml:space="preserve">Candida </w:t>
            </w:r>
            <w:r w:rsidRPr="00932811">
              <w:rPr>
                <w:bCs/>
                <w:color w:val="000000"/>
                <w:sz w:val="24"/>
                <w:szCs w:val="24"/>
              </w:rPr>
              <w:t>species</w:t>
            </w:r>
          </w:p>
        </w:tc>
      </w:tr>
      <w:tr w:rsidR="008A4052" w:rsidRPr="00140622" w:rsidTr="00932811">
        <w:tc>
          <w:tcPr>
            <w:tcW w:w="3642" w:type="dxa"/>
            <w:shd w:val="clear" w:color="auto" w:fill="auto"/>
          </w:tcPr>
          <w:p w:rsidR="008A4052" w:rsidRPr="00932811" w:rsidRDefault="008A4052" w:rsidP="00932811">
            <w:pPr>
              <w:spacing w:line="480" w:lineRule="auto"/>
              <w:rPr>
                <w:bCs/>
                <w:color w:val="000000"/>
                <w:sz w:val="24"/>
                <w:szCs w:val="24"/>
              </w:rPr>
            </w:pPr>
            <w:r w:rsidRPr="00932811">
              <w:rPr>
                <w:bCs/>
                <w:color w:val="000000"/>
                <w:sz w:val="24"/>
                <w:szCs w:val="24"/>
              </w:rPr>
              <w:t>Clinical</w:t>
            </w:r>
          </w:p>
        </w:tc>
        <w:tc>
          <w:tcPr>
            <w:tcW w:w="11422" w:type="dxa"/>
            <w:shd w:val="clear" w:color="auto" w:fill="auto"/>
          </w:tcPr>
          <w:p w:rsidR="008A4052" w:rsidRPr="00932811" w:rsidRDefault="008A4052" w:rsidP="00932811">
            <w:pPr>
              <w:spacing w:line="480" w:lineRule="auto"/>
              <w:ind w:left="288" w:hanging="288"/>
              <w:rPr>
                <w:bCs/>
                <w:color w:val="000000"/>
                <w:sz w:val="24"/>
                <w:szCs w:val="24"/>
              </w:rPr>
            </w:pPr>
            <w:r w:rsidRPr="00932811">
              <w:rPr>
                <w:bCs/>
                <w:color w:val="000000"/>
                <w:sz w:val="24"/>
                <w:szCs w:val="24"/>
              </w:rPr>
              <w:t>Must be related to site of microbiological criteria and temporally related to current episode</w:t>
            </w:r>
          </w:p>
        </w:tc>
      </w:tr>
      <w:tr w:rsidR="008A4052" w:rsidRPr="00140622" w:rsidTr="00932811">
        <w:tc>
          <w:tcPr>
            <w:tcW w:w="3642" w:type="dxa"/>
            <w:shd w:val="clear" w:color="auto" w:fill="auto"/>
          </w:tcPr>
          <w:p w:rsidR="008A4052" w:rsidRPr="00932811" w:rsidRDefault="008A4052" w:rsidP="00932811">
            <w:pPr>
              <w:spacing w:line="480" w:lineRule="auto"/>
              <w:ind w:left="180"/>
              <w:rPr>
                <w:bCs/>
                <w:color w:val="000000"/>
                <w:sz w:val="24"/>
                <w:szCs w:val="24"/>
              </w:rPr>
            </w:pPr>
            <w:r w:rsidRPr="00932811">
              <w:rPr>
                <w:bCs/>
                <w:color w:val="000000"/>
                <w:sz w:val="24"/>
                <w:szCs w:val="24"/>
              </w:rPr>
              <w:t>Lower respiratory tract infection</w:t>
            </w:r>
          </w:p>
        </w:tc>
        <w:tc>
          <w:tcPr>
            <w:tcW w:w="11422" w:type="dxa"/>
            <w:shd w:val="clear" w:color="auto" w:fill="auto"/>
          </w:tcPr>
          <w:p w:rsidR="008A4052" w:rsidRPr="00932811" w:rsidRDefault="008A4052" w:rsidP="00932811">
            <w:pPr>
              <w:spacing w:line="480" w:lineRule="auto"/>
              <w:ind w:left="288" w:hanging="288"/>
              <w:rPr>
                <w:bCs/>
                <w:color w:val="000000"/>
                <w:sz w:val="24"/>
                <w:szCs w:val="24"/>
              </w:rPr>
            </w:pPr>
          </w:p>
        </w:tc>
      </w:tr>
      <w:tr w:rsidR="008A4052" w:rsidRPr="00140622" w:rsidTr="00932811">
        <w:tc>
          <w:tcPr>
            <w:tcW w:w="3642" w:type="dxa"/>
            <w:shd w:val="clear" w:color="auto" w:fill="auto"/>
          </w:tcPr>
          <w:p w:rsidR="008A4052" w:rsidRPr="00932811" w:rsidRDefault="008A4052" w:rsidP="00932811">
            <w:pPr>
              <w:spacing w:line="480" w:lineRule="auto"/>
              <w:ind w:left="360"/>
              <w:rPr>
                <w:bCs/>
                <w:color w:val="000000"/>
                <w:sz w:val="24"/>
                <w:szCs w:val="24"/>
              </w:rPr>
            </w:pPr>
            <w:r w:rsidRPr="00932811">
              <w:rPr>
                <w:bCs/>
                <w:color w:val="000000"/>
                <w:sz w:val="24"/>
                <w:szCs w:val="24"/>
              </w:rPr>
              <w:t>Major</w:t>
            </w:r>
          </w:p>
        </w:tc>
        <w:tc>
          <w:tcPr>
            <w:tcW w:w="11422" w:type="dxa"/>
            <w:shd w:val="clear" w:color="auto" w:fill="auto"/>
          </w:tcPr>
          <w:p w:rsidR="008A4052" w:rsidRPr="00932811" w:rsidRDefault="008A4052" w:rsidP="00932811">
            <w:pPr>
              <w:spacing w:line="480" w:lineRule="auto"/>
              <w:ind w:left="288" w:hanging="288"/>
              <w:rPr>
                <w:bCs/>
                <w:color w:val="000000"/>
                <w:sz w:val="24"/>
                <w:szCs w:val="24"/>
              </w:rPr>
            </w:pPr>
            <w:r w:rsidRPr="00932811">
              <w:rPr>
                <w:bCs/>
                <w:color w:val="000000"/>
                <w:sz w:val="24"/>
                <w:szCs w:val="24"/>
              </w:rPr>
              <w:t xml:space="preserve">Any of the following new infiltrates on CT imaging: halo sign, air-crescent sign, or cavity within area of </w:t>
            </w:r>
            <w:proofErr w:type="spellStart"/>
            <w:r w:rsidRPr="00932811">
              <w:rPr>
                <w:bCs/>
                <w:color w:val="000000"/>
                <w:sz w:val="24"/>
                <w:szCs w:val="24"/>
              </w:rPr>
              <w:t>consolidation</w:t>
            </w:r>
            <w:r w:rsidRPr="00932811">
              <w:rPr>
                <w:bCs/>
                <w:color w:val="000000"/>
                <w:sz w:val="24"/>
                <w:szCs w:val="24"/>
                <w:vertAlign w:val="superscript"/>
              </w:rPr>
              <w:t>c</w:t>
            </w:r>
            <w:proofErr w:type="spellEnd"/>
          </w:p>
        </w:tc>
      </w:tr>
      <w:tr w:rsidR="008A4052" w:rsidRPr="00140622" w:rsidTr="00932811">
        <w:tc>
          <w:tcPr>
            <w:tcW w:w="3642" w:type="dxa"/>
            <w:shd w:val="clear" w:color="auto" w:fill="auto"/>
          </w:tcPr>
          <w:p w:rsidR="008A4052" w:rsidRPr="00932811" w:rsidRDefault="008A4052" w:rsidP="00932811">
            <w:pPr>
              <w:spacing w:line="480" w:lineRule="auto"/>
              <w:ind w:left="360"/>
              <w:rPr>
                <w:bCs/>
                <w:color w:val="000000"/>
                <w:sz w:val="24"/>
                <w:szCs w:val="24"/>
              </w:rPr>
            </w:pPr>
            <w:r w:rsidRPr="00932811">
              <w:rPr>
                <w:bCs/>
                <w:color w:val="000000"/>
                <w:sz w:val="24"/>
                <w:szCs w:val="24"/>
              </w:rPr>
              <w:t>Minor</w:t>
            </w:r>
          </w:p>
        </w:tc>
        <w:tc>
          <w:tcPr>
            <w:tcW w:w="11422" w:type="dxa"/>
            <w:shd w:val="clear" w:color="auto" w:fill="auto"/>
          </w:tcPr>
          <w:p w:rsidR="008A4052" w:rsidRPr="00932811" w:rsidRDefault="008A4052" w:rsidP="00932811">
            <w:pPr>
              <w:spacing w:line="480" w:lineRule="auto"/>
              <w:ind w:left="288" w:hanging="288"/>
              <w:rPr>
                <w:bCs/>
                <w:color w:val="000000"/>
                <w:sz w:val="24"/>
                <w:szCs w:val="24"/>
              </w:rPr>
            </w:pPr>
            <w:r w:rsidRPr="00932811">
              <w:rPr>
                <w:bCs/>
                <w:color w:val="000000"/>
                <w:sz w:val="24"/>
                <w:szCs w:val="24"/>
              </w:rPr>
              <w:t xml:space="preserve">Symptoms of lower respiratory tract infection (cough, chest pain, </w:t>
            </w:r>
            <w:r w:rsidRPr="00932811">
              <w:rPr>
                <w:bCs/>
                <w:color w:val="000000"/>
                <w:sz w:val="24"/>
                <w:szCs w:val="24"/>
              </w:rPr>
              <w:lastRenderedPageBreak/>
              <w:t>hemoptysis, dyspnea); physical finding of pleural rub; any new infiltrate not fulfilling major criterion; pleural effusion</w:t>
            </w:r>
          </w:p>
        </w:tc>
      </w:tr>
      <w:tr w:rsidR="008A4052" w:rsidRPr="00140622" w:rsidTr="00932811">
        <w:tc>
          <w:tcPr>
            <w:tcW w:w="3642" w:type="dxa"/>
            <w:shd w:val="clear" w:color="auto" w:fill="auto"/>
          </w:tcPr>
          <w:p w:rsidR="008A4052" w:rsidRPr="00932811" w:rsidRDefault="008A4052" w:rsidP="00932811">
            <w:pPr>
              <w:spacing w:line="480" w:lineRule="auto"/>
              <w:ind w:left="180"/>
              <w:rPr>
                <w:bCs/>
                <w:color w:val="000000"/>
                <w:sz w:val="24"/>
                <w:szCs w:val="24"/>
              </w:rPr>
            </w:pPr>
            <w:proofErr w:type="spellStart"/>
            <w:r w:rsidRPr="00932811">
              <w:rPr>
                <w:bCs/>
                <w:color w:val="000000"/>
                <w:sz w:val="24"/>
                <w:szCs w:val="24"/>
              </w:rPr>
              <w:lastRenderedPageBreak/>
              <w:t>Sinonasal</w:t>
            </w:r>
            <w:proofErr w:type="spellEnd"/>
            <w:r w:rsidRPr="00932811">
              <w:rPr>
                <w:bCs/>
                <w:color w:val="000000"/>
                <w:sz w:val="24"/>
                <w:szCs w:val="24"/>
              </w:rPr>
              <w:t xml:space="preserve"> infection</w:t>
            </w:r>
          </w:p>
        </w:tc>
        <w:tc>
          <w:tcPr>
            <w:tcW w:w="11422" w:type="dxa"/>
            <w:shd w:val="clear" w:color="auto" w:fill="auto"/>
          </w:tcPr>
          <w:p w:rsidR="008A4052" w:rsidRPr="00932811" w:rsidRDefault="008A4052" w:rsidP="00932811">
            <w:pPr>
              <w:spacing w:line="480" w:lineRule="auto"/>
              <w:ind w:left="288" w:hanging="288"/>
              <w:rPr>
                <w:bCs/>
                <w:color w:val="000000"/>
                <w:sz w:val="24"/>
                <w:szCs w:val="24"/>
              </w:rPr>
            </w:pPr>
          </w:p>
        </w:tc>
      </w:tr>
      <w:tr w:rsidR="008A4052" w:rsidRPr="00140622" w:rsidTr="00932811">
        <w:tc>
          <w:tcPr>
            <w:tcW w:w="3642" w:type="dxa"/>
            <w:shd w:val="clear" w:color="auto" w:fill="auto"/>
          </w:tcPr>
          <w:p w:rsidR="008A4052" w:rsidRPr="00932811" w:rsidRDefault="008A4052" w:rsidP="00932811">
            <w:pPr>
              <w:spacing w:line="480" w:lineRule="auto"/>
              <w:ind w:left="360"/>
              <w:rPr>
                <w:bCs/>
                <w:color w:val="000000"/>
                <w:sz w:val="24"/>
                <w:szCs w:val="24"/>
              </w:rPr>
            </w:pPr>
            <w:r w:rsidRPr="00932811">
              <w:rPr>
                <w:bCs/>
                <w:color w:val="000000"/>
                <w:sz w:val="24"/>
                <w:szCs w:val="24"/>
              </w:rPr>
              <w:t>Major</w:t>
            </w:r>
          </w:p>
        </w:tc>
        <w:tc>
          <w:tcPr>
            <w:tcW w:w="11422" w:type="dxa"/>
            <w:shd w:val="clear" w:color="auto" w:fill="auto"/>
          </w:tcPr>
          <w:p w:rsidR="008A4052" w:rsidRPr="00932811" w:rsidRDefault="008A4052" w:rsidP="00932811">
            <w:pPr>
              <w:spacing w:line="480" w:lineRule="auto"/>
              <w:ind w:left="288" w:hanging="288"/>
              <w:rPr>
                <w:bCs/>
                <w:color w:val="000000"/>
                <w:sz w:val="24"/>
                <w:szCs w:val="24"/>
              </w:rPr>
            </w:pPr>
            <w:r w:rsidRPr="00932811">
              <w:rPr>
                <w:bCs/>
                <w:color w:val="000000"/>
                <w:sz w:val="24"/>
                <w:szCs w:val="24"/>
              </w:rPr>
              <w:t>Suggestive radiological evidence of invasive infection in sinuses (i.e., erosion of sinus wall or extension of infection to neighboring structures, extensive skull base destruction)</w:t>
            </w:r>
          </w:p>
        </w:tc>
      </w:tr>
      <w:tr w:rsidR="008A4052" w:rsidRPr="00140622" w:rsidTr="00932811">
        <w:tc>
          <w:tcPr>
            <w:tcW w:w="3642" w:type="dxa"/>
            <w:shd w:val="clear" w:color="auto" w:fill="auto"/>
          </w:tcPr>
          <w:p w:rsidR="008A4052" w:rsidRPr="00932811" w:rsidRDefault="008A4052" w:rsidP="00932811">
            <w:pPr>
              <w:spacing w:line="480" w:lineRule="auto"/>
              <w:ind w:left="360"/>
              <w:rPr>
                <w:bCs/>
                <w:color w:val="000000"/>
                <w:sz w:val="24"/>
                <w:szCs w:val="24"/>
              </w:rPr>
            </w:pPr>
            <w:r w:rsidRPr="00932811">
              <w:rPr>
                <w:bCs/>
                <w:color w:val="000000"/>
                <w:sz w:val="24"/>
                <w:szCs w:val="24"/>
              </w:rPr>
              <w:t>Minor</w:t>
            </w:r>
          </w:p>
        </w:tc>
        <w:tc>
          <w:tcPr>
            <w:tcW w:w="11422" w:type="dxa"/>
            <w:shd w:val="clear" w:color="auto" w:fill="auto"/>
          </w:tcPr>
          <w:p w:rsidR="008A4052" w:rsidRPr="00932811" w:rsidRDefault="008A4052" w:rsidP="00932811">
            <w:pPr>
              <w:spacing w:line="480" w:lineRule="auto"/>
              <w:ind w:left="288" w:hanging="288"/>
              <w:rPr>
                <w:bCs/>
                <w:color w:val="000000"/>
                <w:sz w:val="24"/>
                <w:szCs w:val="24"/>
              </w:rPr>
            </w:pPr>
            <w:r w:rsidRPr="00932811">
              <w:rPr>
                <w:bCs/>
                <w:color w:val="000000"/>
                <w:sz w:val="24"/>
                <w:szCs w:val="24"/>
              </w:rPr>
              <w:t>Upper respiratory symptoms (e.g., nasal discharge, stuffiness); nose ulceration or eschar of nasal mucosa or epistaxis; periorbital swelling; maxillary tenderness; black necrotic lesions or perforation of hard palate</w:t>
            </w:r>
          </w:p>
        </w:tc>
      </w:tr>
      <w:tr w:rsidR="008A4052" w:rsidRPr="00140622" w:rsidTr="00932811">
        <w:tc>
          <w:tcPr>
            <w:tcW w:w="3642" w:type="dxa"/>
            <w:shd w:val="clear" w:color="auto" w:fill="auto"/>
          </w:tcPr>
          <w:p w:rsidR="008A4052" w:rsidRPr="00932811" w:rsidRDefault="008A4052" w:rsidP="00932811">
            <w:pPr>
              <w:spacing w:line="480" w:lineRule="auto"/>
              <w:ind w:left="180"/>
              <w:rPr>
                <w:bCs/>
                <w:color w:val="000000"/>
                <w:sz w:val="24"/>
                <w:szCs w:val="24"/>
              </w:rPr>
            </w:pPr>
            <w:r w:rsidRPr="00932811">
              <w:rPr>
                <w:bCs/>
                <w:color w:val="000000"/>
                <w:sz w:val="24"/>
                <w:szCs w:val="24"/>
              </w:rPr>
              <w:t>CNS infection</w:t>
            </w:r>
          </w:p>
        </w:tc>
        <w:tc>
          <w:tcPr>
            <w:tcW w:w="11422" w:type="dxa"/>
            <w:shd w:val="clear" w:color="auto" w:fill="auto"/>
          </w:tcPr>
          <w:p w:rsidR="008A4052" w:rsidRPr="00932811" w:rsidRDefault="008A4052" w:rsidP="00932811">
            <w:pPr>
              <w:spacing w:line="480" w:lineRule="auto"/>
              <w:ind w:left="288" w:hanging="288"/>
              <w:rPr>
                <w:bCs/>
                <w:color w:val="000000"/>
                <w:sz w:val="24"/>
                <w:szCs w:val="24"/>
              </w:rPr>
            </w:pPr>
          </w:p>
        </w:tc>
      </w:tr>
      <w:tr w:rsidR="008A4052" w:rsidRPr="00140622" w:rsidTr="00932811">
        <w:tc>
          <w:tcPr>
            <w:tcW w:w="3642" w:type="dxa"/>
            <w:shd w:val="clear" w:color="auto" w:fill="auto"/>
          </w:tcPr>
          <w:p w:rsidR="008A4052" w:rsidRPr="00932811" w:rsidRDefault="008A4052" w:rsidP="00932811">
            <w:pPr>
              <w:spacing w:line="480" w:lineRule="auto"/>
              <w:ind w:left="360"/>
              <w:rPr>
                <w:bCs/>
                <w:color w:val="000000"/>
                <w:sz w:val="24"/>
                <w:szCs w:val="24"/>
              </w:rPr>
            </w:pPr>
            <w:r w:rsidRPr="00932811">
              <w:rPr>
                <w:bCs/>
                <w:color w:val="000000"/>
                <w:sz w:val="24"/>
                <w:szCs w:val="24"/>
              </w:rPr>
              <w:t>Major</w:t>
            </w:r>
          </w:p>
        </w:tc>
        <w:tc>
          <w:tcPr>
            <w:tcW w:w="11422" w:type="dxa"/>
            <w:shd w:val="clear" w:color="auto" w:fill="auto"/>
          </w:tcPr>
          <w:p w:rsidR="008A4052" w:rsidRPr="00932811" w:rsidRDefault="008A4052" w:rsidP="00932811">
            <w:pPr>
              <w:spacing w:line="480" w:lineRule="auto"/>
              <w:ind w:left="288" w:hanging="288"/>
              <w:rPr>
                <w:bCs/>
                <w:color w:val="000000"/>
                <w:sz w:val="24"/>
                <w:szCs w:val="24"/>
              </w:rPr>
            </w:pPr>
            <w:r w:rsidRPr="00932811">
              <w:rPr>
                <w:bCs/>
                <w:color w:val="000000"/>
                <w:sz w:val="24"/>
                <w:szCs w:val="24"/>
              </w:rPr>
              <w:t xml:space="preserve">Radiological evidence suggesting CNS infection (e.g., </w:t>
            </w:r>
            <w:proofErr w:type="spellStart"/>
            <w:r w:rsidRPr="00932811">
              <w:rPr>
                <w:bCs/>
                <w:color w:val="000000"/>
                <w:sz w:val="24"/>
                <w:szCs w:val="24"/>
              </w:rPr>
              <w:t>mastoiditis</w:t>
            </w:r>
            <w:proofErr w:type="spellEnd"/>
            <w:r w:rsidRPr="00932811">
              <w:rPr>
                <w:bCs/>
                <w:color w:val="000000"/>
                <w:sz w:val="24"/>
                <w:szCs w:val="24"/>
              </w:rPr>
              <w:t xml:space="preserve"> or other </w:t>
            </w:r>
            <w:proofErr w:type="spellStart"/>
            <w:r w:rsidRPr="00932811">
              <w:rPr>
                <w:bCs/>
                <w:color w:val="000000"/>
                <w:sz w:val="24"/>
                <w:szCs w:val="24"/>
              </w:rPr>
              <w:t>parameningeal</w:t>
            </w:r>
            <w:proofErr w:type="spellEnd"/>
            <w:r w:rsidRPr="00932811">
              <w:rPr>
                <w:bCs/>
                <w:color w:val="000000"/>
                <w:sz w:val="24"/>
                <w:szCs w:val="24"/>
              </w:rPr>
              <w:t xml:space="preserve"> foci, extradural empyema, </w:t>
            </w:r>
            <w:proofErr w:type="spellStart"/>
            <w:r w:rsidRPr="00932811">
              <w:rPr>
                <w:bCs/>
                <w:color w:val="000000"/>
                <w:sz w:val="24"/>
                <w:szCs w:val="24"/>
              </w:rPr>
              <w:t>intraparenchymal</w:t>
            </w:r>
            <w:proofErr w:type="spellEnd"/>
            <w:r w:rsidRPr="00932811">
              <w:rPr>
                <w:bCs/>
                <w:color w:val="000000"/>
                <w:sz w:val="24"/>
                <w:szCs w:val="24"/>
              </w:rPr>
              <w:t xml:space="preserve"> brain or spinal cord mass lesion)</w:t>
            </w:r>
          </w:p>
        </w:tc>
      </w:tr>
      <w:tr w:rsidR="008A4052" w:rsidRPr="00140622" w:rsidTr="00932811">
        <w:tc>
          <w:tcPr>
            <w:tcW w:w="3642" w:type="dxa"/>
            <w:shd w:val="clear" w:color="auto" w:fill="auto"/>
          </w:tcPr>
          <w:p w:rsidR="008A4052" w:rsidRPr="00932811" w:rsidRDefault="008A4052" w:rsidP="00932811">
            <w:pPr>
              <w:spacing w:line="480" w:lineRule="auto"/>
              <w:ind w:left="360"/>
              <w:rPr>
                <w:bCs/>
                <w:color w:val="000000"/>
                <w:sz w:val="24"/>
                <w:szCs w:val="24"/>
              </w:rPr>
            </w:pPr>
            <w:r w:rsidRPr="00932811">
              <w:rPr>
                <w:bCs/>
                <w:color w:val="000000"/>
                <w:sz w:val="24"/>
                <w:szCs w:val="24"/>
              </w:rPr>
              <w:t>Minor</w:t>
            </w:r>
          </w:p>
        </w:tc>
        <w:tc>
          <w:tcPr>
            <w:tcW w:w="11422" w:type="dxa"/>
            <w:shd w:val="clear" w:color="auto" w:fill="auto"/>
          </w:tcPr>
          <w:p w:rsidR="008A4052" w:rsidRPr="00932811" w:rsidRDefault="008A4052" w:rsidP="00932811">
            <w:pPr>
              <w:spacing w:line="480" w:lineRule="auto"/>
              <w:ind w:left="288" w:hanging="288"/>
              <w:rPr>
                <w:bCs/>
                <w:color w:val="000000"/>
                <w:sz w:val="24"/>
                <w:szCs w:val="24"/>
              </w:rPr>
            </w:pPr>
            <w:r w:rsidRPr="00932811">
              <w:rPr>
                <w:bCs/>
                <w:color w:val="000000"/>
                <w:sz w:val="24"/>
                <w:szCs w:val="24"/>
              </w:rPr>
              <w:t>Focal neurological symptoms and signs (including focal seizures, hemiparesis, and cranial nerve palsies); mental changes; meningeal irritation findings; abnormalities in CSF biochemistry and cell count (provided that CSF is negative for other pathogens by culture or microscopy and negative for malignant cells)</w:t>
            </w:r>
          </w:p>
        </w:tc>
      </w:tr>
      <w:tr w:rsidR="008A4052" w:rsidRPr="00140622" w:rsidTr="00932811">
        <w:tc>
          <w:tcPr>
            <w:tcW w:w="3642" w:type="dxa"/>
            <w:shd w:val="clear" w:color="auto" w:fill="auto"/>
          </w:tcPr>
          <w:p w:rsidR="008A4052" w:rsidRPr="00932811" w:rsidRDefault="008A4052" w:rsidP="00932811">
            <w:pPr>
              <w:spacing w:line="480" w:lineRule="auto"/>
              <w:rPr>
                <w:bCs/>
                <w:color w:val="000000"/>
                <w:sz w:val="24"/>
                <w:szCs w:val="24"/>
              </w:rPr>
            </w:pPr>
            <w:r w:rsidRPr="00932811">
              <w:rPr>
                <w:bCs/>
                <w:color w:val="000000"/>
                <w:sz w:val="24"/>
                <w:szCs w:val="24"/>
              </w:rPr>
              <w:t>Disseminated fungal infection</w:t>
            </w:r>
          </w:p>
        </w:tc>
        <w:tc>
          <w:tcPr>
            <w:tcW w:w="11422" w:type="dxa"/>
            <w:shd w:val="clear" w:color="auto" w:fill="auto"/>
          </w:tcPr>
          <w:p w:rsidR="008A4052" w:rsidRPr="00932811" w:rsidRDefault="008A4052" w:rsidP="00932811">
            <w:pPr>
              <w:spacing w:line="480" w:lineRule="auto"/>
              <w:ind w:left="288" w:hanging="288"/>
              <w:rPr>
                <w:bCs/>
                <w:color w:val="000000"/>
                <w:sz w:val="24"/>
                <w:szCs w:val="24"/>
              </w:rPr>
            </w:pPr>
            <w:r w:rsidRPr="00932811">
              <w:rPr>
                <w:bCs/>
                <w:color w:val="000000"/>
                <w:sz w:val="24"/>
                <w:szCs w:val="24"/>
              </w:rPr>
              <w:t xml:space="preserve">Papular or nodular skin lesions without any other explanation; intraocular findings suggestive of </w:t>
            </w:r>
            <w:proofErr w:type="spellStart"/>
            <w:r w:rsidRPr="00932811">
              <w:rPr>
                <w:bCs/>
                <w:color w:val="000000"/>
                <w:sz w:val="24"/>
                <w:szCs w:val="24"/>
              </w:rPr>
              <w:t>hematogenous</w:t>
            </w:r>
            <w:proofErr w:type="spellEnd"/>
            <w:r w:rsidRPr="00932811">
              <w:rPr>
                <w:bCs/>
                <w:color w:val="000000"/>
                <w:sz w:val="24"/>
                <w:szCs w:val="24"/>
              </w:rPr>
              <w:t xml:space="preserve"> fungal chorioretinitis </w:t>
            </w:r>
            <w:r w:rsidRPr="00932811">
              <w:rPr>
                <w:bCs/>
                <w:color w:val="000000"/>
                <w:sz w:val="24"/>
                <w:szCs w:val="24"/>
              </w:rPr>
              <w:lastRenderedPageBreak/>
              <w:t xml:space="preserve">or </w:t>
            </w:r>
            <w:proofErr w:type="spellStart"/>
            <w:r w:rsidRPr="00932811">
              <w:rPr>
                <w:bCs/>
                <w:color w:val="000000"/>
                <w:sz w:val="24"/>
                <w:szCs w:val="24"/>
              </w:rPr>
              <w:t>endophthalmitis</w:t>
            </w:r>
            <w:proofErr w:type="spellEnd"/>
          </w:p>
        </w:tc>
      </w:tr>
      <w:tr w:rsidR="008A4052" w:rsidRPr="00140622" w:rsidTr="00932811">
        <w:tc>
          <w:tcPr>
            <w:tcW w:w="3642" w:type="dxa"/>
            <w:shd w:val="clear" w:color="auto" w:fill="auto"/>
          </w:tcPr>
          <w:p w:rsidR="008A4052" w:rsidRPr="00932811" w:rsidRDefault="008A4052" w:rsidP="00932811">
            <w:pPr>
              <w:spacing w:line="480" w:lineRule="auto"/>
              <w:rPr>
                <w:bCs/>
                <w:color w:val="000000"/>
                <w:sz w:val="24"/>
                <w:szCs w:val="24"/>
              </w:rPr>
            </w:pPr>
            <w:r w:rsidRPr="00932811">
              <w:rPr>
                <w:bCs/>
                <w:color w:val="000000"/>
                <w:sz w:val="24"/>
                <w:szCs w:val="24"/>
              </w:rPr>
              <w:lastRenderedPageBreak/>
              <w:t>Chronic disseminated candidiasis</w:t>
            </w:r>
          </w:p>
        </w:tc>
        <w:tc>
          <w:tcPr>
            <w:tcW w:w="11422" w:type="dxa"/>
            <w:shd w:val="clear" w:color="auto" w:fill="auto"/>
          </w:tcPr>
          <w:p w:rsidR="008A4052" w:rsidRPr="00932811" w:rsidRDefault="008A4052" w:rsidP="00932811">
            <w:pPr>
              <w:spacing w:line="480" w:lineRule="auto"/>
              <w:ind w:left="288" w:hanging="288"/>
              <w:rPr>
                <w:bCs/>
                <w:color w:val="000000"/>
                <w:sz w:val="24"/>
                <w:szCs w:val="24"/>
              </w:rPr>
            </w:pPr>
            <w:r w:rsidRPr="00932811">
              <w:rPr>
                <w:bCs/>
                <w:color w:val="000000"/>
                <w:sz w:val="24"/>
                <w:szCs w:val="24"/>
              </w:rPr>
              <w:t xml:space="preserve">Small, peripheral, </w:t>
            </w:r>
            <w:proofErr w:type="spellStart"/>
            <w:r w:rsidRPr="00932811">
              <w:rPr>
                <w:bCs/>
                <w:color w:val="000000"/>
                <w:sz w:val="24"/>
                <w:szCs w:val="24"/>
              </w:rPr>
              <w:t>targetlike</w:t>
            </w:r>
            <w:proofErr w:type="spellEnd"/>
            <w:r w:rsidRPr="00932811">
              <w:rPr>
                <w:bCs/>
                <w:color w:val="000000"/>
                <w:sz w:val="24"/>
                <w:szCs w:val="24"/>
              </w:rPr>
              <w:t xml:space="preserve"> abscesses (bull’s-eye lesions) in liver and/or spleen demonstrated by CT, MRI, or ultrasound, as well as elevated serum alkaline phosphatase level; supporting microbiological criteria are not required for probable category</w:t>
            </w:r>
          </w:p>
        </w:tc>
      </w:tr>
      <w:tr w:rsidR="008A4052" w:rsidRPr="00140622" w:rsidTr="00932811">
        <w:tc>
          <w:tcPr>
            <w:tcW w:w="3642" w:type="dxa"/>
            <w:tcBorders>
              <w:bottom w:val="single" w:sz="8" w:space="0" w:color="auto"/>
            </w:tcBorders>
            <w:shd w:val="clear" w:color="auto" w:fill="auto"/>
          </w:tcPr>
          <w:p w:rsidR="008A4052" w:rsidRPr="00932811" w:rsidRDefault="008A4052" w:rsidP="00932811">
            <w:pPr>
              <w:spacing w:line="480" w:lineRule="auto"/>
              <w:rPr>
                <w:bCs/>
                <w:color w:val="000000"/>
                <w:sz w:val="24"/>
                <w:szCs w:val="24"/>
              </w:rPr>
            </w:pPr>
            <w:proofErr w:type="spellStart"/>
            <w:r w:rsidRPr="00932811">
              <w:rPr>
                <w:bCs/>
                <w:color w:val="000000"/>
                <w:sz w:val="24"/>
                <w:szCs w:val="24"/>
              </w:rPr>
              <w:t>Candidemia</w:t>
            </w:r>
            <w:proofErr w:type="spellEnd"/>
          </w:p>
        </w:tc>
        <w:tc>
          <w:tcPr>
            <w:tcW w:w="11422" w:type="dxa"/>
            <w:tcBorders>
              <w:bottom w:val="single" w:sz="8" w:space="0" w:color="auto"/>
            </w:tcBorders>
            <w:shd w:val="clear" w:color="auto" w:fill="auto"/>
          </w:tcPr>
          <w:p w:rsidR="008A4052" w:rsidRPr="00932811" w:rsidRDefault="008A4052" w:rsidP="00932811">
            <w:pPr>
              <w:spacing w:line="480" w:lineRule="auto"/>
              <w:ind w:left="288" w:hanging="288"/>
              <w:rPr>
                <w:bCs/>
                <w:color w:val="000000"/>
                <w:sz w:val="24"/>
                <w:szCs w:val="24"/>
              </w:rPr>
            </w:pPr>
            <w:r w:rsidRPr="00932811">
              <w:rPr>
                <w:bCs/>
                <w:color w:val="000000"/>
                <w:sz w:val="24"/>
                <w:szCs w:val="24"/>
              </w:rPr>
              <w:t xml:space="preserve">Clinical criteria are not require for probable </w:t>
            </w:r>
            <w:proofErr w:type="spellStart"/>
            <w:r w:rsidRPr="00932811">
              <w:rPr>
                <w:bCs/>
                <w:color w:val="000000"/>
                <w:sz w:val="24"/>
                <w:szCs w:val="24"/>
              </w:rPr>
              <w:t>candidemia</w:t>
            </w:r>
            <w:proofErr w:type="spellEnd"/>
            <w:r w:rsidRPr="00932811">
              <w:rPr>
                <w:bCs/>
                <w:color w:val="000000"/>
                <w:sz w:val="24"/>
                <w:szCs w:val="24"/>
              </w:rPr>
              <w:t xml:space="preserve">; there is no definition for possible </w:t>
            </w:r>
            <w:proofErr w:type="spellStart"/>
            <w:r w:rsidRPr="00932811">
              <w:rPr>
                <w:bCs/>
                <w:color w:val="000000"/>
                <w:sz w:val="24"/>
                <w:szCs w:val="24"/>
              </w:rPr>
              <w:t>candidemia</w:t>
            </w:r>
            <w:proofErr w:type="spellEnd"/>
          </w:p>
        </w:tc>
      </w:tr>
    </w:tbl>
    <w:p w:rsidR="008A4052" w:rsidRPr="00140622" w:rsidRDefault="008A4052" w:rsidP="00FC1BDA">
      <w:pPr>
        <w:spacing w:line="480" w:lineRule="auto"/>
        <w:rPr>
          <w:b/>
          <w:bCs/>
          <w:color w:val="000000"/>
          <w:sz w:val="24"/>
          <w:szCs w:val="24"/>
        </w:rPr>
      </w:pPr>
      <w:proofErr w:type="spellStart"/>
      <w:proofErr w:type="gramStart"/>
      <w:r w:rsidRPr="00140622">
        <w:rPr>
          <w:bCs/>
          <w:color w:val="000000"/>
          <w:sz w:val="24"/>
          <w:szCs w:val="24"/>
          <w:vertAlign w:val="superscript"/>
        </w:rPr>
        <w:t>a</w:t>
      </w:r>
      <w:r w:rsidRPr="00140622">
        <w:rPr>
          <w:bCs/>
          <w:i/>
          <w:color w:val="000000"/>
          <w:sz w:val="24"/>
          <w:szCs w:val="24"/>
        </w:rPr>
        <w:t>H</w:t>
      </w:r>
      <w:proofErr w:type="spellEnd"/>
      <w:proofErr w:type="gramEnd"/>
      <w:r w:rsidRPr="00140622">
        <w:rPr>
          <w:bCs/>
          <w:i/>
          <w:color w:val="000000"/>
          <w:sz w:val="24"/>
          <w:szCs w:val="24"/>
        </w:rPr>
        <w:t xml:space="preserve">. </w:t>
      </w:r>
      <w:proofErr w:type="spellStart"/>
      <w:proofErr w:type="gramStart"/>
      <w:r w:rsidRPr="00140622">
        <w:rPr>
          <w:bCs/>
          <w:i/>
          <w:color w:val="000000"/>
          <w:sz w:val="24"/>
          <w:szCs w:val="24"/>
        </w:rPr>
        <w:t>capsulatum</w:t>
      </w:r>
      <w:proofErr w:type="spellEnd"/>
      <w:proofErr w:type="gramEnd"/>
      <w:r w:rsidRPr="00140622">
        <w:rPr>
          <w:bCs/>
          <w:color w:val="000000"/>
          <w:sz w:val="24"/>
          <w:szCs w:val="24"/>
        </w:rPr>
        <w:t xml:space="preserve"> variant </w:t>
      </w:r>
      <w:proofErr w:type="spellStart"/>
      <w:r w:rsidRPr="00140622">
        <w:rPr>
          <w:bCs/>
          <w:i/>
          <w:color w:val="000000"/>
          <w:sz w:val="24"/>
          <w:szCs w:val="24"/>
        </w:rPr>
        <w:t>capsulatum</w:t>
      </w:r>
      <w:proofErr w:type="spellEnd"/>
      <w:r w:rsidRPr="00140622">
        <w:rPr>
          <w:bCs/>
          <w:color w:val="000000"/>
          <w:sz w:val="24"/>
          <w:szCs w:val="24"/>
        </w:rPr>
        <w:t xml:space="preserve">, </w:t>
      </w:r>
      <w:proofErr w:type="spellStart"/>
      <w:r w:rsidRPr="00140622">
        <w:rPr>
          <w:bCs/>
          <w:i/>
          <w:color w:val="000000"/>
          <w:sz w:val="24"/>
          <w:szCs w:val="24"/>
        </w:rPr>
        <w:t>Blastomyces</w:t>
      </w:r>
      <w:proofErr w:type="spellEnd"/>
      <w:r w:rsidRPr="00140622">
        <w:rPr>
          <w:bCs/>
          <w:i/>
          <w:color w:val="000000"/>
          <w:sz w:val="24"/>
          <w:szCs w:val="24"/>
        </w:rPr>
        <w:t xml:space="preserve"> </w:t>
      </w:r>
      <w:proofErr w:type="spellStart"/>
      <w:r w:rsidRPr="00140622">
        <w:rPr>
          <w:bCs/>
          <w:i/>
          <w:color w:val="000000"/>
          <w:sz w:val="24"/>
          <w:szCs w:val="24"/>
        </w:rPr>
        <w:t>dermatitidis</w:t>
      </w:r>
      <w:proofErr w:type="spellEnd"/>
      <w:r w:rsidRPr="00140622">
        <w:rPr>
          <w:bCs/>
          <w:color w:val="000000"/>
          <w:sz w:val="24"/>
          <w:szCs w:val="24"/>
        </w:rPr>
        <w:t xml:space="preserve">, </w:t>
      </w:r>
      <w:proofErr w:type="spellStart"/>
      <w:r w:rsidRPr="00140622">
        <w:rPr>
          <w:bCs/>
          <w:i/>
          <w:color w:val="000000"/>
          <w:sz w:val="24"/>
          <w:szCs w:val="24"/>
        </w:rPr>
        <w:t>Coccidioides</w:t>
      </w:r>
      <w:proofErr w:type="spellEnd"/>
      <w:r w:rsidRPr="00140622">
        <w:rPr>
          <w:bCs/>
          <w:i/>
          <w:color w:val="000000"/>
          <w:sz w:val="24"/>
          <w:szCs w:val="24"/>
        </w:rPr>
        <w:t xml:space="preserve"> </w:t>
      </w:r>
      <w:proofErr w:type="spellStart"/>
      <w:r w:rsidRPr="00140622">
        <w:rPr>
          <w:bCs/>
          <w:i/>
          <w:color w:val="000000"/>
          <w:sz w:val="24"/>
          <w:szCs w:val="24"/>
        </w:rPr>
        <w:t>immitis</w:t>
      </w:r>
      <w:proofErr w:type="spellEnd"/>
      <w:r w:rsidRPr="00140622">
        <w:rPr>
          <w:bCs/>
          <w:color w:val="000000"/>
          <w:sz w:val="24"/>
          <w:szCs w:val="24"/>
        </w:rPr>
        <w:t xml:space="preserve">, or </w:t>
      </w:r>
      <w:proofErr w:type="spellStart"/>
      <w:r w:rsidRPr="00140622">
        <w:rPr>
          <w:bCs/>
          <w:i/>
          <w:color w:val="000000"/>
          <w:sz w:val="24"/>
          <w:szCs w:val="24"/>
        </w:rPr>
        <w:t>Paracoccidioides</w:t>
      </w:r>
      <w:proofErr w:type="spellEnd"/>
      <w:r w:rsidRPr="00140622">
        <w:rPr>
          <w:bCs/>
          <w:i/>
          <w:color w:val="000000"/>
          <w:sz w:val="24"/>
          <w:szCs w:val="24"/>
        </w:rPr>
        <w:t xml:space="preserve"> </w:t>
      </w:r>
      <w:proofErr w:type="spellStart"/>
      <w:r w:rsidRPr="00140622">
        <w:rPr>
          <w:bCs/>
          <w:i/>
          <w:color w:val="000000"/>
          <w:sz w:val="24"/>
          <w:szCs w:val="24"/>
        </w:rPr>
        <w:t>brasiliensis</w:t>
      </w:r>
      <w:proofErr w:type="spellEnd"/>
      <w:r w:rsidRPr="00140622">
        <w:rPr>
          <w:bCs/>
          <w:color w:val="000000"/>
          <w:sz w:val="24"/>
          <w:szCs w:val="24"/>
        </w:rPr>
        <w:t xml:space="preserve">.. </w:t>
      </w:r>
      <w:proofErr w:type="spellStart"/>
      <w:proofErr w:type="gramStart"/>
      <w:r w:rsidR="00286343">
        <w:rPr>
          <w:bCs/>
          <w:color w:val="000000"/>
          <w:sz w:val="24"/>
          <w:szCs w:val="24"/>
          <w:vertAlign w:val="superscript"/>
        </w:rPr>
        <w:t>b</w:t>
      </w:r>
      <w:r w:rsidRPr="00140622">
        <w:rPr>
          <w:bCs/>
          <w:color w:val="000000"/>
          <w:sz w:val="24"/>
          <w:szCs w:val="24"/>
        </w:rPr>
        <w:t>In</w:t>
      </w:r>
      <w:proofErr w:type="spellEnd"/>
      <w:proofErr w:type="gramEnd"/>
      <w:r w:rsidRPr="00140622">
        <w:rPr>
          <w:bCs/>
          <w:color w:val="000000"/>
          <w:sz w:val="24"/>
          <w:szCs w:val="24"/>
        </w:rPr>
        <w:t xml:space="preserve"> absence of infection by organisms that may lead to similar radiological findings including cavitation, such as </w:t>
      </w:r>
      <w:r w:rsidRPr="00140622">
        <w:rPr>
          <w:bCs/>
          <w:i/>
          <w:color w:val="000000"/>
          <w:sz w:val="24"/>
          <w:szCs w:val="24"/>
        </w:rPr>
        <w:t>Mycobacterium</w:t>
      </w:r>
      <w:r w:rsidRPr="00140622">
        <w:rPr>
          <w:bCs/>
          <w:color w:val="000000"/>
          <w:sz w:val="24"/>
          <w:szCs w:val="24"/>
        </w:rPr>
        <w:t xml:space="preserve">, </w:t>
      </w:r>
      <w:r w:rsidRPr="00140622">
        <w:rPr>
          <w:bCs/>
          <w:i/>
          <w:color w:val="000000"/>
          <w:sz w:val="24"/>
          <w:szCs w:val="24"/>
        </w:rPr>
        <w:t>Legionella</w:t>
      </w:r>
      <w:r w:rsidRPr="00140622">
        <w:rPr>
          <w:bCs/>
          <w:color w:val="000000"/>
          <w:sz w:val="24"/>
          <w:szCs w:val="24"/>
        </w:rPr>
        <w:t xml:space="preserve">, and </w:t>
      </w:r>
      <w:proofErr w:type="spellStart"/>
      <w:r w:rsidRPr="00140622">
        <w:rPr>
          <w:bCs/>
          <w:i/>
          <w:color w:val="000000"/>
          <w:sz w:val="24"/>
          <w:szCs w:val="24"/>
        </w:rPr>
        <w:t>Nocardia</w:t>
      </w:r>
      <w:proofErr w:type="spellEnd"/>
      <w:r w:rsidRPr="00140622">
        <w:rPr>
          <w:bCs/>
          <w:color w:val="000000"/>
          <w:sz w:val="24"/>
          <w:szCs w:val="24"/>
        </w:rPr>
        <w:t xml:space="preserve"> species. </w:t>
      </w:r>
      <w:r w:rsidR="00F95529" w:rsidRPr="00140622">
        <w:rPr>
          <w:b/>
          <w:bCs/>
          <w:color w:val="000000"/>
          <w:sz w:val="24"/>
          <w:szCs w:val="24"/>
        </w:rPr>
        <w:t xml:space="preserve">Adapted from </w:t>
      </w:r>
      <w:proofErr w:type="spellStart"/>
      <w:r w:rsidR="00F95529" w:rsidRPr="00140622">
        <w:rPr>
          <w:b/>
          <w:bCs/>
          <w:color w:val="000000"/>
          <w:sz w:val="24"/>
          <w:szCs w:val="24"/>
        </w:rPr>
        <w:t>Ascioglu</w:t>
      </w:r>
      <w:proofErr w:type="spellEnd"/>
      <w:r w:rsidR="00F95529" w:rsidRPr="00140622">
        <w:rPr>
          <w:b/>
          <w:bCs/>
          <w:color w:val="000000"/>
          <w:sz w:val="24"/>
          <w:szCs w:val="24"/>
        </w:rPr>
        <w:t xml:space="preserve"> </w:t>
      </w:r>
      <w:r w:rsidRPr="00140622">
        <w:rPr>
          <w:b/>
          <w:bCs/>
          <w:color w:val="000000"/>
          <w:sz w:val="24"/>
          <w:szCs w:val="24"/>
        </w:rPr>
        <w:t xml:space="preserve"> et al</w:t>
      </w:r>
      <w:r w:rsidR="00F95529" w:rsidRPr="00140622">
        <w:rPr>
          <w:b/>
          <w:bCs/>
          <w:color w:val="000000"/>
          <w:sz w:val="24"/>
          <w:szCs w:val="24"/>
        </w:rPr>
        <w:t>.</w:t>
      </w:r>
      <w:r w:rsidR="00706A77" w:rsidRPr="00140622">
        <w:rPr>
          <w:b/>
          <w:bCs/>
          <w:color w:val="000000"/>
          <w:sz w:val="24"/>
          <w:szCs w:val="24"/>
        </w:rPr>
        <w:fldChar w:fldCharType="begin"/>
      </w:r>
      <w:r w:rsidR="0053409B">
        <w:rPr>
          <w:b/>
          <w:bCs/>
          <w:color w:val="000000"/>
          <w:sz w:val="24"/>
          <w:szCs w:val="24"/>
        </w:rPr>
        <w:instrText xml:space="preserve"> ADDIN REFMGR.CITE &lt;Refman&gt;&lt;Cite&gt;&lt;Author&gt;Ascioglu&lt;/Author&gt;&lt;Year&gt;2002&lt;/Year&gt;&lt;RecNum&gt;77&lt;/RecNum&gt;&lt;IDText&gt;Defining Opportunistic Invasive Fungal Infections in Immunocompromised Patients with Cancer and Hematopoietic Stem Cell Transplants: An International Consensus&amp;#xA;1&lt;/IDText&gt;&lt;MDL Ref_Type="Journal"&gt;&lt;Ref_Type&gt;Journal&lt;/Ref_Type&gt;&lt;Ref_ID&gt;77&lt;/Ref_ID&gt;&lt;Title_Primary&gt;Defining Opportunistic Invasive Fungal Infections in Immunocompromised Patients with Cancer and Hematopoietic Stem Cell Transplants: An International Consensus&amp;#xA;1&lt;/Title_Primary&gt;&lt;Authors_Primary&gt;Ascioglu,S.&lt;/Authors_Primary&gt;&lt;Authors_Primary&gt;Rex,J.H.&lt;/Authors_Primary&gt;&lt;Authors_Primary&gt;de Pauw,B.&lt;/Authors_Primary&gt;&lt;Authors_Primary&gt;Bennett,J.E.&lt;/Authors_Primary&gt;&lt;Authors_Primary&gt;BIlle,J.&lt;/Authors_Primary&gt;&lt;Authors_Primary&gt;Crokaert,F.&lt;/Authors_Primary&gt;&lt;Authors_Primary&gt;Denning,D.W.&lt;/Authors_Primary&gt;&lt;Authors_Primary&gt;Donnelly,J.P.&lt;/Authors_Primary&gt;&lt;Authors_Primary&gt;Edwards,J.E.&lt;/Authors_Primary&gt;&lt;Authors_Primary&gt;Erjavec,Z.&lt;/Authors_Primary&gt;&lt;Authors_Primary&gt;Fiere,D.&lt;/Authors_Primary&gt;&lt;Authors_Primary&gt;Lortholary,O.&lt;/Authors_Primary&gt;&lt;Authors_Primary&gt;Maertens,J.&lt;/Authors_Primary&gt;&lt;Authors_Primary&gt;Meis,J.F.&lt;/Authors_Primary&gt;&lt;Authors_Primary&gt;Patterson,T.F.&lt;/Authors_Primary&gt;&lt;Authors_Primary&gt;Ritter,J.&lt;/Authors_Primary&gt;&lt;Authors_Primary&gt;Selleslag,D.&lt;/Authors_Primary&gt;&lt;Authors_Primary&gt;Shah,P.M.&lt;/Authors_Primary&gt;&lt;Authors_Primary&gt;Stevens,D.A.&lt;/Authors_Primary&gt;&lt;Date_Primary&gt;2002/1/1&lt;/Date_Primary&gt;&lt;Keywords&gt;CANCER -- Patients&lt;/Keywords&gt;&lt;Keywords&gt;HEMATOPOIETIC stem cells&lt;/Keywords&gt;&lt;Keywords&gt;Infection&lt;/Keywords&gt;&lt;Keywords&gt;Mycoses&lt;/Keywords&gt;&lt;Keywords&gt;OPPORTUNISTIC infections&lt;/Keywords&gt;&lt;Keywords&gt;Transplantation&lt;/Keywords&gt;&lt;Reprint&gt;Not in File&lt;/Reprint&gt;&lt;Start_Page&gt;7&lt;/Start_Page&gt;&lt;Periodical&gt;Clin Infect Dis&lt;/Periodical&gt;&lt;Volume&gt;34&lt;/Volume&gt;&lt;Issue&gt;1&lt;/Issue&gt;&lt;Publisher&gt;Infectious Diseases Society of America&lt;/Publisher&gt;&lt;ISSN_ISBN&gt;10584838&lt;/ISSN_ISBN&gt;&lt;Misc_3&gt;Article&lt;/Misc_3&gt;&lt;Web_URL&gt;http://search.ebscohost.com/login.aspx?direct=true&amp;amp;db=aph&amp;amp;AN=5636078&amp;amp;site=ehost-live&amp;amp;scope=site&lt;/Web_URL&gt;&lt;ZZ_JournalFull&gt;&lt;f name="System"&gt;Clinical Infectious Diseases&lt;/f&gt;&lt;/ZZ_JournalFull&gt;&lt;ZZ_JournalStdAbbrev&gt;&lt;f name="System"&gt;Clin Infect Dis&lt;/f&gt;&lt;/ZZ_JournalStdAbbrev&gt;&lt;ZZ_WorkformID&gt;1&lt;/ZZ_WorkformID&gt;&lt;/MDL&gt;&lt;/Cite&gt;&lt;/Refman&gt;</w:instrText>
      </w:r>
      <w:r w:rsidR="00706A77" w:rsidRPr="00140622">
        <w:rPr>
          <w:b/>
          <w:bCs/>
          <w:color w:val="000000"/>
          <w:sz w:val="24"/>
          <w:szCs w:val="24"/>
        </w:rPr>
        <w:fldChar w:fldCharType="separate"/>
      </w:r>
      <w:r w:rsidR="00080721">
        <w:rPr>
          <w:b/>
          <w:bCs/>
          <w:color w:val="000000"/>
          <w:sz w:val="24"/>
          <w:szCs w:val="24"/>
        </w:rPr>
        <w:t>(26)</w:t>
      </w:r>
      <w:r w:rsidR="00706A77" w:rsidRPr="00140622">
        <w:rPr>
          <w:b/>
          <w:bCs/>
          <w:color w:val="000000"/>
          <w:sz w:val="24"/>
          <w:szCs w:val="24"/>
        </w:rPr>
        <w:fldChar w:fldCharType="end"/>
      </w:r>
    </w:p>
    <w:p w:rsidR="008A4052" w:rsidRPr="00140622" w:rsidRDefault="008A4052" w:rsidP="00FC1BDA">
      <w:pPr>
        <w:spacing w:line="480" w:lineRule="auto"/>
        <w:rPr>
          <w:sz w:val="24"/>
          <w:szCs w:val="24"/>
        </w:rPr>
      </w:pPr>
      <w:r w:rsidRPr="00140622">
        <w:rPr>
          <w:sz w:val="24"/>
          <w:szCs w:val="24"/>
        </w:rPr>
        <w:br w:type="page"/>
      </w:r>
      <w:proofErr w:type="gramStart"/>
      <w:r w:rsidR="00F228AE" w:rsidRPr="00140622">
        <w:rPr>
          <w:b/>
          <w:sz w:val="24"/>
          <w:szCs w:val="24"/>
        </w:rPr>
        <w:lastRenderedPageBreak/>
        <w:t>Table 5</w:t>
      </w:r>
      <w:r w:rsidR="00F95529" w:rsidRPr="00140622">
        <w:rPr>
          <w:b/>
          <w:sz w:val="24"/>
          <w:szCs w:val="24"/>
        </w:rPr>
        <w:t>.</w:t>
      </w:r>
      <w:proofErr w:type="gramEnd"/>
      <w:r w:rsidR="00F95529" w:rsidRPr="00140622">
        <w:rPr>
          <w:b/>
          <w:sz w:val="24"/>
          <w:szCs w:val="24"/>
        </w:rPr>
        <w:t xml:space="preserve"> Clinical R</w:t>
      </w:r>
      <w:r w:rsidRPr="00140622">
        <w:rPr>
          <w:b/>
          <w:sz w:val="24"/>
          <w:szCs w:val="24"/>
        </w:rPr>
        <w:t>esponse</w:t>
      </w: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5"/>
        <w:gridCol w:w="7505"/>
      </w:tblGrid>
      <w:tr w:rsidR="008A4052" w:rsidRPr="00140622" w:rsidTr="00932811">
        <w:tc>
          <w:tcPr>
            <w:tcW w:w="2968" w:type="dxa"/>
            <w:tcBorders>
              <w:top w:val="single" w:sz="8" w:space="0" w:color="auto"/>
              <w:bottom w:val="single" w:sz="8" w:space="0" w:color="auto"/>
            </w:tcBorders>
            <w:shd w:val="clear" w:color="auto" w:fill="auto"/>
          </w:tcPr>
          <w:p w:rsidR="008A4052" w:rsidRPr="00932811" w:rsidRDefault="008A4052" w:rsidP="00932811">
            <w:pPr>
              <w:spacing w:before="0" w:after="0" w:line="480" w:lineRule="auto"/>
              <w:rPr>
                <w:b/>
                <w:sz w:val="24"/>
                <w:szCs w:val="24"/>
                <w:vertAlign w:val="superscript"/>
              </w:rPr>
            </w:pPr>
            <w:r w:rsidRPr="00932811">
              <w:rPr>
                <w:b/>
                <w:sz w:val="24"/>
                <w:szCs w:val="24"/>
              </w:rPr>
              <w:t>Clinical response</w:t>
            </w:r>
            <w:r w:rsidR="00F95529" w:rsidRPr="00932811">
              <w:rPr>
                <w:b/>
                <w:sz w:val="24"/>
                <w:szCs w:val="24"/>
              </w:rPr>
              <w:t>*</w:t>
            </w:r>
            <w:r w:rsidRPr="00932811">
              <w:rPr>
                <w:b/>
                <w:sz w:val="24"/>
                <w:szCs w:val="24"/>
              </w:rPr>
              <w:t xml:space="preserve"> </w:t>
            </w:r>
          </w:p>
        </w:tc>
        <w:tc>
          <w:tcPr>
            <w:tcW w:w="9272" w:type="dxa"/>
            <w:tcBorders>
              <w:top w:val="single" w:sz="8" w:space="0" w:color="auto"/>
              <w:bottom w:val="single" w:sz="8" w:space="0" w:color="auto"/>
            </w:tcBorders>
            <w:shd w:val="clear" w:color="auto" w:fill="auto"/>
          </w:tcPr>
          <w:p w:rsidR="008A4052" w:rsidRPr="00932811" w:rsidRDefault="008A4052" w:rsidP="00932811">
            <w:pPr>
              <w:spacing w:before="0" w:after="0" w:line="480" w:lineRule="auto"/>
              <w:jc w:val="center"/>
              <w:rPr>
                <w:b/>
                <w:sz w:val="24"/>
                <w:szCs w:val="24"/>
              </w:rPr>
            </w:pPr>
            <w:r w:rsidRPr="00932811">
              <w:rPr>
                <w:b/>
                <w:sz w:val="24"/>
                <w:szCs w:val="24"/>
              </w:rPr>
              <w:t>Definition</w:t>
            </w:r>
          </w:p>
        </w:tc>
      </w:tr>
      <w:tr w:rsidR="008A4052" w:rsidRPr="00140622" w:rsidTr="00932811">
        <w:tc>
          <w:tcPr>
            <w:tcW w:w="2968" w:type="dxa"/>
            <w:shd w:val="clear" w:color="auto" w:fill="auto"/>
          </w:tcPr>
          <w:p w:rsidR="008A4052" w:rsidRPr="00932811" w:rsidRDefault="00F95529" w:rsidP="00932811">
            <w:pPr>
              <w:spacing w:before="0" w:after="0" w:line="480" w:lineRule="auto"/>
              <w:rPr>
                <w:sz w:val="24"/>
                <w:szCs w:val="24"/>
              </w:rPr>
            </w:pPr>
            <w:r w:rsidRPr="00932811">
              <w:rPr>
                <w:sz w:val="24"/>
                <w:szCs w:val="24"/>
              </w:rPr>
              <w:t>R</w:t>
            </w:r>
            <w:r w:rsidR="008A4052" w:rsidRPr="00932811">
              <w:rPr>
                <w:sz w:val="24"/>
                <w:szCs w:val="24"/>
              </w:rPr>
              <w:t>esponse to empiric therapy</w:t>
            </w:r>
          </w:p>
        </w:tc>
        <w:tc>
          <w:tcPr>
            <w:tcW w:w="9272" w:type="dxa"/>
            <w:shd w:val="clear" w:color="auto" w:fill="auto"/>
          </w:tcPr>
          <w:p w:rsidR="008A4052" w:rsidRPr="00932811" w:rsidRDefault="008A4052" w:rsidP="00932811">
            <w:pPr>
              <w:spacing w:before="0" w:after="0" w:line="480" w:lineRule="auto"/>
              <w:ind w:left="288" w:hanging="288"/>
              <w:rPr>
                <w:sz w:val="24"/>
                <w:szCs w:val="24"/>
              </w:rPr>
            </w:pPr>
            <w:r w:rsidRPr="00932811">
              <w:rPr>
                <w:sz w:val="24"/>
                <w:szCs w:val="24"/>
              </w:rPr>
              <w:t>Resolution of fever and</w:t>
            </w:r>
            <w:r w:rsidR="00F95529" w:rsidRPr="00932811">
              <w:rPr>
                <w:sz w:val="24"/>
                <w:szCs w:val="24"/>
              </w:rPr>
              <w:t>/or</w:t>
            </w:r>
            <w:r w:rsidRPr="00932811">
              <w:rPr>
                <w:sz w:val="24"/>
                <w:szCs w:val="24"/>
              </w:rPr>
              <w:t xml:space="preserve"> other attributable symptoms/signs of IFI</w:t>
            </w:r>
          </w:p>
        </w:tc>
      </w:tr>
      <w:tr w:rsidR="008A4052" w:rsidRPr="00140622" w:rsidTr="00932811">
        <w:tc>
          <w:tcPr>
            <w:tcW w:w="2968" w:type="dxa"/>
            <w:tcBorders>
              <w:bottom w:val="single" w:sz="8" w:space="0" w:color="auto"/>
            </w:tcBorders>
            <w:shd w:val="clear" w:color="auto" w:fill="auto"/>
          </w:tcPr>
          <w:p w:rsidR="008A4052" w:rsidRPr="00932811" w:rsidRDefault="00F95529" w:rsidP="00932811">
            <w:pPr>
              <w:spacing w:before="0" w:after="0" w:line="480" w:lineRule="auto"/>
              <w:rPr>
                <w:sz w:val="24"/>
                <w:szCs w:val="24"/>
              </w:rPr>
            </w:pPr>
            <w:r w:rsidRPr="00932811">
              <w:rPr>
                <w:sz w:val="24"/>
                <w:szCs w:val="24"/>
              </w:rPr>
              <w:t>R</w:t>
            </w:r>
            <w:r w:rsidR="008A4052" w:rsidRPr="00932811">
              <w:rPr>
                <w:sz w:val="24"/>
                <w:szCs w:val="24"/>
              </w:rPr>
              <w:t>e</w:t>
            </w:r>
            <w:r w:rsidRPr="00932811">
              <w:rPr>
                <w:sz w:val="24"/>
                <w:szCs w:val="24"/>
              </w:rPr>
              <w:t>sponse to pre</w:t>
            </w:r>
            <w:r w:rsidR="008A4052" w:rsidRPr="00932811">
              <w:rPr>
                <w:sz w:val="24"/>
                <w:szCs w:val="24"/>
              </w:rPr>
              <w:t xml:space="preserve">emptive therapy  </w:t>
            </w:r>
          </w:p>
        </w:tc>
        <w:tc>
          <w:tcPr>
            <w:tcW w:w="9272" w:type="dxa"/>
            <w:tcBorders>
              <w:bottom w:val="single" w:sz="8" w:space="0" w:color="auto"/>
            </w:tcBorders>
            <w:shd w:val="clear" w:color="auto" w:fill="auto"/>
          </w:tcPr>
          <w:p w:rsidR="008A4052" w:rsidRPr="00932811" w:rsidRDefault="008A4052" w:rsidP="00932811">
            <w:pPr>
              <w:spacing w:before="0" w:after="0" w:line="480" w:lineRule="auto"/>
              <w:ind w:left="288" w:hanging="288"/>
              <w:rPr>
                <w:sz w:val="24"/>
                <w:szCs w:val="24"/>
              </w:rPr>
            </w:pPr>
            <w:r w:rsidRPr="00932811">
              <w:rPr>
                <w:sz w:val="24"/>
                <w:szCs w:val="24"/>
              </w:rPr>
              <w:t>Resolution of abnormal</w:t>
            </w:r>
            <w:r w:rsidR="007E17F2" w:rsidRPr="00932811">
              <w:rPr>
                <w:sz w:val="24"/>
                <w:szCs w:val="24"/>
              </w:rPr>
              <w:t xml:space="preserve"> BDG</w:t>
            </w:r>
            <w:r w:rsidRPr="00932811">
              <w:rPr>
                <w:sz w:val="24"/>
                <w:szCs w:val="24"/>
              </w:rPr>
              <w:t xml:space="preserve"> test result </w:t>
            </w:r>
          </w:p>
        </w:tc>
      </w:tr>
    </w:tbl>
    <w:p w:rsidR="008A4052" w:rsidRPr="00140622" w:rsidRDefault="008A4052" w:rsidP="00FC1BDA">
      <w:pPr>
        <w:spacing w:line="480" w:lineRule="auto"/>
        <w:rPr>
          <w:sz w:val="24"/>
          <w:szCs w:val="24"/>
        </w:rPr>
      </w:pPr>
      <w:r w:rsidRPr="00140622">
        <w:rPr>
          <w:sz w:val="24"/>
          <w:szCs w:val="24"/>
        </w:rPr>
        <w:t>*Clinical response as</w:t>
      </w:r>
      <w:r w:rsidRPr="00140622">
        <w:rPr>
          <w:sz w:val="24"/>
          <w:szCs w:val="24"/>
          <w:vertAlign w:val="superscript"/>
        </w:rPr>
        <w:t xml:space="preserve"> </w:t>
      </w:r>
      <w:r w:rsidRPr="00140622">
        <w:rPr>
          <w:sz w:val="24"/>
          <w:szCs w:val="24"/>
        </w:rPr>
        <w:t>an efficacy endpoin</w:t>
      </w:r>
      <w:r w:rsidR="00F95529" w:rsidRPr="00140622">
        <w:rPr>
          <w:sz w:val="24"/>
          <w:szCs w:val="24"/>
        </w:rPr>
        <w:t>t will be assessed at the end of treatment</w:t>
      </w:r>
      <w:r w:rsidRPr="00140622">
        <w:rPr>
          <w:sz w:val="24"/>
          <w:szCs w:val="24"/>
        </w:rPr>
        <w:t xml:space="preserve">. </w:t>
      </w:r>
    </w:p>
    <w:p w:rsidR="003A0B8B" w:rsidRPr="00140622" w:rsidRDefault="00D156D6" w:rsidP="00FC1BDA">
      <w:pPr>
        <w:spacing w:before="0" w:after="0" w:line="480" w:lineRule="auto"/>
        <w:jc w:val="both"/>
        <w:rPr>
          <w:b/>
          <w:sz w:val="24"/>
          <w:szCs w:val="24"/>
        </w:rPr>
      </w:pPr>
      <w:r w:rsidRPr="00140622">
        <w:rPr>
          <w:b/>
          <w:sz w:val="24"/>
          <w:szCs w:val="24"/>
        </w:rPr>
        <w:t xml:space="preserve"> </w:t>
      </w:r>
    </w:p>
    <w:p w:rsidR="003A0B8B" w:rsidRPr="00140622" w:rsidRDefault="003A0B8B" w:rsidP="00FC1BDA">
      <w:pPr>
        <w:spacing w:before="0" w:after="0" w:line="480" w:lineRule="auto"/>
        <w:jc w:val="both"/>
        <w:rPr>
          <w:sz w:val="24"/>
          <w:szCs w:val="24"/>
        </w:rPr>
      </w:pPr>
      <w:r w:rsidRPr="00140622">
        <w:rPr>
          <w:b/>
          <w:sz w:val="24"/>
          <w:szCs w:val="24"/>
        </w:rPr>
        <w:br w:type="page"/>
      </w:r>
    </w:p>
    <w:p w:rsidR="002965B6" w:rsidRPr="00140622" w:rsidRDefault="002965B6" w:rsidP="00FC1BDA">
      <w:pPr>
        <w:tabs>
          <w:tab w:val="right" w:pos="540"/>
          <w:tab w:val="left" w:pos="720"/>
        </w:tabs>
        <w:spacing w:after="0" w:line="480" w:lineRule="auto"/>
        <w:ind w:left="720" w:hanging="720"/>
        <w:rPr>
          <w:b/>
          <w:sz w:val="24"/>
          <w:szCs w:val="24"/>
        </w:rPr>
      </w:pPr>
      <w:proofErr w:type="gramStart"/>
      <w:r w:rsidRPr="00140622">
        <w:rPr>
          <w:b/>
          <w:sz w:val="24"/>
          <w:szCs w:val="24"/>
        </w:rPr>
        <w:t>Figure 1.</w:t>
      </w:r>
      <w:proofErr w:type="gramEnd"/>
      <w:r w:rsidRPr="00140622">
        <w:rPr>
          <w:b/>
          <w:sz w:val="24"/>
          <w:szCs w:val="24"/>
        </w:rPr>
        <w:t xml:space="preserve">  Study Design</w:t>
      </w:r>
    </w:p>
    <w:p w:rsidR="002965B6" w:rsidRPr="00140622" w:rsidRDefault="002270F8" w:rsidP="00FC1BDA">
      <w:pPr>
        <w:tabs>
          <w:tab w:val="right" w:pos="540"/>
          <w:tab w:val="left" w:pos="720"/>
        </w:tabs>
        <w:spacing w:after="0" w:line="480" w:lineRule="auto"/>
        <w:ind w:left="720" w:hanging="720"/>
        <w:rPr>
          <w:sz w:val="24"/>
          <w:szCs w:val="24"/>
        </w:rPr>
      </w:pPr>
      <w:r w:rsidRPr="00140622">
        <w:rPr>
          <w:sz w:val="24"/>
          <w:szCs w:val="24"/>
        </w:rPr>
        <w:object w:dxaOrig="7112" w:dyaOrig="53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5.5pt;height:267pt" o:ole="">
            <v:imagedata r:id="rId13" o:title=""/>
          </v:shape>
          <o:OLEObject Type="Embed" ProgID="PowerPoint.Slide.8" ShapeID="_x0000_i1025" DrawAspect="Content" ObjectID="_1394687454" r:id="rId14"/>
        </w:object>
      </w:r>
    </w:p>
    <w:p w:rsidR="00140622" w:rsidRPr="00140622" w:rsidRDefault="00140622" w:rsidP="00FC1BDA">
      <w:pPr>
        <w:spacing w:line="480" w:lineRule="auto"/>
        <w:rPr>
          <w:sz w:val="24"/>
          <w:szCs w:val="24"/>
        </w:rPr>
      </w:pPr>
    </w:p>
    <w:sectPr w:rsidR="00140622" w:rsidRPr="00140622" w:rsidSect="009F3F26">
      <w:footerReference w:type="default" r:id="rId15"/>
      <w:pgSz w:w="12240" w:h="15840" w:code="1"/>
      <w:pgMar w:top="1440" w:right="1440" w:bottom="1440" w:left="1440" w:header="0" w:footer="57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2811" w:rsidRDefault="00932811">
      <w:r>
        <w:separator/>
      </w:r>
    </w:p>
  </w:endnote>
  <w:endnote w:type="continuationSeparator" w:id="0">
    <w:p w:rsidR="00932811" w:rsidRDefault="00932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平成明朝">
    <w:altName w:val="Arial Unicode MS"/>
    <w:charset w:val="80"/>
    <w:family w:val="auto"/>
    <w:pitch w:val="variable"/>
    <w:sig w:usb0="00000001" w:usb1="08070000" w:usb2="00000010" w:usb3="00000000" w:csb0="00020000" w:csb1="00000000"/>
  </w:font>
  <w:font w:name="Frutiger">
    <w:altName w:val="Times New Roman"/>
    <w:panose1 w:val="00000000000000000000"/>
    <w:charset w:val="00"/>
    <w:family w:val="swiss"/>
    <w:notTrueType/>
    <w:pitch w:val="default"/>
    <w:sig w:usb0="03000000"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09B" w:rsidRDefault="00706A77" w:rsidP="008A4052">
    <w:pPr>
      <w:pStyle w:val="Footer"/>
      <w:framePr w:wrap="around" w:vAnchor="text" w:hAnchor="margin" w:xAlign="right" w:y="1"/>
      <w:rPr>
        <w:rStyle w:val="PageNumber"/>
      </w:rPr>
    </w:pPr>
    <w:r>
      <w:rPr>
        <w:rStyle w:val="PageNumber"/>
      </w:rPr>
      <w:fldChar w:fldCharType="begin"/>
    </w:r>
    <w:r w:rsidR="0053409B">
      <w:rPr>
        <w:rStyle w:val="PageNumber"/>
      </w:rPr>
      <w:instrText xml:space="preserve">PAGE  </w:instrText>
    </w:r>
    <w:r>
      <w:rPr>
        <w:rStyle w:val="PageNumber"/>
      </w:rPr>
      <w:fldChar w:fldCharType="separate"/>
    </w:r>
    <w:r w:rsidR="0053409B">
      <w:rPr>
        <w:rStyle w:val="PageNumber"/>
        <w:noProof/>
      </w:rPr>
      <w:t>25</w:t>
    </w:r>
    <w:r>
      <w:rPr>
        <w:rStyle w:val="PageNumber"/>
      </w:rPr>
      <w:fldChar w:fldCharType="end"/>
    </w:r>
  </w:p>
  <w:p w:rsidR="0053409B" w:rsidRDefault="0053409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09B" w:rsidRDefault="00706A77">
    <w:pPr>
      <w:pStyle w:val="Footer"/>
      <w:framePr w:wrap="around" w:vAnchor="text" w:hAnchor="margin" w:xAlign="right" w:y="1"/>
      <w:rPr>
        <w:rStyle w:val="PageNumber"/>
      </w:rPr>
    </w:pPr>
    <w:r>
      <w:rPr>
        <w:rStyle w:val="PageNumber"/>
      </w:rPr>
      <w:fldChar w:fldCharType="begin"/>
    </w:r>
    <w:r w:rsidR="0053409B">
      <w:rPr>
        <w:rStyle w:val="PageNumber"/>
      </w:rPr>
      <w:instrText xml:space="preserve">PAGE  </w:instrText>
    </w:r>
    <w:r>
      <w:rPr>
        <w:rStyle w:val="PageNumber"/>
      </w:rPr>
      <w:fldChar w:fldCharType="separate"/>
    </w:r>
    <w:r w:rsidR="00514FF7">
      <w:rPr>
        <w:rStyle w:val="PageNumber"/>
        <w:noProof/>
      </w:rPr>
      <w:t>38</w:t>
    </w:r>
    <w:r>
      <w:rPr>
        <w:rStyle w:val="PageNumber"/>
      </w:rPr>
      <w:fldChar w:fldCharType="end"/>
    </w:r>
  </w:p>
  <w:p w:rsidR="0053409B" w:rsidRDefault="0053409B">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09B" w:rsidRDefault="00706A77" w:rsidP="008A4052">
    <w:pPr>
      <w:pStyle w:val="Footer"/>
      <w:framePr w:wrap="around" w:vAnchor="text" w:hAnchor="margin" w:xAlign="right" w:y="1"/>
      <w:rPr>
        <w:rStyle w:val="PageNumber"/>
      </w:rPr>
    </w:pPr>
    <w:r>
      <w:rPr>
        <w:rStyle w:val="PageNumber"/>
      </w:rPr>
      <w:fldChar w:fldCharType="begin"/>
    </w:r>
    <w:r w:rsidR="0053409B">
      <w:rPr>
        <w:rStyle w:val="PageNumber"/>
      </w:rPr>
      <w:instrText xml:space="preserve">PAGE  </w:instrText>
    </w:r>
    <w:r>
      <w:rPr>
        <w:rStyle w:val="PageNumber"/>
      </w:rPr>
      <w:fldChar w:fldCharType="separate"/>
    </w:r>
    <w:r w:rsidR="00514FF7">
      <w:rPr>
        <w:rStyle w:val="PageNumber"/>
        <w:noProof/>
      </w:rPr>
      <w:t>41</w:t>
    </w:r>
    <w:r>
      <w:rPr>
        <w:rStyle w:val="PageNumber"/>
      </w:rPr>
      <w:fldChar w:fldCharType="end"/>
    </w:r>
  </w:p>
  <w:p w:rsidR="0053409B" w:rsidRDefault="0053409B" w:rsidP="008A4052">
    <w:pPr>
      <w:pStyle w:val="Footer"/>
      <w:framePr w:wrap="around" w:vAnchor="text" w:hAnchor="margin" w:xAlign="right" w:y="1"/>
      <w:ind w:right="360"/>
      <w:rPr>
        <w:rStyle w:val="PageNumber"/>
      </w:rPr>
    </w:pPr>
  </w:p>
  <w:p w:rsidR="0053409B" w:rsidRDefault="0053409B">
    <w:pPr>
      <w:tabs>
        <w:tab w:val="left" w:pos="-720"/>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right" w:pos="9000"/>
        <w:tab w:val="left" w:pos="9360"/>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2811" w:rsidRDefault="00932811">
      <w:r>
        <w:separator/>
      </w:r>
    </w:p>
  </w:footnote>
  <w:footnote w:type="continuationSeparator" w:id="0">
    <w:p w:rsidR="00932811" w:rsidRDefault="009328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09B" w:rsidRDefault="0053409B">
    <w:pPr>
      <w:pStyle w:val="Header"/>
    </w:pPr>
    <w:proofErr w:type="spellStart"/>
    <w:r>
      <w:t>Anidulafungin</w:t>
    </w:r>
    <w:proofErr w:type="spellEnd"/>
    <w:r>
      <w:t xml:space="preserve"> Preemptive Protocol</w:t>
    </w:r>
    <w:r w:rsidR="00450851">
      <w:t xml:space="preserve"> 12-3-07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A06D8"/>
    <w:multiLevelType w:val="hybridMultilevel"/>
    <w:tmpl w:val="9B4AF842"/>
    <w:lvl w:ilvl="0" w:tplc="BC580246">
      <w:start w:val="2"/>
      <w:numFmt w:val="decimal"/>
      <w:lvlText w:val="%1)"/>
      <w:lvlJc w:val="left"/>
      <w:pPr>
        <w:tabs>
          <w:tab w:val="num" w:pos="2880"/>
        </w:tabs>
        <w:ind w:left="2880" w:hanging="720"/>
      </w:pPr>
      <w:rPr>
        <w:rFonts w:hint="default"/>
        <w:b/>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
    <w:nsid w:val="06D82F93"/>
    <w:multiLevelType w:val="hybridMultilevel"/>
    <w:tmpl w:val="4F12BA28"/>
    <w:lvl w:ilvl="0" w:tplc="64EC2678">
      <w:start w:val="2"/>
      <w:numFmt w:val="decimal"/>
      <w:lvlText w:val="%1)"/>
      <w:lvlJc w:val="left"/>
      <w:pPr>
        <w:tabs>
          <w:tab w:val="num" w:pos="2880"/>
        </w:tabs>
        <w:ind w:left="2880" w:hanging="810"/>
      </w:pPr>
      <w:rPr>
        <w:rFonts w:hint="default"/>
        <w:b/>
      </w:rPr>
    </w:lvl>
    <w:lvl w:ilvl="1" w:tplc="04090019" w:tentative="1">
      <w:start w:val="1"/>
      <w:numFmt w:val="lowerLetter"/>
      <w:lvlText w:val="%2."/>
      <w:lvlJc w:val="left"/>
      <w:pPr>
        <w:tabs>
          <w:tab w:val="num" w:pos="3150"/>
        </w:tabs>
        <w:ind w:left="3150" w:hanging="360"/>
      </w:pPr>
    </w:lvl>
    <w:lvl w:ilvl="2" w:tplc="0409001B" w:tentative="1">
      <w:start w:val="1"/>
      <w:numFmt w:val="lowerRoman"/>
      <w:lvlText w:val="%3."/>
      <w:lvlJc w:val="right"/>
      <w:pPr>
        <w:tabs>
          <w:tab w:val="num" w:pos="3870"/>
        </w:tabs>
        <w:ind w:left="3870" w:hanging="180"/>
      </w:pPr>
    </w:lvl>
    <w:lvl w:ilvl="3" w:tplc="0409000F" w:tentative="1">
      <w:start w:val="1"/>
      <w:numFmt w:val="decimal"/>
      <w:lvlText w:val="%4."/>
      <w:lvlJc w:val="left"/>
      <w:pPr>
        <w:tabs>
          <w:tab w:val="num" w:pos="4590"/>
        </w:tabs>
        <w:ind w:left="4590" w:hanging="360"/>
      </w:pPr>
    </w:lvl>
    <w:lvl w:ilvl="4" w:tplc="04090019" w:tentative="1">
      <w:start w:val="1"/>
      <w:numFmt w:val="lowerLetter"/>
      <w:lvlText w:val="%5."/>
      <w:lvlJc w:val="left"/>
      <w:pPr>
        <w:tabs>
          <w:tab w:val="num" w:pos="5310"/>
        </w:tabs>
        <w:ind w:left="5310" w:hanging="360"/>
      </w:pPr>
    </w:lvl>
    <w:lvl w:ilvl="5" w:tplc="0409001B" w:tentative="1">
      <w:start w:val="1"/>
      <w:numFmt w:val="lowerRoman"/>
      <w:lvlText w:val="%6."/>
      <w:lvlJc w:val="right"/>
      <w:pPr>
        <w:tabs>
          <w:tab w:val="num" w:pos="6030"/>
        </w:tabs>
        <w:ind w:left="6030" w:hanging="180"/>
      </w:pPr>
    </w:lvl>
    <w:lvl w:ilvl="6" w:tplc="0409000F" w:tentative="1">
      <w:start w:val="1"/>
      <w:numFmt w:val="decimal"/>
      <w:lvlText w:val="%7."/>
      <w:lvlJc w:val="left"/>
      <w:pPr>
        <w:tabs>
          <w:tab w:val="num" w:pos="6750"/>
        </w:tabs>
        <w:ind w:left="6750" w:hanging="360"/>
      </w:pPr>
    </w:lvl>
    <w:lvl w:ilvl="7" w:tplc="04090019" w:tentative="1">
      <w:start w:val="1"/>
      <w:numFmt w:val="lowerLetter"/>
      <w:lvlText w:val="%8."/>
      <w:lvlJc w:val="left"/>
      <w:pPr>
        <w:tabs>
          <w:tab w:val="num" w:pos="7470"/>
        </w:tabs>
        <w:ind w:left="7470" w:hanging="360"/>
      </w:pPr>
    </w:lvl>
    <w:lvl w:ilvl="8" w:tplc="0409001B" w:tentative="1">
      <w:start w:val="1"/>
      <w:numFmt w:val="lowerRoman"/>
      <w:lvlText w:val="%9."/>
      <w:lvlJc w:val="right"/>
      <w:pPr>
        <w:tabs>
          <w:tab w:val="num" w:pos="8190"/>
        </w:tabs>
        <w:ind w:left="8190" w:hanging="180"/>
      </w:pPr>
    </w:lvl>
  </w:abstractNum>
  <w:abstractNum w:abstractNumId="2">
    <w:nsid w:val="06FA52DF"/>
    <w:multiLevelType w:val="hybridMultilevel"/>
    <w:tmpl w:val="0F58E2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D3E3216"/>
    <w:multiLevelType w:val="hybridMultilevel"/>
    <w:tmpl w:val="80DE4828"/>
    <w:lvl w:ilvl="0" w:tplc="0409000F">
      <w:start w:val="1"/>
      <w:numFmt w:val="decimal"/>
      <w:lvlText w:val="%1."/>
      <w:lvlJc w:val="left"/>
      <w:pPr>
        <w:tabs>
          <w:tab w:val="num" w:pos="2160"/>
        </w:tabs>
        <w:ind w:left="2160" w:hanging="360"/>
      </w:pPr>
    </w:lvl>
    <w:lvl w:ilvl="1" w:tplc="04090019">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4">
    <w:nsid w:val="0D87253A"/>
    <w:multiLevelType w:val="hybridMultilevel"/>
    <w:tmpl w:val="93BABA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1412BE0"/>
    <w:multiLevelType w:val="hybridMultilevel"/>
    <w:tmpl w:val="A626B35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nsid w:val="11A05452"/>
    <w:multiLevelType w:val="hybridMultilevel"/>
    <w:tmpl w:val="31A866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43B4B48"/>
    <w:multiLevelType w:val="hybridMultilevel"/>
    <w:tmpl w:val="75DE53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5E81A38"/>
    <w:multiLevelType w:val="hybridMultilevel"/>
    <w:tmpl w:val="1FD45692"/>
    <w:lvl w:ilvl="0" w:tplc="0DA4D262">
      <w:start w:val="1"/>
      <w:numFmt w:val="bullet"/>
      <w:lvlText w:val="•"/>
      <w:lvlJc w:val="left"/>
      <w:pPr>
        <w:tabs>
          <w:tab w:val="num" w:pos="360"/>
        </w:tabs>
        <w:ind w:left="36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9422DAD"/>
    <w:multiLevelType w:val="multilevel"/>
    <w:tmpl w:val="E66C619C"/>
    <w:lvl w:ilvl="0">
      <w:start w:val="1"/>
      <w:numFmt w:val="decimal"/>
      <w:pStyle w:val="Heading1"/>
      <w:lvlText w:val="%1"/>
      <w:lvlJc w:val="left"/>
      <w:pPr>
        <w:tabs>
          <w:tab w:val="num" w:pos="432"/>
        </w:tabs>
        <w:ind w:left="432" w:hanging="432"/>
      </w:pPr>
    </w:lvl>
    <w:lvl w:ilvl="1">
      <w:numFmt w:val="decimal"/>
      <w:pStyle w:val="Heading2"/>
      <w:lvlText w:val="%1.%2"/>
      <w:lvlJc w:val="left"/>
      <w:pPr>
        <w:tabs>
          <w:tab w:val="num" w:pos="576"/>
        </w:tabs>
        <w:ind w:left="576" w:hanging="576"/>
      </w:pPr>
    </w:lvl>
    <w:lvl w:ilvl="2">
      <w:start w:val="1"/>
      <w:numFmt w:val="decimal"/>
      <w:pStyle w:val="Heading3"/>
      <w:lvlText w:val="%1.%2.%3"/>
      <w:lvlJc w:val="left"/>
      <w:pPr>
        <w:tabs>
          <w:tab w:val="num" w:pos="900"/>
        </w:tabs>
        <w:ind w:left="900" w:hanging="720"/>
      </w:pPr>
    </w:lvl>
    <w:lvl w:ilvl="3">
      <w:start w:val="1"/>
      <w:numFmt w:val="decimal"/>
      <w:pStyle w:val="Heading4"/>
      <w:lvlText w:val="%1.%2.%3.%4"/>
      <w:lvlJc w:val="left"/>
      <w:pPr>
        <w:tabs>
          <w:tab w:val="num" w:pos="774"/>
        </w:tabs>
        <w:ind w:left="774" w:hanging="864"/>
      </w:pPr>
    </w:lvl>
    <w:lvl w:ilvl="4">
      <w:start w:val="1"/>
      <w:numFmt w:val="decimal"/>
      <w:pStyle w:val="Heading5"/>
      <w:lvlText w:val="%1.%2.%3.%4.%5"/>
      <w:lvlJc w:val="left"/>
      <w:pPr>
        <w:tabs>
          <w:tab w:val="num" w:pos="918"/>
        </w:tabs>
        <w:ind w:left="918" w:hanging="1008"/>
      </w:pPr>
    </w:lvl>
    <w:lvl w:ilvl="5">
      <w:start w:val="1"/>
      <w:numFmt w:val="decimal"/>
      <w:pStyle w:val="Heading6"/>
      <w:lvlText w:val="%1.%2.%3.%4.%5.%6"/>
      <w:lvlJc w:val="left"/>
      <w:pPr>
        <w:tabs>
          <w:tab w:val="num" w:pos="1062"/>
        </w:tabs>
        <w:ind w:left="1062" w:hanging="1152"/>
      </w:pPr>
    </w:lvl>
    <w:lvl w:ilvl="6">
      <w:start w:val="1"/>
      <w:numFmt w:val="decimal"/>
      <w:pStyle w:val="Heading7"/>
      <w:lvlText w:val="%1.%2.%3.%4.%5.%6.%7"/>
      <w:lvlJc w:val="left"/>
      <w:pPr>
        <w:tabs>
          <w:tab w:val="num" w:pos="1206"/>
        </w:tabs>
        <w:ind w:left="1206" w:hanging="1296"/>
      </w:pPr>
    </w:lvl>
    <w:lvl w:ilvl="7">
      <w:start w:val="1"/>
      <w:numFmt w:val="decimal"/>
      <w:pStyle w:val="Heading8"/>
      <w:lvlText w:val="%1.%2.%3.%4.%5.%6.%7.%8"/>
      <w:lvlJc w:val="left"/>
      <w:pPr>
        <w:tabs>
          <w:tab w:val="num" w:pos="1350"/>
        </w:tabs>
        <w:ind w:left="1350" w:hanging="1440"/>
      </w:pPr>
    </w:lvl>
    <w:lvl w:ilvl="8">
      <w:start w:val="1"/>
      <w:numFmt w:val="decimal"/>
      <w:pStyle w:val="Heading9"/>
      <w:lvlText w:val="%1.%2.%3.%4.%5.%6.%7.%8.%9"/>
      <w:lvlJc w:val="left"/>
      <w:pPr>
        <w:tabs>
          <w:tab w:val="num" w:pos="1494"/>
        </w:tabs>
        <w:ind w:left="1494" w:hanging="1584"/>
      </w:pPr>
    </w:lvl>
  </w:abstractNum>
  <w:abstractNum w:abstractNumId="10">
    <w:nsid w:val="1CC206D8"/>
    <w:multiLevelType w:val="hybridMultilevel"/>
    <w:tmpl w:val="8ED043AA"/>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2232199A"/>
    <w:multiLevelType w:val="hybridMultilevel"/>
    <w:tmpl w:val="9850AF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37D1B6C"/>
    <w:multiLevelType w:val="hybridMultilevel"/>
    <w:tmpl w:val="45400D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8B02796"/>
    <w:multiLevelType w:val="hybridMultilevel"/>
    <w:tmpl w:val="AB1E25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C892C80"/>
    <w:multiLevelType w:val="hybridMultilevel"/>
    <w:tmpl w:val="F2F06F26"/>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D2D41E6"/>
    <w:multiLevelType w:val="hybridMultilevel"/>
    <w:tmpl w:val="AEF67E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6150A86"/>
    <w:multiLevelType w:val="hybridMultilevel"/>
    <w:tmpl w:val="DC9246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C66600C"/>
    <w:multiLevelType w:val="hybridMultilevel"/>
    <w:tmpl w:val="CE82109E"/>
    <w:lvl w:ilvl="0" w:tplc="0DA4D262">
      <w:start w:val="1"/>
      <w:numFmt w:val="bullet"/>
      <w:lvlText w:val="•"/>
      <w:lvlJc w:val="left"/>
      <w:pPr>
        <w:tabs>
          <w:tab w:val="num" w:pos="360"/>
        </w:tabs>
        <w:ind w:left="36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0820B81"/>
    <w:multiLevelType w:val="hybridMultilevel"/>
    <w:tmpl w:val="4D60E1AE"/>
    <w:lvl w:ilvl="0" w:tplc="0409000F">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7C64CC8"/>
    <w:multiLevelType w:val="hybridMultilevel"/>
    <w:tmpl w:val="D4EAA62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4B571D65"/>
    <w:multiLevelType w:val="hybridMultilevel"/>
    <w:tmpl w:val="C6E002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FA238CF"/>
    <w:multiLevelType w:val="hybridMultilevel"/>
    <w:tmpl w:val="29805B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57247DF"/>
    <w:multiLevelType w:val="hybridMultilevel"/>
    <w:tmpl w:val="EEA017B2"/>
    <w:lvl w:ilvl="0" w:tplc="0DA4D262">
      <w:start w:val="1"/>
      <w:numFmt w:val="bullet"/>
      <w:lvlText w:val="•"/>
      <w:lvlJc w:val="left"/>
      <w:pPr>
        <w:tabs>
          <w:tab w:val="num" w:pos="360"/>
        </w:tabs>
        <w:ind w:left="36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BB87A55"/>
    <w:multiLevelType w:val="hybridMultilevel"/>
    <w:tmpl w:val="A6F21236"/>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nsid w:val="5FE35178"/>
    <w:multiLevelType w:val="hybridMultilevel"/>
    <w:tmpl w:val="83A2854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nsid w:val="682A52C2"/>
    <w:multiLevelType w:val="hybridMultilevel"/>
    <w:tmpl w:val="29E22B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C577826"/>
    <w:multiLevelType w:val="hybridMultilevel"/>
    <w:tmpl w:val="151E99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EE90465"/>
    <w:multiLevelType w:val="hybridMultilevel"/>
    <w:tmpl w:val="B4F48CA2"/>
    <w:lvl w:ilvl="0" w:tplc="A5EA7458">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FF36AFF"/>
    <w:multiLevelType w:val="hybridMultilevel"/>
    <w:tmpl w:val="D478903C"/>
    <w:lvl w:ilvl="0" w:tplc="E87A201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28"/>
  </w:num>
  <w:num w:numId="3">
    <w:abstractNumId w:val="8"/>
  </w:num>
  <w:num w:numId="4">
    <w:abstractNumId w:val="22"/>
  </w:num>
  <w:num w:numId="5">
    <w:abstractNumId w:val="17"/>
  </w:num>
  <w:num w:numId="6">
    <w:abstractNumId w:val="12"/>
  </w:num>
  <w:num w:numId="7">
    <w:abstractNumId w:val="25"/>
  </w:num>
  <w:num w:numId="8">
    <w:abstractNumId w:val="26"/>
  </w:num>
  <w:num w:numId="9">
    <w:abstractNumId w:val="10"/>
  </w:num>
  <w:num w:numId="10">
    <w:abstractNumId w:val="13"/>
  </w:num>
  <w:num w:numId="11">
    <w:abstractNumId w:val="7"/>
  </w:num>
  <w:num w:numId="12">
    <w:abstractNumId w:val="4"/>
  </w:num>
  <w:num w:numId="13">
    <w:abstractNumId w:val="21"/>
  </w:num>
  <w:num w:numId="14">
    <w:abstractNumId w:val="2"/>
  </w:num>
  <w:num w:numId="15">
    <w:abstractNumId w:val="11"/>
  </w:num>
  <w:num w:numId="16">
    <w:abstractNumId w:val="24"/>
  </w:num>
  <w:num w:numId="17">
    <w:abstractNumId w:val="23"/>
  </w:num>
  <w:num w:numId="18">
    <w:abstractNumId w:val="14"/>
  </w:num>
  <w:num w:numId="19">
    <w:abstractNumId w:val="18"/>
  </w:num>
  <w:num w:numId="20">
    <w:abstractNumId w:val="5"/>
  </w:num>
  <w:num w:numId="21">
    <w:abstractNumId w:val="20"/>
  </w:num>
  <w:num w:numId="22">
    <w:abstractNumId w:val="3"/>
  </w:num>
  <w:num w:numId="23">
    <w:abstractNumId w:val="19"/>
  </w:num>
  <w:num w:numId="24">
    <w:abstractNumId w:val="15"/>
  </w:num>
  <w:num w:numId="25">
    <w:abstractNumId w:val="27"/>
  </w:num>
  <w:num w:numId="26">
    <w:abstractNumId w:val="16"/>
  </w:num>
  <w:num w:numId="27">
    <w:abstractNumId w:val="1"/>
  </w:num>
  <w:num w:numId="28">
    <w:abstractNumId w:val="0"/>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ctiveWritingStyle w:appName="MSWord" w:lang="en-US" w:vendorID="64" w:dllVersion="131078" w:nlCheck="1" w:checkStyle="1"/>
  <w:activeWritingStyle w:appName="MSWord" w:lang="fr-FR" w:vendorID="64" w:dllVersion="131078" w:nlCheck="1" w:checkStyle="1"/>
  <w:activeWritingStyle w:appName="MSWord" w:lang="en-US" w:vendorID="64" w:dllVersion="131077"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forgetLastTabAlignment/>
    <w:doNotUseHTMLParagraphAutoSpacing/>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REFMGR.InstantFormat" w:val="&lt;InstantFormat&gt;&lt;Enabled&gt;1&lt;/Enabled&gt;&lt;ScanUnformatted&gt;1&lt;/ScanUnformatted&gt;&lt;ScanChanges&gt;1&lt;/ScanChanges&gt;&lt;/InstantFormat&gt;"/>
    <w:docVar w:name="REFMGR.Layout" w:val="&lt;Layout&gt;&lt;StartingRefnum&gt;New England Journal of Medicine&lt;/StartingRefnum&gt;&lt;FontName&gt;Times New Roman&lt;/FontName&gt;&lt;FontSize&gt;12&lt;/FontSize&gt;&lt;ReflistTitle&gt;Reference List&lt;/ReflistTitle&gt;&lt;SpaceAfter&gt;1&lt;/SpaceAfter&gt;&lt;ReflistOrder&gt;0&lt;/ReflistOrder&gt;&lt;CitationOrder&gt;0&lt;/CitationOrder&gt;&lt;NumberReferences&gt;1&lt;/NumberReferences&gt;&lt;FirstLineIndent&gt;0&lt;/FirstLineIndent&gt;&lt;HangingIndent&gt;0&lt;/HangingIndent&gt;&lt;LineSpacing&gt;0&lt;/LineSpacing&gt;&lt;ShowReprint&gt;1&lt;/ShowReprint&gt;&lt;ShowNotes&gt;0&lt;/ShowNotes&gt;&lt;ShowKeywords&gt;0&lt;/ShowKeywords&gt;&lt;ShortFormFields&gt;0&lt;/ShortFormFields&gt;&lt;ShowRecordID&gt;0&lt;/ShowRecordID&gt;&lt;ShowAbstract&gt;0&lt;/ShowAbstract&gt;&lt;/Layout&gt;"/>
    <w:docVar w:name="REFMGR.Libraries" w:val="&lt;Databases&gt;&lt;Libraries&gt;&lt;item&gt;Pfizer Protocol&lt;/item&gt;&lt;/Libraries&gt;&lt;/Databases&gt;"/>
  </w:docVars>
  <w:rsids>
    <w:rsidRoot w:val="00107A9E"/>
    <w:rsid w:val="00000710"/>
    <w:rsid w:val="00002774"/>
    <w:rsid w:val="00003B92"/>
    <w:rsid w:val="000059E8"/>
    <w:rsid w:val="00006226"/>
    <w:rsid w:val="00006ABA"/>
    <w:rsid w:val="00012699"/>
    <w:rsid w:val="00032D1D"/>
    <w:rsid w:val="00033AE8"/>
    <w:rsid w:val="00033BAB"/>
    <w:rsid w:val="00034672"/>
    <w:rsid w:val="00034771"/>
    <w:rsid w:val="00035953"/>
    <w:rsid w:val="000370A3"/>
    <w:rsid w:val="0003778D"/>
    <w:rsid w:val="00041A30"/>
    <w:rsid w:val="00041A42"/>
    <w:rsid w:val="00043886"/>
    <w:rsid w:val="0004433B"/>
    <w:rsid w:val="0004533F"/>
    <w:rsid w:val="0004735B"/>
    <w:rsid w:val="000611C8"/>
    <w:rsid w:val="00062108"/>
    <w:rsid w:val="00074067"/>
    <w:rsid w:val="00074FAB"/>
    <w:rsid w:val="00080408"/>
    <w:rsid w:val="00080721"/>
    <w:rsid w:val="00085810"/>
    <w:rsid w:val="00086847"/>
    <w:rsid w:val="000915B7"/>
    <w:rsid w:val="0009331F"/>
    <w:rsid w:val="000A20EF"/>
    <w:rsid w:val="000B01DD"/>
    <w:rsid w:val="000B121A"/>
    <w:rsid w:val="000B365C"/>
    <w:rsid w:val="000B40CD"/>
    <w:rsid w:val="000B4CE0"/>
    <w:rsid w:val="000B529D"/>
    <w:rsid w:val="000C715E"/>
    <w:rsid w:val="000D1720"/>
    <w:rsid w:val="000D446B"/>
    <w:rsid w:val="000D4598"/>
    <w:rsid w:val="000E146B"/>
    <w:rsid w:val="000E5ADB"/>
    <w:rsid w:val="000E6B8F"/>
    <w:rsid w:val="000F1F4B"/>
    <w:rsid w:val="000F2328"/>
    <w:rsid w:val="000F307A"/>
    <w:rsid w:val="000F4C60"/>
    <w:rsid w:val="000F74EC"/>
    <w:rsid w:val="00105D79"/>
    <w:rsid w:val="00107A9E"/>
    <w:rsid w:val="00110254"/>
    <w:rsid w:val="00111E50"/>
    <w:rsid w:val="0011476C"/>
    <w:rsid w:val="00114F53"/>
    <w:rsid w:val="00116C99"/>
    <w:rsid w:val="00126C6C"/>
    <w:rsid w:val="00127055"/>
    <w:rsid w:val="001308F0"/>
    <w:rsid w:val="001333D9"/>
    <w:rsid w:val="001334A2"/>
    <w:rsid w:val="001374F4"/>
    <w:rsid w:val="00140354"/>
    <w:rsid w:val="00140622"/>
    <w:rsid w:val="001548D2"/>
    <w:rsid w:val="0016065B"/>
    <w:rsid w:val="00163C28"/>
    <w:rsid w:val="00164939"/>
    <w:rsid w:val="001728FE"/>
    <w:rsid w:val="00182E2A"/>
    <w:rsid w:val="00184407"/>
    <w:rsid w:val="001863E0"/>
    <w:rsid w:val="00187E62"/>
    <w:rsid w:val="00192274"/>
    <w:rsid w:val="0019275E"/>
    <w:rsid w:val="00197468"/>
    <w:rsid w:val="001A79E8"/>
    <w:rsid w:val="001B2DEE"/>
    <w:rsid w:val="001B79A2"/>
    <w:rsid w:val="001C4864"/>
    <w:rsid w:val="001C5DF9"/>
    <w:rsid w:val="001C7A97"/>
    <w:rsid w:val="001D166C"/>
    <w:rsid w:val="001D299C"/>
    <w:rsid w:val="001E23D9"/>
    <w:rsid w:val="001E29BB"/>
    <w:rsid w:val="001E769E"/>
    <w:rsid w:val="001F0429"/>
    <w:rsid w:val="001F1915"/>
    <w:rsid w:val="001F51CD"/>
    <w:rsid w:val="001F6BCA"/>
    <w:rsid w:val="00200BB8"/>
    <w:rsid w:val="00204A03"/>
    <w:rsid w:val="00204C69"/>
    <w:rsid w:val="00213250"/>
    <w:rsid w:val="0021384B"/>
    <w:rsid w:val="00216D21"/>
    <w:rsid w:val="00222654"/>
    <w:rsid w:val="002270F8"/>
    <w:rsid w:val="002274C9"/>
    <w:rsid w:val="00227BF4"/>
    <w:rsid w:val="0023254F"/>
    <w:rsid w:val="00237B75"/>
    <w:rsid w:val="0024408B"/>
    <w:rsid w:val="00252C0D"/>
    <w:rsid w:val="00253257"/>
    <w:rsid w:val="00255A88"/>
    <w:rsid w:val="00281872"/>
    <w:rsid w:val="00284CD9"/>
    <w:rsid w:val="00286343"/>
    <w:rsid w:val="00287962"/>
    <w:rsid w:val="0029173A"/>
    <w:rsid w:val="00294BCA"/>
    <w:rsid w:val="00295963"/>
    <w:rsid w:val="002965B6"/>
    <w:rsid w:val="002A3854"/>
    <w:rsid w:val="002A7D95"/>
    <w:rsid w:val="002B160F"/>
    <w:rsid w:val="002B50D6"/>
    <w:rsid w:val="002C0760"/>
    <w:rsid w:val="002C0D33"/>
    <w:rsid w:val="002C7D7E"/>
    <w:rsid w:val="002D0226"/>
    <w:rsid w:val="002D0833"/>
    <w:rsid w:val="002D4643"/>
    <w:rsid w:val="002D5A9A"/>
    <w:rsid w:val="002D6A2C"/>
    <w:rsid w:val="002E03E4"/>
    <w:rsid w:val="002E15AF"/>
    <w:rsid w:val="002E1CE2"/>
    <w:rsid w:val="002E31A3"/>
    <w:rsid w:val="002E5E46"/>
    <w:rsid w:val="002F1FD5"/>
    <w:rsid w:val="00300970"/>
    <w:rsid w:val="003034C2"/>
    <w:rsid w:val="00305774"/>
    <w:rsid w:val="00312E1C"/>
    <w:rsid w:val="00317DCC"/>
    <w:rsid w:val="00320CA6"/>
    <w:rsid w:val="00326C18"/>
    <w:rsid w:val="00327DCC"/>
    <w:rsid w:val="003355F1"/>
    <w:rsid w:val="00336F86"/>
    <w:rsid w:val="0034619E"/>
    <w:rsid w:val="00346DD3"/>
    <w:rsid w:val="003478CE"/>
    <w:rsid w:val="00350BFB"/>
    <w:rsid w:val="00353C87"/>
    <w:rsid w:val="003540EB"/>
    <w:rsid w:val="00354AC4"/>
    <w:rsid w:val="0036178E"/>
    <w:rsid w:val="00364D1F"/>
    <w:rsid w:val="003778FE"/>
    <w:rsid w:val="003816CB"/>
    <w:rsid w:val="00385269"/>
    <w:rsid w:val="003868F6"/>
    <w:rsid w:val="0039158D"/>
    <w:rsid w:val="00392F7B"/>
    <w:rsid w:val="00393751"/>
    <w:rsid w:val="003958F0"/>
    <w:rsid w:val="0039640D"/>
    <w:rsid w:val="003965C3"/>
    <w:rsid w:val="00396E1F"/>
    <w:rsid w:val="00396FF5"/>
    <w:rsid w:val="003A0B8B"/>
    <w:rsid w:val="003A1F84"/>
    <w:rsid w:val="003A2916"/>
    <w:rsid w:val="003A62BA"/>
    <w:rsid w:val="003B33A0"/>
    <w:rsid w:val="003B3EE3"/>
    <w:rsid w:val="003B4527"/>
    <w:rsid w:val="003B79DA"/>
    <w:rsid w:val="003C00D7"/>
    <w:rsid w:val="003C0869"/>
    <w:rsid w:val="003C256E"/>
    <w:rsid w:val="003C48A2"/>
    <w:rsid w:val="003C779C"/>
    <w:rsid w:val="003D02C1"/>
    <w:rsid w:val="003E1331"/>
    <w:rsid w:val="003E3FC8"/>
    <w:rsid w:val="003E5685"/>
    <w:rsid w:val="003E59A1"/>
    <w:rsid w:val="003F3C1B"/>
    <w:rsid w:val="003F3F86"/>
    <w:rsid w:val="003F47A4"/>
    <w:rsid w:val="003F650C"/>
    <w:rsid w:val="0040013B"/>
    <w:rsid w:val="004063DD"/>
    <w:rsid w:val="00411629"/>
    <w:rsid w:val="0041333A"/>
    <w:rsid w:val="00424B2C"/>
    <w:rsid w:val="004401CE"/>
    <w:rsid w:val="00444C72"/>
    <w:rsid w:val="00450851"/>
    <w:rsid w:val="00451C6A"/>
    <w:rsid w:val="00451F88"/>
    <w:rsid w:val="004522D0"/>
    <w:rsid w:val="0045675B"/>
    <w:rsid w:val="0046268A"/>
    <w:rsid w:val="004706CE"/>
    <w:rsid w:val="00470B4A"/>
    <w:rsid w:val="00485EFE"/>
    <w:rsid w:val="00492C50"/>
    <w:rsid w:val="0049333A"/>
    <w:rsid w:val="004A21DE"/>
    <w:rsid w:val="004A2BCC"/>
    <w:rsid w:val="004A33BF"/>
    <w:rsid w:val="004B4228"/>
    <w:rsid w:val="004B7399"/>
    <w:rsid w:val="004B7BF1"/>
    <w:rsid w:val="004C320C"/>
    <w:rsid w:val="004C548D"/>
    <w:rsid w:val="004D7EA9"/>
    <w:rsid w:val="004E2E20"/>
    <w:rsid w:val="004E343F"/>
    <w:rsid w:val="004E7A54"/>
    <w:rsid w:val="004F23C8"/>
    <w:rsid w:val="004F41D7"/>
    <w:rsid w:val="004F5FE8"/>
    <w:rsid w:val="00500347"/>
    <w:rsid w:val="00501955"/>
    <w:rsid w:val="00502706"/>
    <w:rsid w:val="00504E78"/>
    <w:rsid w:val="0050684B"/>
    <w:rsid w:val="00507725"/>
    <w:rsid w:val="005126A4"/>
    <w:rsid w:val="005136F4"/>
    <w:rsid w:val="00514FF7"/>
    <w:rsid w:val="005155D2"/>
    <w:rsid w:val="005176E1"/>
    <w:rsid w:val="0053409B"/>
    <w:rsid w:val="005364A7"/>
    <w:rsid w:val="0053756E"/>
    <w:rsid w:val="00545387"/>
    <w:rsid w:val="00553827"/>
    <w:rsid w:val="005624FD"/>
    <w:rsid w:val="00562FD9"/>
    <w:rsid w:val="0056716D"/>
    <w:rsid w:val="00574203"/>
    <w:rsid w:val="005750B5"/>
    <w:rsid w:val="00575C2B"/>
    <w:rsid w:val="00583832"/>
    <w:rsid w:val="0059176D"/>
    <w:rsid w:val="005A350B"/>
    <w:rsid w:val="005A6381"/>
    <w:rsid w:val="005B0204"/>
    <w:rsid w:val="005C1AE6"/>
    <w:rsid w:val="005C4310"/>
    <w:rsid w:val="005C4681"/>
    <w:rsid w:val="005C4AFE"/>
    <w:rsid w:val="005C5E5A"/>
    <w:rsid w:val="005D150B"/>
    <w:rsid w:val="005D30E7"/>
    <w:rsid w:val="005D5620"/>
    <w:rsid w:val="005E0ED4"/>
    <w:rsid w:val="005E3F6F"/>
    <w:rsid w:val="005E5884"/>
    <w:rsid w:val="005F1486"/>
    <w:rsid w:val="005F2888"/>
    <w:rsid w:val="005F2B00"/>
    <w:rsid w:val="005F5579"/>
    <w:rsid w:val="005F7778"/>
    <w:rsid w:val="006052B2"/>
    <w:rsid w:val="00605EF3"/>
    <w:rsid w:val="00606C6F"/>
    <w:rsid w:val="00610347"/>
    <w:rsid w:val="006104A0"/>
    <w:rsid w:val="006155FC"/>
    <w:rsid w:val="00616CDE"/>
    <w:rsid w:val="00617E0B"/>
    <w:rsid w:val="006265D7"/>
    <w:rsid w:val="0063026B"/>
    <w:rsid w:val="00630AB7"/>
    <w:rsid w:val="006415F9"/>
    <w:rsid w:val="0064652D"/>
    <w:rsid w:val="00647B59"/>
    <w:rsid w:val="0065068C"/>
    <w:rsid w:val="0065793F"/>
    <w:rsid w:val="00667939"/>
    <w:rsid w:val="00667995"/>
    <w:rsid w:val="006712ED"/>
    <w:rsid w:val="0068044A"/>
    <w:rsid w:val="0068137B"/>
    <w:rsid w:val="00682FDA"/>
    <w:rsid w:val="006866CB"/>
    <w:rsid w:val="006905EF"/>
    <w:rsid w:val="00690C85"/>
    <w:rsid w:val="006931A4"/>
    <w:rsid w:val="00694DFF"/>
    <w:rsid w:val="00695CEF"/>
    <w:rsid w:val="006A4E09"/>
    <w:rsid w:val="006A61D7"/>
    <w:rsid w:val="006A6F2C"/>
    <w:rsid w:val="006B44B2"/>
    <w:rsid w:val="006B54A6"/>
    <w:rsid w:val="006C1296"/>
    <w:rsid w:val="006C5C69"/>
    <w:rsid w:val="006D1B85"/>
    <w:rsid w:val="006E22C0"/>
    <w:rsid w:val="006F318F"/>
    <w:rsid w:val="006F541F"/>
    <w:rsid w:val="006F6E65"/>
    <w:rsid w:val="00702547"/>
    <w:rsid w:val="007025EF"/>
    <w:rsid w:val="0070372B"/>
    <w:rsid w:val="00706A77"/>
    <w:rsid w:val="007071E2"/>
    <w:rsid w:val="00721430"/>
    <w:rsid w:val="00722429"/>
    <w:rsid w:val="00724D89"/>
    <w:rsid w:val="00724FD8"/>
    <w:rsid w:val="00726966"/>
    <w:rsid w:val="007419C2"/>
    <w:rsid w:val="00742210"/>
    <w:rsid w:val="0074703D"/>
    <w:rsid w:val="007563E7"/>
    <w:rsid w:val="0076096F"/>
    <w:rsid w:val="00761EE7"/>
    <w:rsid w:val="00761F53"/>
    <w:rsid w:val="00763223"/>
    <w:rsid w:val="00765275"/>
    <w:rsid w:val="007753F4"/>
    <w:rsid w:val="00777F91"/>
    <w:rsid w:val="00782535"/>
    <w:rsid w:val="00785CFF"/>
    <w:rsid w:val="00786C83"/>
    <w:rsid w:val="00793515"/>
    <w:rsid w:val="00797AE1"/>
    <w:rsid w:val="007B0821"/>
    <w:rsid w:val="007B5791"/>
    <w:rsid w:val="007B6752"/>
    <w:rsid w:val="007C3549"/>
    <w:rsid w:val="007C3707"/>
    <w:rsid w:val="007C448C"/>
    <w:rsid w:val="007D0A7D"/>
    <w:rsid w:val="007D2E66"/>
    <w:rsid w:val="007D3756"/>
    <w:rsid w:val="007D4A19"/>
    <w:rsid w:val="007D6903"/>
    <w:rsid w:val="007D6DCA"/>
    <w:rsid w:val="007E17F2"/>
    <w:rsid w:val="007E7599"/>
    <w:rsid w:val="007F18C1"/>
    <w:rsid w:val="007F233D"/>
    <w:rsid w:val="007F32D8"/>
    <w:rsid w:val="007F4D0C"/>
    <w:rsid w:val="007F56DB"/>
    <w:rsid w:val="007F7236"/>
    <w:rsid w:val="00800544"/>
    <w:rsid w:val="0080317C"/>
    <w:rsid w:val="00803E4F"/>
    <w:rsid w:val="008061BD"/>
    <w:rsid w:val="00811778"/>
    <w:rsid w:val="00812AD1"/>
    <w:rsid w:val="0081436C"/>
    <w:rsid w:val="00814BC8"/>
    <w:rsid w:val="00816CFF"/>
    <w:rsid w:val="008200F1"/>
    <w:rsid w:val="00831C28"/>
    <w:rsid w:val="00835049"/>
    <w:rsid w:val="0084014A"/>
    <w:rsid w:val="00840298"/>
    <w:rsid w:val="00842D00"/>
    <w:rsid w:val="008445B1"/>
    <w:rsid w:val="00845615"/>
    <w:rsid w:val="00847FFB"/>
    <w:rsid w:val="00854153"/>
    <w:rsid w:val="00855E7D"/>
    <w:rsid w:val="00861993"/>
    <w:rsid w:val="00862C58"/>
    <w:rsid w:val="0086466F"/>
    <w:rsid w:val="008702E9"/>
    <w:rsid w:val="0087217B"/>
    <w:rsid w:val="00875959"/>
    <w:rsid w:val="00875B86"/>
    <w:rsid w:val="00875BF3"/>
    <w:rsid w:val="00876086"/>
    <w:rsid w:val="00877AA8"/>
    <w:rsid w:val="00880F0F"/>
    <w:rsid w:val="00883A5E"/>
    <w:rsid w:val="00883CED"/>
    <w:rsid w:val="008907DC"/>
    <w:rsid w:val="00893F83"/>
    <w:rsid w:val="008974B1"/>
    <w:rsid w:val="008A10E3"/>
    <w:rsid w:val="008A17F2"/>
    <w:rsid w:val="008A4052"/>
    <w:rsid w:val="008A6A4F"/>
    <w:rsid w:val="008B014A"/>
    <w:rsid w:val="008B42F9"/>
    <w:rsid w:val="008B54B9"/>
    <w:rsid w:val="008C3AE6"/>
    <w:rsid w:val="008C3B7C"/>
    <w:rsid w:val="008C4887"/>
    <w:rsid w:val="008C68B9"/>
    <w:rsid w:val="008D11CB"/>
    <w:rsid w:val="008D291C"/>
    <w:rsid w:val="008D2B03"/>
    <w:rsid w:val="008D396D"/>
    <w:rsid w:val="008D5B7B"/>
    <w:rsid w:val="008E0536"/>
    <w:rsid w:val="008E5DF6"/>
    <w:rsid w:val="008E6201"/>
    <w:rsid w:val="008E6FA4"/>
    <w:rsid w:val="008F2175"/>
    <w:rsid w:val="008F3250"/>
    <w:rsid w:val="008F4332"/>
    <w:rsid w:val="008F640F"/>
    <w:rsid w:val="008F664E"/>
    <w:rsid w:val="00900B99"/>
    <w:rsid w:val="00903055"/>
    <w:rsid w:val="00904B0C"/>
    <w:rsid w:val="00910C16"/>
    <w:rsid w:val="0091247A"/>
    <w:rsid w:val="00921AA8"/>
    <w:rsid w:val="00922D72"/>
    <w:rsid w:val="00926392"/>
    <w:rsid w:val="0092691C"/>
    <w:rsid w:val="00930C32"/>
    <w:rsid w:val="00931E3C"/>
    <w:rsid w:val="00932811"/>
    <w:rsid w:val="009371B5"/>
    <w:rsid w:val="0093790D"/>
    <w:rsid w:val="00941DD9"/>
    <w:rsid w:val="00943C42"/>
    <w:rsid w:val="00944952"/>
    <w:rsid w:val="00952EFA"/>
    <w:rsid w:val="0095676B"/>
    <w:rsid w:val="009574C7"/>
    <w:rsid w:val="009675D9"/>
    <w:rsid w:val="00971EE8"/>
    <w:rsid w:val="00976575"/>
    <w:rsid w:val="00982111"/>
    <w:rsid w:val="009909D4"/>
    <w:rsid w:val="00995EA9"/>
    <w:rsid w:val="00997124"/>
    <w:rsid w:val="009B2B32"/>
    <w:rsid w:val="009B30E1"/>
    <w:rsid w:val="009B7A28"/>
    <w:rsid w:val="009C0492"/>
    <w:rsid w:val="009C16B4"/>
    <w:rsid w:val="009C375C"/>
    <w:rsid w:val="009C4D11"/>
    <w:rsid w:val="009D08F2"/>
    <w:rsid w:val="009D0AE7"/>
    <w:rsid w:val="009D1E52"/>
    <w:rsid w:val="009D4F5D"/>
    <w:rsid w:val="009D6738"/>
    <w:rsid w:val="009D755C"/>
    <w:rsid w:val="009E0F29"/>
    <w:rsid w:val="009E2C5A"/>
    <w:rsid w:val="009E346E"/>
    <w:rsid w:val="009E3898"/>
    <w:rsid w:val="009E462F"/>
    <w:rsid w:val="009F08CF"/>
    <w:rsid w:val="009F0DFD"/>
    <w:rsid w:val="009F3F26"/>
    <w:rsid w:val="009F51DB"/>
    <w:rsid w:val="009F624B"/>
    <w:rsid w:val="009F7381"/>
    <w:rsid w:val="00A03863"/>
    <w:rsid w:val="00A0766A"/>
    <w:rsid w:val="00A10046"/>
    <w:rsid w:val="00A134F8"/>
    <w:rsid w:val="00A14864"/>
    <w:rsid w:val="00A16EA6"/>
    <w:rsid w:val="00A17B6A"/>
    <w:rsid w:val="00A21B20"/>
    <w:rsid w:val="00A24185"/>
    <w:rsid w:val="00A244F4"/>
    <w:rsid w:val="00A2619C"/>
    <w:rsid w:val="00A320D5"/>
    <w:rsid w:val="00A32601"/>
    <w:rsid w:val="00A33B74"/>
    <w:rsid w:val="00A34D02"/>
    <w:rsid w:val="00A37B29"/>
    <w:rsid w:val="00A40950"/>
    <w:rsid w:val="00A458AD"/>
    <w:rsid w:val="00A46092"/>
    <w:rsid w:val="00A464A7"/>
    <w:rsid w:val="00A47B29"/>
    <w:rsid w:val="00A50301"/>
    <w:rsid w:val="00A50E4C"/>
    <w:rsid w:val="00A53AE3"/>
    <w:rsid w:val="00A57A36"/>
    <w:rsid w:val="00A65E18"/>
    <w:rsid w:val="00A703FE"/>
    <w:rsid w:val="00A823C0"/>
    <w:rsid w:val="00A933F6"/>
    <w:rsid w:val="00A941FC"/>
    <w:rsid w:val="00A94223"/>
    <w:rsid w:val="00A96710"/>
    <w:rsid w:val="00A97627"/>
    <w:rsid w:val="00AA585B"/>
    <w:rsid w:val="00AA70FD"/>
    <w:rsid w:val="00AA7606"/>
    <w:rsid w:val="00AB264F"/>
    <w:rsid w:val="00AB2D65"/>
    <w:rsid w:val="00AB4204"/>
    <w:rsid w:val="00AC02AC"/>
    <w:rsid w:val="00AC1E92"/>
    <w:rsid w:val="00AC364D"/>
    <w:rsid w:val="00AC6DC3"/>
    <w:rsid w:val="00AD17A6"/>
    <w:rsid w:val="00AD3EC3"/>
    <w:rsid w:val="00AE028A"/>
    <w:rsid w:val="00AE282D"/>
    <w:rsid w:val="00AE5F19"/>
    <w:rsid w:val="00AE7C0D"/>
    <w:rsid w:val="00AF2AB3"/>
    <w:rsid w:val="00AF2ECB"/>
    <w:rsid w:val="00AF3E41"/>
    <w:rsid w:val="00B03A2C"/>
    <w:rsid w:val="00B04DF7"/>
    <w:rsid w:val="00B0728C"/>
    <w:rsid w:val="00B16D82"/>
    <w:rsid w:val="00B17236"/>
    <w:rsid w:val="00B20A15"/>
    <w:rsid w:val="00B2541D"/>
    <w:rsid w:val="00B30015"/>
    <w:rsid w:val="00B313C8"/>
    <w:rsid w:val="00B347B0"/>
    <w:rsid w:val="00B36C12"/>
    <w:rsid w:val="00B42D2F"/>
    <w:rsid w:val="00B43F3C"/>
    <w:rsid w:val="00B44928"/>
    <w:rsid w:val="00B44E35"/>
    <w:rsid w:val="00B475D3"/>
    <w:rsid w:val="00B50165"/>
    <w:rsid w:val="00B531C2"/>
    <w:rsid w:val="00B563E8"/>
    <w:rsid w:val="00B640E3"/>
    <w:rsid w:val="00B6609C"/>
    <w:rsid w:val="00B7068B"/>
    <w:rsid w:val="00B71648"/>
    <w:rsid w:val="00B81351"/>
    <w:rsid w:val="00B83656"/>
    <w:rsid w:val="00B855C9"/>
    <w:rsid w:val="00B87E38"/>
    <w:rsid w:val="00B934D3"/>
    <w:rsid w:val="00B9756D"/>
    <w:rsid w:val="00BD047A"/>
    <w:rsid w:val="00BD1B16"/>
    <w:rsid w:val="00BD2DC7"/>
    <w:rsid w:val="00BD5BDF"/>
    <w:rsid w:val="00BD7821"/>
    <w:rsid w:val="00BE0C64"/>
    <w:rsid w:val="00BE6D35"/>
    <w:rsid w:val="00BF1D95"/>
    <w:rsid w:val="00BF592C"/>
    <w:rsid w:val="00BF724C"/>
    <w:rsid w:val="00C002DE"/>
    <w:rsid w:val="00C1114F"/>
    <w:rsid w:val="00C11FCC"/>
    <w:rsid w:val="00C224CE"/>
    <w:rsid w:val="00C247E9"/>
    <w:rsid w:val="00C2680F"/>
    <w:rsid w:val="00C3209B"/>
    <w:rsid w:val="00C32103"/>
    <w:rsid w:val="00C34242"/>
    <w:rsid w:val="00C352B0"/>
    <w:rsid w:val="00C4341A"/>
    <w:rsid w:val="00C43487"/>
    <w:rsid w:val="00C509B4"/>
    <w:rsid w:val="00C51495"/>
    <w:rsid w:val="00C53F84"/>
    <w:rsid w:val="00C546BB"/>
    <w:rsid w:val="00C555C9"/>
    <w:rsid w:val="00C60972"/>
    <w:rsid w:val="00C6108D"/>
    <w:rsid w:val="00C6230B"/>
    <w:rsid w:val="00C70044"/>
    <w:rsid w:val="00C80D53"/>
    <w:rsid w:val="00C86742"/>
    <w:rsid w:val="00C90E83"/>
    <w:rsid w:val="00C96295"/>
    <w:rsid w:val="00CA1CE8"/>
    <w:rsid w:val="00CA23EC"/>
    <w:rsid w:val="00CA544F"/>
    <w:rsid w:val="00CB0293"/>
    <w:rsid w:val="00CB17F8"/>
    <w:rsid w:val="00CB7F71"/>
    <w:rsid w:val="00CC33A8"/>
    <w:rsid w:val="00CC61F8"/>
    <w:rsid w:val="00CD30F5"/>
    <w:rsid w:val="00CD5C8E"/>
    <w:rsid w:val="00CD5D21"/>
    <w:rsid w:val="00CD5DC7"/>
    <w:rsid w:val="00CD620D"/>
    <w:rsid w:val="00CE32E2"/>
    <w:rsid w:val="00CE4451"/>
    <w:rsid w:val="00CE709A"/>
    <w:rsid w:val="00CE730C"/>
    <w:rsid w:val="00CF1F4D"/>
    <w:rsid w:val="00CF2F64"/>
    <w:rsid w:val="00CF34C5"/>
    <w:rsid w:val="00CF7830"/>
    <w:rsid w:val="00D000E1"/>
    <w:rsid w:val="00D00213"/>
    <w:rsid w:val="00D05E90"/>
    <w:rsid w:val="00D10D34"/>
    <w:rsid w:val="00D156D6"/>
    <w:rsid w:val="00D2096F"/>
    <w:rsid w:val="00D220B4"/>
    <w:rsid w:val="00D228F6"/>
    <w:rsid w:val="00D26BAB"/>
    <w:rsid w:val="00D32FE4"/>
    <w:rsid w:val="00D35376"/>
    <w:rsid w:val="00D36B50"/>
    <w:rsid w:val="00D37A3E"/>
    <w:rsid w:val="00D4017C"/>
    <w:rsid w:val="00D44264"/>
    <w:rsid w:val="00D47D22"/>
    <w:rsid w:val="00D52538"/>
    <w:rsid w:val="00D5454C"/>
    <w:rsid w:val="00D563AE"/>
    <w:rsid w:val="00D57E14"/>
    <w:rsid w:val="00D609FE"/>
    <w:rsid w:val="00D614C5"/>
    <w:rsid w:val="00D64C17"/>
    <w:rsid w:val="00D6715A"/>
    <w:rsid w:val="00D70006"/>
    <w:rsid w:val="00D743FA"/>
    <w:rsid w:val="00D749E8"/>
    <w:rsid w:val="00D75656"/>
    <w:rsid w:val="00D7681C"/>
    <w:rsid w:val="00D76BA9"/>
    <w:rsid w:val="00D77AF5"/>
    <w:rsid w:val="00D8124B"/>
    <w:rsid w:val="00D82F7B"/>
    <w:rsid w:val="00D87703"/>
    <w:rsid w:val="00D91E35"/>
    <w:rsid w:val="00D93A47"/>
    <w:rsid w:val="00D956D0"/>
    <w:rsid w:val="00D96D66"/>
    <w:rsid w:val="00D97F78"/>
    <w:rsid w:val="00DA17A6"/>
    <w:rsid w:val="00DA5010"/>
    <w:rsid w:val="00DA5412"/>
    <w:rsid w:val="00DA690C"/>
    <w:rsid w:val="00DA733A"/>
    <w:rsid w:val="00DA79A1"/>
    <w:rsid w:val="00DB5922"/>
    <w:rsid w:val="00DB60F5"/>
    <w:rsid w:val="00DB71C0"/>
    <w:rsid w:val="00DC4F17"/>
    <w:rsid w:val="00DC511B"/>
    <w:rsid w:val="00DC5E61"/>
    <w:rsid w:val="00DD0206"/>
    <w:rsid w:val="00DD1485"/>
    <w:rsid w:val="00DD59FD"/>
    <w:rsid w:val="00DE0EE2"/>
    <w:rsid w:val="00DE5FCC"/>
    <w:rsid w:val="00DE6351"/>
    <w:rsid w:val="00DF1BAA"/>
    <w:rsid w:val="00DF3789"/>
    <w:rsid w:val="00E0074E"/>
    <w:rsid w:val="00E01B10"/>
    <w:rsid w:val="00E01E55"/>
    <w:rsid w:val="00E025C5"/>
    <w:rsid w:val="00E03178"/>
    <w:rsid w:val="00E05AC5"/>
    <w:rsid w:val="00E0723F"/>
    <w:rsid w:val="00E100FA"/>
    <w:rsid w:val="00E10A97"/>
    <w:rsid w:val="00E14530"/>
    <w:rsid w:val="00E15614"/>
    <w:rsid w:val="00E16D9A"/>
    <w:rsid w:val="00E23477"/>
    <w:rsid w:val="00E27E25"/>
    <w:rsid w:val="00E3275F"/>
    <w:rsid w:val="00E338F2"/>
    <w:rsid w:val="00E33FAE"/>
    <w:rsid w:val="00E342EF"/>
    <w:rsid w:val="00E36253"/>
    <w:rsid w:val="00E521A4"/>
    <w:rsid w:val="00E5246F"/>
    <w:rsid w:val="00E55C18"/>
    <w:rsid w:val="00E56DCB"/>
    <w:rsid w:val="00E6428D"/>
    <w:rsid w:val="00E648B8"/>
    <w:rsid w:val="00E66447"/>
    <w:rsid w:val="00E7256D"/>
    <w:rsid w:val="00E80616"/>
    <w:rsid w:val="00E81A59"/>
    <w:rsid w:val="00E842BF"/>
    <w:rsid w:val="00E85768"/>
    <w:rsid w:val="00E95186"/>
    <w:rsid w:val="00E95D6A"/>
    <w:rsid w:val="00EC1FDA"/>
    <w:rsid w:val="00EC53A6"/>
    <w:rsid w:val="00ED414F"/>
    <w:rsid w:val="00ED7C55"/>
    <w:rsid w:val="00EE06BB"/>
    <w:rsid w:val="00EE157C"/>
    <w:rsid w:val="00EE1A4C"/>
    <w:rsid w:val="00EF33C4"/>
    <w:rsid w:val="00EF3568"/>
    <w:rsid w:val="00F000D0"/>
    <w:rsid w:val="00F04329"/>
    <w:rsid w:val="00F07C2D"/>
    <w:rsid w:val="00F115BD"/>
    <w:rsid w:val="00F1400E"/>
    <w:rsid w:val="00F15117"/>
    <w:rsid w:val="00F1693E"/>
    <w:rsid w:val="00F16DF1"/>
    <w:rsid w:val="00F17A60"/>
    <w:rsid w:val="00F21351"/>
    <w:rsid w:val="00F21486"/>
    <w:rsid w:val="00F228AE"/>
    <w:rsid w:val="00F30042"/>
    <w:rsid w:val="00F32573"/>
    <w:rsid w:val="00F33328"/>
    <w:rsid w:val="00F3369B"/>
    <w:rsid w:val="00F33A1E"/>
    <w:rsid w:val="00F55BB5"/>
    <w:rsid w:val="00F56A4A"/>
    <w:rsid w:val="00F622F6"/>
    <w:rsid w:val="00F641AC"/>
    <w:rsid w:val="00F76405"/>
    <w:rsid w:val="00F80BF8"/>
    <w:rsid w:val="00F82ACA"/>
    <w:rsid w:val="00F8478A"/>
    <w:rsid w:val="00F95529"/>
    <w:rsid w:val="00FA79C1"/>
    <w:rsid w:val="00FB0105"/>
    <w:rsid w:val="00FB3B07"/>
    <w:rsid w:val="00FB3FCD"/>
    <w:rsid w:val="00FB56E7"/>
    <w:rsid w:val="00FB60A8"/>
    <w:rsid w:val="00FB786F"/>
    <w:rsid w:val="00FC1BDA"/>
    <w:rsid w:val="00FC67D5"/>
    <w:rsid w:val="00FD1139"/>
    <w:rsid w:val="00FD1EDA"/>
    <w:rsid w:val="00FD236D"/>
    <w:rsid w:val="00FD2D89"/>
    <w:rsid w:val="00FD3B29"/>
    <w:rsid w:val="00FD6108"/>
    <w:rsid w:val="00FE19A8"/>
    <w:rsid w:val="00FE4B36"/>
    <w:rsid w:val="00FE5549"/>
    <w:rsid w:val="00FE5B5A"/>
    <w:rsid w:val="00FE6014"/>
    <w:rsid w:val="00FF72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06A77"/>
    <w:pPr>
      <w:spacing w:before="60" w:after="60"/>
    </w:pPr>
    <w:rPr>
      <w:sz w:val="22"/>
    </w:rPr>
  </w:style>
  <w:style w:type="paragraph" w:styleId="Heading1">
    <w:name w:val="heading 1"/>
    <w:basedOn w:val="Normal"/>
    <w:next w:val="Normal"/>
    <w:qFormat/>
    <w:rsid w:val="00706A77"/>
    <w:pPr>
      <w:keepNext/>
      <w:numPr>
        <w:numId w:val="1"/>
      </w:numPr>
      <w:spacing w:before="120"/>
      <w:outlineLvl w:val="0"/>
    </w:pPr>
    <w:rPr>
      <w:rFonts w:ascii="Arial" w:hAnsi="Arial"/>
      <w:b/>
      <w:sz w:val="28"/>
    </w:rPr>
  </w:style>
  <w:style w:type="paragraph" w:styleId="Heading2">
    <w:name w:val="heading 2"/>
    <w:basedOn w:val="Normal"/>
    <w:next w:val="Normal"/>
    <w:qFormat/>
    <w:rsid w:val="00706A77"/>
    <w:pPr>
      <w:keepNext/>
      <w:numPr>
        <w:ilvl w:val="1"/>
        <w:numId w:val="1"/>
      </w:numPr>
      <w:outlineLvl w:val="1"/>
    </w:pPr>
    <w:rPr>
      <w:b/>
      <w:sz w:val="24"/>
    </w:rPr>
  </w:style>
  <w:style w:type="paragraph" w:styleId="Heading3">
    <w:name w:val="heading 3"/>
    <w:basedOn w:val="Normal"/>
    <w:next w:val="Normal"/>
    <w:qFormat/>
    <w:rsid w:val="00706A77"/>
    <w:pPr>
      <w:keepNext/>
      <w:numPr>
        <w:ilvl w:val="2"/>
        <w:numId w:val="1"/>
      </w:numPr>
      <w:jc w:val="center"/>
      <w:outlineLvl w:val="2"/>
    </w:pPr>
    <w:rPr>
      <w:b/>
      <w:sz w:val="24"/>
    </w:rPr>
  </w:style>
  <w:style w:type="paragraph" w:styleId="Heading4">
    <w:name w:val="heading 4"/>
    <w:basedOn w:val="Normal"/>
    <w:next w:val="Normal"/>
    <w:qFormat/>
    <w:rsid w:val="00706A77"/>
    <w:pPr>
      <w:keepNext/>
      <w:numPr>
        <w:ilvl w:val="3"/>
        <w:numId w:val="1"/>
      </w:numPr>
      <w:outlineLvl w:val="3"/>
    </w:pPr>
    <w:rPr>
      <w:b/>
      <w:snapToGrid w:val="0"/>
      <w:sz w:val="28"/>
    </w:rPr>
  </w:style>
  <w:style w:type="paragraph" w:styleId="Heading5">
    <w:name w:val="heading 5"/>
    <w:basedOn w:val="Normal"/>
    <w:next w:val="Normal"/>
    <w:qFormat/>
    <w:rsid w:val="00706A77"/>
    <w:pPr>
      <w:keepNext/>
      <w:numPr>
        <w:ilvl w:val="4"/>
        <w:numId w:val="1"/>
      </w:numPr>
      <w:jc w:val="center"/>
      <w:outlineLvl w:val="4"/>
    </w:pPr>
    <w:rPr>
      <w:snapToGrid w:val="0"/>
      <w:sz w:val="28"/>
    </w:rPr>
  </w:style>
  <w:style w:type="paragraph" w:styleId="Heading6">
    <w:name w:val="heading 6"/>
    <w:basedOn w:val="Normal"/>
    <w:next w:val="Normal"/>
    <w:qFormat/>
    <w:rsid w:val="00706A77"/>
    <w:pPr>
      <w:keepNext/>
      <w:numPr>
        <w:ilvl w:val="5"/>
        <w:numId w:val="1"/>
      </w:numPr>
      <w:outlineLvl w:val="5"/>
    </w:pPr>
    <w:rPr>
      <w:sz w:val="28"/>
    </w:rPr>
  </w:style>
  <w:style w:type="paragraph" w:styleId="Heading7">
    <w:name w:val="heading 7"/>
    <w:basedOn w:val="Normal"/>
    <w:next w:val="Normal"/>
    <w:qFormat/>
    <w:rsid w:val="00706A77"/>
    <w:pPr>
      <w:keepNext/>
      <w:numPr>
        <w:ilvl w:val="6"/>
        <w:numId w:val="1"/>
      </w:numPr>
      <w:outlineLvl w:val="6"/>
    </w:pPr>
    <w:rPr>
      <w:sz w:val="24"/>
    </w:rPr>
  </w:style>
  <w:style w:type="paragraph" w:styleId="Heading8">
    <w:name w:val="heading 8"/>
    <w:basedOn w:val="Normal"/>
    <w:next w:val="Normal"/>
    <w:qFormat/>
    <w:rsid w:val="00706A77"/>
    <w:pPr>
      <w:keepNext/>
      <w:numPr>
        <w:ilvl w:val="7"/>
        <w:numId w:val="1"/>
      </w:numPr>
      <w:jc w:val="center"/>
      <w:outlineLvl w:val="7"/>
    </w:pPr>
    <w:rPr>
      <w:b/>
      <w:sz w:val="28"/>
    </w:rPr>
  </w:style>
  <w:style w:type="paragraph" w:styleId="Heading9">
    <w:name w:val="heading 9"/>
    <w:basedOn w:val="Normal"/>
    <w:next w:val="Normal"/>
    <w:qFormat/>
    <w:rsid w:val="00706A77"/>
    <w:pPr>
      <w:keepNext/>
      <w:numPr>
        <w:ilvl w:val="8"/>
        <w:numId w:val="1"/>
      </w:numP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06A77"/>
    <w:pPr>
      <w:jc w:val="center"/>
    </w:pPr>
    <w:rPr>
      <w:sz w:val="28"/>
    </w:rPr>
  </w:style>
  <w:style w:type="paragraph" w:styleId="BodyText">
    <w:name w:val="Body Text"/>
    <w:basedOn w:val="Normal"/>
    <w:rsid w:val="00706A77"/>
    <w:rPr>
      <w:b/>
      <w:sz w:val="32"/>
    </w:rPr>
  </w:style>
  <w:style w:type="paragraph" w:styleId="BodyText2">
    <w:name w:val="Body Text 2"/>
    <w:basedOn w:val="Normal"/>
    <w:rsid w:val="00706A77"/>
    <w:rPr>
      <w:snapToGrid w:val="0"/>
      <w:sz w:val="24"/>
    </w:rPr>
  </w:style>
  <w:style w:type="paragraph" w:styleId="BodyText3">
    <w:name w:val="Body Text 3"/>
    <w:basedOn w:val="Normal"/>
    <w:rsid w:val="00706A77"/>
    <w:pPr>
      <w:jc w:val="center"/>
    </w:pPr>
    <w:rPr>
      <w:sz w:val="28"/>
    </w:rPr>
  </w:style>
  <w:style w:type="paragraph" w:styleId="Footer">
    <w:name w:val="footer"/>
    <w:basedOn w:val="Normal"/>
    <w:rsid w:val="00706A77"/>
    <w:pPr>
      <w:tabs>
        <w:tab w:val="center" w:pos="4320"/>
        <w:tab w:val="right" w:pos="8640"/>
      </w:tabs>
    </w:pPr>
  </w:style>
  <w:style w:type="character" w:styleId="PageNumber">
    <w:name w:val="page number"/>
    <w:basedOn w:val="DefaultParagraphFont"/>
    <w:rsid w:val="00706A77"/>
  </w:style>
  <w:style w:type="paragraph" w:styleId="BodyTextIndent">
    <w:name w:val="Body Text Indent"/>
    <w:basedOn w:val="Normal"/>
    <w:rsid w:val="00706A77"/>
    <w:pPr>
      <w:ind w:left="360"/>
    </w:pPr>
  </w:style>
  <w:style w:type="paragraph" w:styleId="Header">
    <w:name w:val="header"/>
    <w:basedOn w:val="Normal"/>
    <w:rsid w:val="00706A77"/>
    <w:pPr>
      <w:tabs>
        <w:tab w:val="center" w:pos="4320"/>
        <w:tab w:val="right" w:pos="8640"/>
      </w:tabs>
    </w:pPr>
  </w:style>
  <w:style w:type="paragraph" w:styleId="TOC1">
    <w:name w:val="toc 1"/>
    <w:basedOn w:val="Normal"/>
    <w:next w:val="Normal"/>
    <w:autoRedefine/>
    <w:semiHidden/>
    <w:rsid w:val="00706A77"/>
    <w:pPr>
      <w:spacing w:before="120" w:after="120"/>
    </w:pPr>
    <w:rPr>
      <w:b/>
      <w:caps/>
      <w:sz w:val="20"/>
    </w:rPr>
  </w:style>
  <w:style w:type="paragraph" w:styleId="TOC2">
    <w:name w:val="toc 2"/>
    <w:basedOn w:val="Normal"/>
    <w:next w:val="Normal"/>
    <w:autoRedefine/>
    <w:semiHidden/>
    <w:rsid w:val="00706A77"/>
    <w:pPr>
      <w:spacing w:before="0" w:after="0"/>
      <w:ind w:left="220"/>
    </w:pPr>
    <w:rPr>
      <w:smallCaps/>
      <w:sz w:val="20"/>
    </w:rPr>
  </w:style>
  <w:style w:type="paragraph" w:styleId="TOC3">
    <w:name w:val="toc 3"/>
    <w:basedOn w:val="Normal"/>
    <w:next w:val="Normal"/>
    <w:autoRedefine/>
    <w:semiHidden/>
    <w:rsid w:val="00706A77"/>
    <w:pPr>
      <w:spacing w:before="0" w:after="0"/>
      <w:ind w:left="440"/>
    </w:pPr>
    <w:rPr>
      <w:i/>
      <w:sz w:val="20"/>
    </w:rPr>
  </w:style>
  <w:style w:type="paragraph" w:styleId="TOC4">
    <w:name w:val="toc 4"/>
    <w:basedOn w:val="Normal"/>
    <w:next w:val="Normal"/>
    <w:autoRedefine/>
    <w:semiHidden/>
    <w:rsid w:val="00706A77"/>
    <w:pPr>
      <w:spacing w:before="0" w:after="0"/>
      <w:ind w:left="660"/>
    </w:pPr>
    <w:rPr>
      <w:sz w:val="18"/>
    </w:rPr>
  </w:style>
  <w:style w:type="paragraph" w:styleId="TOC5">
    <w:name w:val="toc 5"/>
    <w:basedOn w:val="Normal"/>
    <w:next w:val="Normal"/>
    <w:autoRedefine/>
    <w:semiHidden/>
    <w:rsid w:val="00706A77"/>
    <w:pPr>
      <w:spacing w:before="0" w:after="0"/>
      <w:ind w:left="880"/>
    </w:pPr>
    <w:rPr>
      <w:sz w:val="18"/>
    </w:rPr>
  </w:style>
  <w:style w:type="paragraph" w:styleId="TOC6">
    <w:name w:val="toc 6"/>
    <w:basedOn w:val="Normal"/>
    <w:next w:val="Normal"/>
    <w:autoRedefine/>
    <w:semiHidden/>
    <w:rsid w:val="00706A77"/>
    <w:pPr>
      <w:spacing w:before="0" w:after="0"/>
      <w:ind w:left="1100"/>
    </w:pPr>
    <w:rPr>
      <w:sz w:val="18"/>
    </w:rPr>
  </w:style>
  <w:style w:type="paragraph" w:styleId="TOC7">
    <w:name w:val="toc 7"/>
    <w:basedOn w:val="Normal"/>
    <w:next w:val="Normal"/>
    <w:autoRedefine/>
    <w:semiHidden/>
    <w:rsid w:val="00706A77"/>
    <w:pPr>
      <w:spacing w:before="0" w:after="0"/>
      <w:ind w:left="1320"/>
    </w:pPr>
    <w:rPr>
      <w:sz w:val="18"/>
    </w:rPr>
  </w:style>
  <w:style w:type="paragraph" w:styleId="TOC8">
    <w:name w:val="toc 8"/>
    <w:basedOn w:val="Normal"/>
    <w:next w:val="Normal"/>
    <w:autoRedefine/>
    <w:semiHidden/>
    <w:rsid w:val="00706A77"/>
    <w:pPr>
      <w:spacing w:before="0" w:after="0"/>
      <w:ind w:left="1540"/>
    </w:pPr>
    <w:rPr>
      <w:sz w:val="18"/>
    </w:rPr>
  </w:style>
  <w:style w:type="paragraph" w:styleId="TOC9">
    <w:name w:val="toc 9"/>
    <w:basedOn w:val="Normal"/>
    <w:next w:val="Normal"/>
    <w:autoRedefine/>
    <w:semiHidden/>
    <w:rsid w:val="00706A77"/>
    <w:pPr>
      <w:spacing w:before="0" w:after="0"/>
      <w:ind w:left="1760"/>
    </w:pPr>
    <w:rPr>
      <w:sz w:val="18"/>
    </w:rPr>
  </w:style>
  <w:style w:type="paragraph" w:styleId="DocumentMap">
    <w:name w:val="Document Map"/>
    <w:basedOn w:val="Normal"/>
    <w:semiHidden/>
    <w:rsid w:val="00706A77"/>
    <w:pPr>
      <w:shd w:val="clear" w:color="auto" w:fill="000080"/>
    </w:pPr>
    <w:rPr>
      <w:rFonts w:ascii="Tahoma" w:hAnsi="Tahoma"/>
    </w:rPr>
  </w:style>
  <w:style w:type="character" w:styleId="Hyperlink">
    <w:name w:val="Hyperlink"/>
    <w:rsid w:val="00706A77"/>
    <w:rPr>
      <w:color w:val="0000FF"/>
      <w:u w:val="single"/>
    </w:rPr>
  </w:style>
  <w:style w:type="paragraph" w:styleId="BalloonText">
    <w:name w:val="Balloon Text"/>
    <w:basedOn w:val="Normal"/>
    <w:semiHidden/>
    <w:rsid w:val="00706A77"/>
    <w:rPr>
      <w:rFonts w:ascii="Tahoma" w:hAnsi="Tahoma" w:cs="Tahoma"/>
      <w:sz w:val="16"/>
      <w:szCs w:val="16"/>
    </w:rPr>
  </w:style>
  <w:style w:type="paragraph" w:styleId="BodyTextIndent2">
    <w:name w:val="Body Text Indent 2"/>
    <w:basedOn w:val="Normal"/>
    <w:rsid w:val="00706A77"/>
    <w:pPr>
      <w:ind w:left="720"/>
    </w:pPr>
    <w:rPr>
      <w:sz w:val="28"/>
    </w:rPr>
  </w:style>
  <w:style w:type="paragraph" w:styleId="EndnoteText">
    <w:name w:val="endnote text"/>
    <w:basedOn w:val="Normal"/>
    <w:semiHidden/>
    <w:rsid w:val="00706A77"/>
    <w:rPr>
      <w:sz w:val="20"/>
    </w:rPr>
  </w:style>
  <w:style w:type="character" w:styleId="EndnoteReference">
    <w:name w:val="endnote reference"/>
    <w:semiHidden/>
    <w:rsid w:val="00706A77"/>
    <w:rPr>
      <w:vertAlign w:val="superscript"/>
    </w:rPr>
  </w:style>
  <w:style w:type="paragraph" w:styleId="FootnoteText">
    <w:name w:val="footnote text"/>
    <w:basedOn w:val="Normal"/>
    <w:semiHidden/>
    <w:rsid w:val="00706A77"/>
    <w:rPr>
      <w:sz w:val="20"/>
    </w:rPr>
  </w:style>
  <w:style w:type="character" w:styleId="FootnoteReference">
    <w:name w:val="footnote reference"/>
    <w:semiHidden/>
    <w:rsid w:val="00706A77"/>
    <w:rPr>
      <w:vertAlign w:val="superscript"/>
    </w:rPr>
  </w:style>
  <w:style w:type="paragraph" w:customStyle="1" w:styleId="Heading41">
    <w:name w:val="Heading 41"/>
    <w:rsid w:val="00706A77"/>
    <w:pPr>
      <w:suppressAutoHyphens/>
    </w:pPr>
    <w:rPr>
      <w:rFonts w:ascii="Arial" w:hAnsi="Arial"/>
      <w:b/>
      <w:sz w:val="24"/>
    </w:rPr>
  </w:style>
  <w:style w:type="paragraph" w:customStyle="1" w:styleId="Text">
    <w:name w:val="Text"/>
    <w:basedOn w:val="Normal"/>
    <w:autoRedefine/>
    <w:rsid w:val="00706A77"/>
    <w:pPr>
      <w:tabs>
        <w:tab w:val="left" w:pos="0"/>
      </w:tabs>
      <w:suppressAutoHyphens/>
      <w:autoSpaceDE w:val="0"/>
      <w:autoSpaceDN w:val="0"/>
      <w:adjustRightInd w:val="0"/>
      <w:spacing w:before="0" w:after="0"/>
      <w:jc w:val="both"/>
    </w:pPr>
    <w:rPr>
      <w:rFonts w:ascii="Arial" w:hAnsi="Arial" w:cs="Arial"/>
    </w:rPr>
  </w:style>
  <w:style w:type="paragraph" w:customStyle="1" w:styleId="Table">
    <w:name w:val="Table"/>
    <w:basedOn w:val="Normal"/>
    <w:rsid w:val="00706A77"/>
    <w:pPr>
      <w:keepLines/>
      <w:tabs>
        <w:tab w:val="left" w:pos="288"/>
        <w:tab w:val="right" w:leader="dot" w:pos="8640"/>
      </w:tabs>
      <w:spacing w:before="40" w:after="20"/>
    </w:pPr>
    <w:rPr>
      <w:sz w:val="20"/>
    </w:rPr>
  </w:style>
  <w:style w:type="paragraph" w:customStyle="1" w:styleId="1Paragraph">
    <w:name w:val="1Paragraph"/>
    <w:rsid w:val="00706A77"/>
    <w:rPr>
      <w:sz w:val="24"/>
      <w:szCs w:val="24"/>
    </w:rPr>
  </w:style>
  <w:style w:type="paragraph" w:customStyle="1" w:styleId="H4">
    <w:name w:val="H4"/>
    <w:basedOn w:val="Normal"/>
    <w:next w:val="Normal"/>
    <w:rsid w:val="00706A77"/>
    <w:pPr>
      <w:keepNext/>
      <w:spacing w:before="100" w:after="100"/>
      <w:outlineLvl w:val="4"/>
    </w:pPr>
    <w:rPr>
      <w:b/>
      <w:bCs/>
      <w:snapToGrid w:val="0"/>
      <w:sz w:val="24"/>
      <w:szCs w:val="24"/>
    </w:rPr>
  </w:style>
  <w:style w:type="paragraph" w:styleId="TableofFigures">
    <w:name w:val="table of figures"/>
    <w:basedOn w:val="Normal"/>
    <w:next w:val="Normal"/>
    <w:semiHidden/>
    <w:rsid w:val="00706A77"/>
    <w:pPr>
      <w:tabs>
        <w:tab w:val="right" w:leader="dot" w:pos="8640"/>
      </w:tabs>
      <w:spacing w:before="0" w:after="0"/>
      <w:ind w:left="432" w:hanging="432"/>
    </w:pPr>
    <w:rPr>
      <w:sz w:val="24"/>
      <w:szCs w:val="24"/>
    </w:rPr>
  </w:style>
  <w:style w:type="paragraph" w:customStyle="1" w:styleId="Normal1">
    <w:name w:val="Normal 1"/>
    <w:basedOn w:val="Normal"/>
    <w:rsid w:val="00706A77"/>
    <w:pPr>
      <w:tabs>
        <w:tab w:val="right" w:leader="dot" w:pos="8640"/>
      </w:tabs>
      <w:spacing w:before="0" w:after="0" w:line="360" w:lineRule="auto"/>
      <w:ind w:left="432" w:hanging="432"/>
    </w:pPr>
    <w:rPr>
      <w:sz w:val="24"/>
      <w:szCs w:val="24"/>
    </w:rPr>
  </w:style>
  <w:style w:type="paragraph" w:customStyle="1" w:styleId="ListBullet">
    <w:name w:val="List/Bullet"/>
    <w:basedOn w:val="Normal"/>
    <w:autoRedefine/>
    <w:rsid w:val="00706A77"/>
    <w:pPr>
      <w:tabs>
        <w:tab w:val="left" w:pos="-3708"/>
        <w:tab w:val="left" w:pos="-3618"/>
        <w:tab w:val="left" w:pos="-1890"/>
        <w:tab w:val="left" w:pos="-1800"/>
      </w:tabs>
      <w:autoSpaceDE w:val="0"/>
      <w:autoSpaceDN w:val="0"/>
      <w:adjustRightInd w:val="0"/>
      <w:spacing w:before="0" w:after="0"/>
    </w:pPr>
    <w:rPr>
      <w:rFonts w:ascii="Arial" w:hAnsi="Arial"/>
      <w:b/>
    </w:rPr>
  </w:style>
  <w:style w:type="paragraph" w:customStyle="1" w:styleId="Normalheadpage">
    <w:name w:val="Normal/headpage"/>
    <w:basedOn w:val="Normal"/>
    <w:rsid w:val="00706A77"/>
    <w:pPr>
      <w:tabs>
        <w:tab w:val="right" w:pos="8640"/>
      </w:tabs>
      <w:spacing w:before="0" w:after="0"/>
    </w:pPr>
    <w:rPr>
      <w:rFonts w:eastAsia="MS Mincho"/>
      <w:szCs w:val="22"/>
      <w:lang w:eastAsia="ja-JP"/>
    </w:rPr>
  </w:style>
  <w:style w:type="paragraph" w:styleId="NormalWeb">
    <w:name w:val="Normal (Web)"/>
    <w:basedOn w:val="Normal"/>
    <w:rsid w:val="00706A77"/>
    <w:pPr>
      <w:spacing w:before="100" w:beforeAutospacing="1" w:after="100" w:afterAutospacing="1"/>
    </w:pPr>
    <w:rPr>
      <w:rFonts w:ascii="Arial Unicode MS" w:eastAsia="Arial Unicode MS" w:hAnsi="Arial Unicode MS"/>
      <w:sz w:val="24"/>
      <w:szCs w:val="24"/>
    </w:rPr>
  </w:style>
  <w:style w:type="paragraph" w:customStyle="1" w:styleId="bullet">
    <w:name w:val="bullet"/>
    <w:basedOn w:val="Normal"/>
    <w:rsid w:val="00706A77"/>
    <w:pPr>
      <w:suppressAutoHyphens/>
      <w:spacing w:before="80" w:after="0"/>
      <w:ind w:left="360" w:hanging="360"/>
    </w:pPr>
    <w:rPr>
      <w:rFonts w:eastAsia="MS Mincho"/>
      <w:sz w:val="24"/>
      <w:szCs w:val="24"/>
      <w:lang w:eastAsia="ja-JP"/>
    </w:rPr>
  </w:style>
  <w:style w:type="paragraph" w:customStyle="1" w:styleId="Heading31">
    <w:name w:val="Heading 31"/>
    <w:basedOn w:val="Normal"/>
    <w:rsid w:val="00706A77"/>
    <w:pPr>
      <w:tabs>
        <w:tab w:val="left" w:pos="-1440"/>
        <w:tab w:val="left" w:pos="-720"/>
      </w:tabs>
      <w:suppressAutoHyphens/>
      <w:spacing w:before="0" w:after="0"/>
    </w:pPr>
    <w:rPr>
      <w:rFonts w:ascii="Arial" w:hAnsi="Arial"/>
      <w:b/>
      <w:spacing w:val="-3"/>
      <w:sz w:val="24"/>
    </w:rPr>
  </w:style>
  <w:style w:type="paragraph" w:styleId="TOAHeading">
    <w:name w:val="toa heading"/>
    <w:basedOn w:val="Normal"/>
    <w:next w:val="Normal"/>
    <w:semiHidden/>
    <w:rsid w:val="00706A77"/>
    <w:pPr>
      <w:tabs>
        <w:tab w:val="left" w:pos="9000"/>
        <w:tab w:val="right" w:pos="9360"/>
      </w:tabs>
      <w:suppressAutoHyphens/>
      <w:spacing w:before="0" w:after="0"/>
    </w:pPr>
    <w:rPr>
      <w:rFonts w:ascii="Arial" w:hAnsi="Arial"/>
      <w:sz w:val="24"/>
    </w:rPr>
  </w:style>
  <w:style w:type="character" w:customStyle="1" w:styleId="fm-vol-iss-date1">
    <w:name w:val="fm-vol-iss-date1"/>
    <w:rsid w:val="00706A77"/>
    <w:rPr>
      <w:rFonts w:ascii="Arial" w:hAnsi="Arial" w:cs="Arial" w:hint="default"/>
      <w:sz w:val="18"/>
      <w:szCs w:val="18"/>
    </w:rPr>
  </w:style>
  <w:style w:type="character" w:customStyle="1" w:styleId="bodytext0">
    <w:name w:val="bodytext"/>
    <w:rsid w:val="00706A77"/>
    <w:rPr>
      <w:rFonts w:ascii="Arial" w:hAnsi="Arial" w:cs="Arial" w:hint="default"/>
      <w:b w:val="0"/>
      <w:bCs w:val="0"/>
      <w:i w:val="0"/>
      <w:iCs w:val="0"/>
      <w:strike w:val="0"/>
      <w:dstrike w:val="0"/>
      <w:color w:val="000000"/>
      <w:sz w:val="24"/>
      <w:szCs w:val="24"/>
      <w:u w:val="none"/>
      <w:effect w:val="none"/>
    </w:rPr>
  </w:style>
  <w:style w:type="paragraph" w:styleId="CommentText">
    <w:name w:val="annotation text"/>
    <w:basedOn w:val="Normal"/>
    <w:semiHidden/>
    <w:rsid w:val="00706A77"/>
    <w:pPr>
      <w:spacing w:before="0" w:after="0"/>
    </w:pPr>
    <w:rPr>
      <w:rFonts w:ascii="Arial" w:hAnsi="Arial"/>
      <w:sz w:val="20"/>
    </w:rPr>
  </w:style>
  <w:style w:type="paragraph" w:customStyle="1" w:styleId="Leftcolumntext">
    <w:name w:val="Left column text"/>
    <w:basedOn w:val="Normal"/>
    <w:rsid w:val="00706A77"/>
    <w:pPr>
      <w:spacing w:before="0" w:after="0"/>
      <w:ind w:right="100"/>
    </w:pPr>
    <w:rPr>
      <w:sz w:val="20"/>
    </w:rPr>
  </w:style>
  <w:style w:type="paragraph" w:customStyle="1" w:styleId="NormalText">
    <w:name w:val="Normal Text"/>
    <w:basedOn w:val="Normal"/>
    <w:rsid w:val="00706A77"/>
    <w:pPr>
      <w:adjustRightInd w:val="0"/>
      <w:spacing w:line="300" w:lineRule="exact"/>
      <w:textAlignment w:val="baseline"/>
    </w:pPr>
    <w:rPr>
      <w:rFonts w:eastAsia="平成明朝"/>
      <w:sz w:val="24"/>
      <w:szCs w:val="24"/>
      <w:lang w:eastAsia="ja-JP"/>
    </w:rPr>
  </w:style>
  <w:style w:type="paragraph" w:customStyle="1" w:styleId="Footer1">
    <w:name w:val="Footer1"/>
    <w:rsid w:val="00706A77"/>
    <w:pPr>
      <w:tabs>
        <w:tab w:val="center" w:pos="4680"/>
        <w:tab w:val="right" w:pos="9000"/>
        <w:tab w:val="left" w:pos="9360"/>
      </w:tabs>
      <w:suppressAutoHyphens/>
    </w:pPr>
    <w:rPr>
      <w:rFonts w:ascii="Arial" w:hAnsi="Arial"/>
    </w:rPr>
  </w:style>
  <w:style w:type="paragraph" w:customStyle="1" w:styleId="FOOTNOTEREF">
    <w:name w:val="FOOTNOTE REF"/>
    <w:rsid w:val="00706A77"/>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pPr>
    <w:rPr>
      <w:sz w:val="16"/>
      <w:vertAlign w:val="superscript"/>
    </w:rPr>
  </w:style>
  <w:style w:type="paragraph" w:customStyle="1" w:styleId="Heading51">
    <w:name w:val="Heading 51"/>
    <w:rsid w:val="00706A77"/>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pPr>
    <w:rPr>
      <w:b/>
    </w:rPr>
  </w:style>
  <w:style w:type="paragraph" w:customStyle="1" w:styleId="Figure">
    <w:name w:val="@Figure"/>
    <w:basedOn w:val="Normal"/>
    <w:rsid w:val="00706A77"/>
    <w:pPr>
      <w:spacing w:before="0" w:after="120"/>
      <w:jc w:val="center"/>
    </w:pPr>
    <w:rPr>
      <w:rFonts w:ascii="Arial" w:hAnsi="Arial" w:cs="Arial"/>
      <w:sz w:val="20"/>
    </w:rPr>
  </w:style>
  <w:style w:type="character" w:styleId="Strong">
    <w:name w:val="Strong"/>
    <w:qFormat/>
    <w:rsid w:val="00706A77"/>
    <w:rPr>
      <w:b/>
      <w:bCs/>
    </w:rPr>
  </w:style>
  <w:style w:type="character" w:customStyle="1" w:styleId="contentsectionheader">
    <w:name w:val="contentsectionheader"/>
    <w:basedOn w:val="DefaultParagraphFont"/>
    <w:rsid w:val="00706A77"/>
  </w:style>
  <w:style w:type="character" w:styleId="CommentReference">
    <w:name w:val="annotation reference"/>
    <w:semiHidden/>
    <w:rsid w:val="00574203"/>
    <w:rPr>
      <w:sz w:val="16"/>
      <w:szCs w:val="16"/>
    </w:rPr>
  </w:style>
  <w:style w:type="paragraph" w:styleId="CommentSubject">
    <w:name w:val="annotation subject"/>
    <w:basedOn w:val="CommentText"/>
    <w:next w:val="CommentText"/>
    <w:semiHidden/>
    <w:rsid w:val="00574203"/>
    <w:pPr>
      <w:spacing w:before="60" w:after="60"/>
    </w:pPr>
    <w:rPr>
      <w:rFonts w:ascii="Times New Roman" w:hAnsi="Times New Roman"/>
      <w:b/>
      <w:bCs/>
    </w:rPr>
  </w:style>
  <w:style w:type="table" w:styleId="TableGrid">
    <w:name w:val="Table Grid"/>
    <w:basedOn w:val="TableNormal"/>
    <w:rsid w:val="0004735B"/>
    <w:pPr>
      <w:spacing w:before="60" w:after="6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D4A19"/>
    <w:pPr>
      <w:widowControl w:val="0"/>
      <w:autoSpaceDE w:val="0"/>
      <w:autoSpaceDN w:val="0"/>
      <w:adjustRightInd w:val="0"/>
    </w:pPr>
    <w:rPr>
      <w:rFonts w:ascii="Frutiger" w:hAnsi="Frutige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375307">
      <w:bodyDiv w:val="1"/>
      <w:marLeft w:val="0"/>
      <w:marRight w:val="0"/>
      <w:marTop w:val="0"/>
      <w:marBottom w:val="0"/>
      <w:divBdr>
        <w:top w:val="none" w:sz="0" w:space="0" w:color="auto"/>
        <w:left w:val="none" w:sz="0" w:space="0" w:color="auto"/>
        <w:bottom w:val="none" w:sz="0" w:space="0" w:color="auto"/>
        <w:right w:val="none" w:sz="0" w:space="0" w:color="auto"/>
      </w:divBdr>
      <w:divsChild>
        <w:div w:id="601648383">
          <w:marLeft w:val="0"/>
          <w:marRight w:val="0"/>
          <w:marTop w:val="0"/>
          <w:marBottom w:val="0"/>
          <w:divBdr>
            <w:top w:val="none" w:sz="0" w:space="0" w:color="auto"/>
            <w:left w:val="none" w:sz="0" w:space="0" w:color="auto"/>
            <w:bottom w:val="none" w:sz="0" w:space="0" w:color="auto"/>
            <w:right w:val="none" w:sz="0" w:space="0" w:color="auto"/>
          </w:divBdr>
          <w:divsChild>
            <w:div w:id="132103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496590">
      <w:bodyDiv w:val="1"/>
      <w:marLeft w:val="0"/>
      <w:marRight w:val="0"/>
      <w:marTop w:val="0"/>
      <w:marBottom w:val="0"/>
      <w:divBdr>
        <w:top w:val="none" w:sz="0" w:space="0" w:color="auto"/>
        <w:left w:val="none" w:sz="0" w:space="0" w:color="auto"/>
        <w:bottom w:val="none" w:sz="0" w:space="0" w:color="auto"/>
        <w:right w:val="none" w:sz="0" w:space="0" w:color="auto"/>
      </w:divBdr>
      <w:divsChild>
        <w:div w:id="2074505492">
          <w:marLeft w:val="0"/>
          <w:marRight w:val="0"/>
          <w:marTop w:val="0"/>
          <w:marBottom w:val="0"/>
          <w:divBdr>
            <w:top w:val="none" w:sz="0" w:space="0" w:color="auto"/>
            <w:left w:val="none" w:sz="0" w:space="0" w:color="auto"/>
            <w:bottom w:val="none" w:sz="0" w:space="0" w:color="auto"/>
            <w:right w:val="none" w:sz="0" w:space="0" w:color="auto"/>
          </w:divBdr>
          <w:divsChild>
            <w:div w:id="880476700">
              <w:marLeft w:val="0"/>
              <w:marRight w:val="0"/>
              <w:marTop w:val="0"/>
              <w:marBottom w:val="0"/>
              <w:divBdr>
                <w:top w:val="none" w:sz="0" w:space="0" w:color="auto"/>
                <w:left w:val="none" w:sz="0" w:space="0" w:color="auto"/>
                <w:bottom w:val="none" w:sz="0" w:space="0" w:color="auto"/>
                <w:right w:val="none" w:sz="0" w:space="0" w:color="auto"/>
              </w:divBdr>
            </w:div>
            <w:div w:id="1437745778">
              <w:marLeft w:val="0"/>
              <w:marRight w:val="0"/>
              <w:marTop w:val="0"/>
              <w:marBottom w:val="0"/>
              <w:divBdr>
                <w:top w:val="none" w:sz="0" w:space="0" w:color="auto"/>
                <w:left w:val="none" w:sz="0" w:space="0" w:color="auto"/>
                <w:bottom w:val="none" w:sz="0" w:space="0" w:color="auto"/>
                <w:right w:val="none" w:sz="0" w:space="0" w:color="auto"/>
              </w:divBdr>
            </w:div>
            <w:div w:id="186266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364244">
      <w:bodyDiv w:val="1"/>
      <w:marLeft w:val="0"/>
      <w:marRight w:val="0"/>
      <w:marTop w:val="0"/>
      <w:marBottom w:val="0"/>
      <w:divBdr>
        <w:top w:val="none" w:sz="0" w:space="0" w:color="auto"/>
        <w:left w:val="none" w:sz="0" w:space="0" w:color="auto"/>
        <w:bottom w:val="none" w:sz="0" w:space="0" w:color="auto"/>
        <w:right w:val="none" w:sz="0" w:space="0" w:color="auto"/>
      </w:divBdr>
      <w:divsChild>
        <w:div w:id="416680896">
          <w:marLeft w:val="0"/>
          <w:marRight w:val="0"/>
          <w:marTop w:val="0"/>
          <w:marBottom w:val="0"/>
          <w:divBdr>
            <w:top w:val="none" w:sz="0" w:space="0" w:color="auto"/>
            <w:left w:val="none" w:sz="0" w:space="0" w:color="auto"/>
            <w:bottom w:val="none" w:sz="0" w:space="0" w:color="auto"/>
            <w:right w:val="none" w:sz="0" w:space="0" w:color="auto"/>
          </w:divBdr>
        </w:div>
      </w:divsChild>
    </w:div>
    <w:div w:id="1778714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far.org/scores2/apache22.html" TargetMode="External"/><Relationship Id="rId13"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icroarray.duke.edu" TargetMode="External"/><Relationship Id="rId1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54</Pages>
  <Words>19859</Words>
  <Characters>113198</Characters>
  <Application>Microsoft Office Word</Application>
  <DocSecurity>0</DocSecurity>
  <Lines>943</Lines>
  <Paragraphs>265</Paragraphs>
  <ScaleCrop>false</ScaleCrop>
  <HeadingPairs>
    <vt:vector size="2" baseType="variant">
      <vt:variant>
        <vt:lpstr>Title</vt:lpstr>
      </vt:variant>
      <vt:variant>
        <vt:i4>1</vt:i4>
      </vt:variant>
    </vt:vector>
  </HeadingPairs>
  <TitlesOfParts>
    <vt:vector size="1" baseType="lpstr">
      <vt:lpstr>GENENTECH</vt:lpstr>
    </vt:vector>
  </TitlesOfParts>
  <Company>Duke Medical Center</Company>
  <LinksUpToDate>false</LinksUpToDate>
  <CharactersWithSpaces>132792</CharactersWithSpaces>
  <SharedDoc>false</SharedDoc>
  <HLinks>
    <vt:vector size="12" baseType="variant">
      <vt:variant>
        <vt:i4>7798884</vt:i4>
      </vt:variant>
      <vt:variant>
        <vt:i4>66</vt:i4>
      </vt:variant>
      <vt:variant>
        <vt:i4>0</vt:i4>
      </vt:variant>
      <vt:variant>
        <vt:i4>5</vt:i4>
      </vt:variant>
      <vt:variant>
        <vt:lpwstr>http://www.microarray.duke.edu/</vt:lpwstr>
      </vt:variant>
      <vt:variant>
        <vt:lpwstr/>
      </vt:variant>
      <vt:variant>
        <vt:i4>4587527</vt:i4>
      </vt:variant>
      <vt:variant>
        <vt:i4>63</vt:i4>
      </vt:variant>
      <vt:variant>
        <vt:i4>0</vt:i4>
      </vt:variant>
      <vt:variant>
        <vt:i4>5</vt:i4>
      </vt:variant>
      <vt:variant>
        <vt:lpwstr>http://www.sfar.org/scores2/apache22.html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GENENTECH</dc:title>
  <dc:creator>BANKS014</dc:creator>
  <cp:lastModifiedBy>Kim</cp:lastModifiedBy>
  <cp:revision>6</cp:revision>
  <cp:lastPrinted>2008-04-29T19:04:00Z</cp:lastPrinted>
  <dcterms:created xsi:type="dcterms:W3CDTF">2012-03-28T19:38:00Z</dcterms:created>
  <dcterms:modified xsi:type="dcterms:W3CDTF">2012-03-31T14:24:00Z</dcterms:modified>
</cp:coreProperties>
</file>