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7F08" w14:textId="53DB7513" w:rsidR="00D32774" w:rsidRPr="00DC1D7B" w:rsidRDefault="00735C4C" w:rsidP="00D32774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DC1D7B">
        <w:rPr>
          <w:rFonts w:ascii="Arial" w:hAnsi="Arial" w:cs="Arial"/>
          <w:b/>
          <w:sz w:val="24"/>
          <w:szCs w:val="24"/>
        </w:rPr>
        <w:t>Table S8</w:t>
      </w:r>
      <w:r w:rsidR="003365A3" w:rsidRPr="00DC1D7B">
        <w:rPr>
          <w:rFonts w:ascii="Arial" w:hAnsi="Arial" w:cs="Arial"/>
          <w:b/>
          <w:sz w:val="24"/>
          <w:szCs w:val="24"/>
        </w:rPr>
        <w:t>.  Sensitivity Analyses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D32774" w:rsidRPr="00937019" w14:paraId="5BFC88DC" w14:textId="77777777" w:rsidTr="00D32774">
        <w:tc>
          <w:tcPr>
            <w:tcW w:w="1771" w:type="dxa"/>
          </w:tcPr>
          <w:bookmarkEnd w:id="0"/>
          <w:p w14:paraId="306A1AC4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1771" w:type="dxa"/>
          </w:tcPr>
          <w:p w14:paraId="7191A844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NIH-CPSI Total Score</w:t>
            </w:r>
          </w:p>
        </w:tc>
        <w:tc>
          <w:tcPr>
            <w:tcW w:w="1771" w:type="dxa"/>
          </w:tcPr>
          <w:p w14:paraId="7BF13B73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NIH-CPSI Pain Score</w:t>
            </w:r>
          </w:p>
        </w:tc>
        <w:tc>
          <w:tcPr>
            <w:tcW w:w="1771" w:type="dxa"/>
          </w:tcPr>
          <w:p w14:paraId="7082A9A1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NIH-CPSI Voiding Score</w:t>
            </w:r>
          </w:p>
        </w:tc>
        <w:tc>
          <w:tcPr>
            <w:tcW w:w="1772" w:type="dxa"/>
          </w:tcPr>
          <w:p w14:paraId="5FB27342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 xml:space="preserve">NIH-CPSI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019">
              <w:rPr>
                <w:rFonts w:ascii="Arial" w:hAnsi="Arial" w:cs="Arial"/>
                <w:sz w:val="20"/>
                <w:szCs w:val="20"/>
              </w:rPr>
              <w:t>Quality of Life Score</w:t>
            </w:r>
          </w:p>
        </w:tc>
      </w:tr>
      <w:tr w:rsidR="00D32774" w:rsidRPr="00937019" w14:paraId="0312BF53" w14:textId="77777777" w:rsidTr="00D32774">
        <w:tc>
          <w:tcPr>
            <w:tcW w:w="1771" w:type="dxa"/>
          </w:tcPr>
          <w:p w14:paraId="021B509E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CF07811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Coefficient (95% CI), p</w:t>
            </w:r>
          </w:p>
        </w:tc>
        <w:tc>
          <w:tcPr>
            <w:tcW w:w="1771" w:type="dxa"/>
          </w:tcPr>
          <w:p w14:paraId="603B06A2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Coefficient (95% CI), p</w:t>
            </w:r>
          </w:p>
        </w:tc>
        <w:tc>
          <w:tcPr>
            <w:tcW w:w="1771" w:type="dxa"/>
          </w:tcPr>
          <w:p w14:paraId="537A5954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Coefficient (95% CI), p</w:t>
            </w:r>
          </w:p>
        </w:tc>
        <w:tc>
          <w:tcPr>
            <w:tcW w:w="1772" w:type="dxa"/>
          </w:tcPr>
          <w:p w14:paraId="17C1DB9C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Coefficient (95% CI), p</w:t>
            </w:r>
          </w:p>
        </w:tc>
      </w:tr>
      <w:tr w:rsidR="00D32774" w:rsidRPr="00937019" w14:paraId="70AF3A99" w14:textId="77777777" w:rsidTr="00D32774">
        <w:tc>
          <w:tcPr>
            <w:tcW w:w="8856" w:type="dxa"/>
            <w:gridSpan w:val="5"/>
          </w:tcPr>
          <w:p w14:paraId="014289DB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All Studies</w:t>
            </w:r>
          </w:p>
        </w:tc>
      </w:tr>
      <w:tr w:rsidR="00D32774" w:rsidRPr="00937019" w14:paraId="27D2CB83" w14:textId="77777777" w:rsidTr="00D32774">
        <w:tc>
          <w:tcPr>
            <w:tcW w:w="1771" w:type="dxa"/>
          </w:tcPr>
          <w:p w14:paraId="0D67FE95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Publication bias (overall)</w:t>
            </w:r>
          </w:p>
        </w:tc>
        <w:tc>
          <w:tcPr>
            <w:tcW w:w="1771" w:type="dxa"/>
          </w:tcPr>
          <w:p w14:paraId="699E5C4A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-1.1 (-3.4 to 1.3)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37019">
              <w:rPr>
                <w:rFonts w:ascii="Arial" w:hAnsi="Arial" w:cs="Arial"/>
                <w:sz w:val="20"/>
                <w:szCs w:val="20"/>
              </w:rPr>
              <w:t>p=0.36</w:t>
            </w:r>
          </w:p>
        </w:tc>
        <w:tc>
          <w:tcPr>
            <w:tcW w:w="1771" w:type="dxa"/>
          </w:tcPr>
          <w:p w14:paraId="7B476BA1" w14:textId="15973978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 xml:space="preserve">-2.2 (-5.4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37019">
              <w:rPr>
                <w:rFonts w:ascii="Arial" w:hAnsi="Arial" w:cs="Arial"/>
                <w:sz w:val="20"/>
                <w:szCs w:val="20"/>
              </w:rPr>
              <w:t>o 1.0), p=0.17</w:t>
            </w:r>
          </w:p>
        </w:tc>
        <w:tc>
          <w:tcPr>
            <w:tcW w:w="1771" w:type="dxa"/>
          </w:tcPr>
          <w:p w14:paraId="7DF8FD24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-1.3 (-4.7 to 2.1)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p=0.44</w:t>
            </w:r>
          </w:p>
        </w:tc>
        <w:tc>
          <w:tcPr>
            <w:tcW w:w="1772" w:type="dxa"/>
          </w:tcPr>
          <w:p w14:paraId="54143F72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-2.9 (-6.0 to 0.15)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p=0.07</w:t>
            </w:r>
          </w:p>
        </w:tc>
      </w:tr>
      <w:tr w:rsidR="00D32774" w:rsidRPr="00937019" w14:paraId="004CECA0" w14:textId="77777777" w:rsidTr="00D32774">
        <w:tc>
          <w:tcPr>
            <w:tcW w:w="1771" w:type="dxa"/>
          </w:tcPr>
          <w:p w14:paraId="5CD624EC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JADAD (total)</w:t>
            </w:r>
          </w:p>
        </w:tc>
        <w:tc>
          <w:tcPr>
            <w:tcW w:w="7085" w:type="dxa"/>
            <w:gridSpan w:val="4"/>
          </w:tcPr>
          <w:p w14:paraId="1E5364C0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554297D4" w14:textId="77777777" w:rsidTr="00D32774">
        <w:tc>
          <w:tcPr>
            <w:tcW w:w="1771" w:type="dxa"/>
          </w:tcPr>
          <w:p w14:paraId="221E658F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Intention to treat</w:t>
            </w:r>
          </w:p>
        </w:tc>
        <w:tc>
          <w:tcPr>
            <w:tcW w:w="1771" w:type="dxa"/>
          </w:tcPr>
          <w:p w14:paraId="032AD19B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-0.7 (-4.9 to 3.6), p=0.74</w:t>
            </w:r>
          </w:p>
        </w:tc>
        <w:tc>
          <w:tcPr>
            <w:tcW w:w="5314" w:type="dxa"/>
            <w:gridSpan w:val="3"/>
          </w:tcPr>
          <w:p w14:paraId="1CB7E115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6BF01F58" w14:textId="77777777" w:rsidTr="00D32774">
        <w:tc>
          <w:tcPr>
            <w:tcW w:w="1771" w:type="dxa"/>
          </w:tcPr>
          <w:p w14:paraId="76C78F82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Adequate Sequence Generation</w:t>
            </w:r>
          </w:p>
        </w:tc>
        <w:tc>
          <w:tcPr>
            <w:tcW w:w="1771" w:type="dxa"/>
          </w:tcPr>
          <w:p w14:paraId="60D952DB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3.7 (0.51 to 6.9) p=0.03</w:t>
            </w:r>
          </w:p>
        </w:tc>
        <w:tc>
          <w:tcPr>
            <w:tcW w:w="5314" w:type="dxa"/>
            <w:gridSpan w:val="3"/>
          </w:tcPr>
          <w:p w14:paraId="0C4C734E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1AC984E5" w14:textId="77777777" w:rsidTr="00D32774">
        <w:tc>
          <w:tcPr>
            <w:tcW w:w="1771" w:type="dxa"/>
          </w:tcPr>
          <w:p w14:paraId="75EF7305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Allocation Concealment</w:t>
            </w:r>
          </w:p>
        </w:tc>
        <w:tc>
          <w:tcPr>
            <w:tcW w:w="1771" w:type="dxa"/>
          </w:tcPr>
          <w:p w14:paraId="7E1C70FD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3.5 (0.2 to 6.7) p=0.04</w:t>
            </w:r>
          </w:p>
        </w:tc>
        <w:tc>
          <w:tcPr>
            <w:tcW w:w="5314" w:type="dxa"/>
            <w:gridSpan w:val="3"/>
          </w:tcPr>
          <w:p w14:paraId="24278296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411BB499" w14:textId="77777777" w:rsidTr="00D32774">
        <w:tc>
          <w:tcPr>
            <w:tcW w:w="1771" w:type="dxa"/>
          </w:tcPr>
          <w:p w14:paraId="3FFBF4D9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Blinding</w:t>
            </w:r>
          </w:p>
        </w:tc>
        <w:tc>
          <w:tcPr>
            <w:tcW w:w="1771" w:type="dxa"/>
          </w:tcPr>
          <w:p w14:paraId="3FECF064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3.9 (-0.9 to 8.8) p=0.10</w:t>
            </w:r>
          </w:p>
        </w:tc>
        <w:tc>
          <w:tcPr>
            <w:tcW w:w="5314" w:type="dxa"/>
            <w:gridSpan w:val="3"/>
          </w:tcPr>
          <w:p w14:paraId="7FCEF1B5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2305358F" w14:textId="77777777" w:rsidTr="00D32774">
        <w:tc>
          <w:tcPr>
            <w:tcW w:w="1771" w:type="dxa"/>
          </w:tcPr>
          <w:p w14:paraId="5EEC378F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Incomplete outcome</w:t>
            </w:r>
          </w:p>
        </w:tc>
        <w:tc>
          <w:tcPr>
            <w:tcW w:w="1771" w:type="dxa"/>
          </w:tcPr>
          <w:p w14:paraId="271C4AF5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-0.03 (-3.7 to 3.6) p=0.98</w:t>
            </w:r>
          </w:p>
        </w:tc>
        <w:tc>
          <w:tcPr>
            <w:tcW w:w="5314" w:type="dxa"/>
            <w:gridSpan w:val="3"/>
          </w:tcPr>
          <w:p w14:paraId="037462F6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5B397751" w14:textId="77777777" w:rsidTr="00D32774">
        <w:tc>
          <w:tcPr>
            <w:tcW w:w="1771" w:type="dxa"/>
          </w:tcPr>
          <w:p w14:paraId="19E47FA6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Free of selective reporting</w:t>
            </w:r>
          </w:p>
        </w:tc>
        <w:tc>
          <w:tcPr>
            <w:tcW w:w="1771" w:type="dxa"/>
          </w:tcPr>
          <w:p w14:paraId="6E01CED4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selective reporting</w:t>
            </w:r>
          </w:p>
        </w:tc>
        <w:tc>
          <w:tcPr>
            <w:tcW w:w="1771" w:type="dxa"/>
          </w:tcPr>
          <w:p w14:paraId="56689ED0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selective reporting</w:t>
            </w:r>
          </w:p>
        </w:tc>
        <w:tc>
          <w:tcPr>
            <w:tcW w:w="1771" w:type="dxa"/>
          </w:tcPr>
          <w:p w14:paraId="06A17EE3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selective reporting</w:t>
            </w:r>
          </w:p>
        </w:tc>
        <w:tc>
          <w:tcPr>
            <w:tcW w:w="1772" w:type="dxa"/>
          </w:tcPr>
          <w:p w14:paraId="7C8D7E76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selective reporting</w:t>
            </w:r>
          </w:p>
        </w:tc>
      </w:tr>
      <w:tr w:rsidR="00D32774" w:rsidRPr="00937019" w14:paraId="24C80702" w14:textId="77777777" w:rsidTr="00D32774">
        <w:tc>
          <w:tcPr>
            <w:tcW w:w="1771" w:type="dxa"/>
          </w:tcPr>
          <w:p w14:paraId="46A34168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Free of other bias</w:t>
            </w:r>
          </w:p>
        </w:tc>
        <w:tc>
          <w:tcPr>
            <w:tcW w:w="1771" w:type="dxa"/>
          </w:tcPr>
          <w:p w14:paraId="00110A9A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other bias</w:t>
            </w:r>
          </w:p>
        </w:tc>
        <w:tc>
          <w:tcPr>
            <w:tcW w:w="1771" w:type="dxa"/>
          </w:tcPr>
          <w:p w14:paraId="28D064ED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other bias</w:t>
            </w:r>
          </w:p>
        </w:tc>
        <w:tc>
          <w:tcPr>
            <w:tcW w:w="1771" w:type="dxa"/>
          </w:tcPr>
          <w:p w14:paraId="5DBCADAA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other bias</w:t>
            </w:r>
          </w:p>
        </w:tc>
        <w:tc>
          <w:tcPr>
            <w:tcW w:w="1772" w:type="dxa"/>
          </w:tcPr>
          <w:p w14:paraId="2A5F4ADF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other bias</w:t>
            </w:r>
          </w:p>
        </w:tc>
      </w:tr>
      <w:tr w:rsidR="00D32774" w:rsidRPr="00937019" w14:paraId="669830D9" w14:textId="77777777" w:rsidTr="00D32774">
        <w:tc>
          <w:tcPr>
            <w:tcW w:w="1771" w:type="dxa"/>
          </w:tcPr>
          <w:p w14:paraId="28C1A1D5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Industry Sponsorship</w:t>
            </w:r>
          </w:p>
        </w:tc>
        <w:tc>
          <w:tcPr>
            <w:tcW w:w="1771" w:type="dxa"/>
          </w:tcPr>
          <w:p w14:paraId="276A3482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-2.2 (-4.2 to -0.08)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p=0.04</w:t>
            </w:r>
          </w:p>
        </w:tc>
        <w:tc>
          <w:tcPr>
            <w:tcW w:w="5314" w:type="dxa"/>
            <w:gridSpan w:val="3"/>
          </w:tcPr>
          <w:p w14:paraId="306D27AF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6643A386" w14:textId="77777777" w:rsidTr="00D32774">
        <w:tc>
          <w:tcPr>
            <w:tcW w:w="1771" w:type="dxa"/>
          </w:tcPr>
          <w:p w14:paraId="7796F196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Average Age</w:t>
            </w:r>
          </w:p>
        </w:tc>
        <w:tc>
          <w:tcPr>
            <w:tcW w:w="1771" w:type="dxa"/>
          </w:tcPr>
          <w:p w14:paraId="74BEF1E3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0.42 (0.23 to 0.63)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p&lt;0.0005</w:t>
            </w:r>
          </w:p>
        </w:tc>
        <w:tc>
          <w:tcPr>
            <w:tcW w:w="5314" w:type="dxa"/>
            <w:gridSpan w:val="3"/>
          </w:tcPr>
          <w:p w14:paraId="5C528EF8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3E3FD30D" w14:textId="77777777" w:rsidTr="00D32774">
        <w:tc>
          <w:tcPr>
            <w:tcW w:w="1771" w:type="dxa"/>
          </w:tcPr>
          <w:p w14:paraId="4BE526F1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Drop-outs (%)</w:t>
            </w:r>
          </w:p>
        </w:tc>
        <w:tc>
          <w:tcPr>
            <w:tcW w:w="1771" w:type="dxa"/>
          </w:tcPr>
          <w:p w14:paraId="3113CE88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0.08 (-0.06 to 0.22)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p=0.27</w:t>
            </w:r>
          </w:p>
        </w:tc>
        <w:tc>
          <w:tcPr>
            <w:tcW w:w="5314" w:type="dxa"/>
            <w:gridSpan w:val="3"/>
          </w:tcPr>
          <w:p w14:paraId="5FE70F38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6BFA21DA" w14:textId="77777777" w:rsidTr="00D32774">
        <w:tc>
          <w:tcPr>
            <w:tcW w:w="1771" w:type="dxa"/>
          </w:tcPr>
          <w:p w14:paraId="31906F4B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Study duration</w:t>
            </w:r>
          </w:p>
        </w:tc>
        <w:tc>
          <w:tcPr>
            <w:tcW w:w="1771" w:type="dxa"/>
          </w:tcPr>
          <w:p w14:paraId="0D0A545C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-0.17 (-0.28 to -0.07)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p=0.002</w:t>
            </w:r>
          </w:p>
        </w:tc>
        <w:tc>
          <w:tcPr>
            <w:tcW w:w="5314" w:type="dxa"/>
            <w:gridSpan w:val="3"/>
          </w:tcPr>
          <w:p w14:paraId="6053052B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7C854B40" w14:textId="77777777" w:rsidTr="00D32774">
        <w:tc>
          <w:tcPr>
            <w:tcW w:w="1771" w:type="dxa"/>
          </w:tcPr>
          <w:p w14:paraId="75F1A33A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 xml:space="preserve">Required NIH </w:t>
            </w:r>
            <w:r w:rsidRPr="00937019">
              <w:rPr>
                <w:rFonts w:ascii="Arial" w:hAnsi="Arial" w:cs="Arial"/>
                <w:sz w:val="20"/>
                <w:szCs w:val="20"/>
              </w:rPr>
              <w:lastRenderedPageBreak/>
              <w:t>CPSI cut-off score</w:t>
            </w:r>
          </w:p>
        </w:tc>
        <w:tc>
          <w:tcPr>
            <w:tcW w:w="1771" w:type="dxa"/>
          </w:tcPr>
          <w:p w14:paraId="520FCBCD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lastRenderedPageBreak/>
              <w:t>4.3 (1.2 to 7.4)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019">
              <w:rPr>
                <w:rFonts w:ascii="Arial" w:hAnsi="Arial" w:cs="Arial"/>
                <w:sz w:val="20"/>
                <w:szCs w:val="20"/>
              </w:rPr>
              <w:lastRenderedPageBreak/>
              <w:t>p=0.008</w:t>
            </w:r>
          </w:p>
        </w:tc>
        <w:tc>
          <w:tcPr>
            <w:tcW w:w="5314" w:type="dxa"/>
            <w:gridSpan w:val="3"/>
          </w:tcPr>
          <w:p w14:paraId="430A4852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14570930" w14:textId="77777777" w:rsidTr="00D32774">
        <w:tc>
          <w:tcPr>
            <w:tcW w:w="1771" w:type="dxa"/>
          </w:tcPr>
          <w:p w14:paraId="20A4D1CF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lastRenderedPageBreak/>
              <w:t>Required subjective symptoms</w:t>
            </w:r>
          </w:p>
        </w:tc>
        <w:tc>
          <w:tcPr>
            <w:tcW w:w="1771" w:type="dxa"/>
          </w:tcPr>
          <w:p w14:paraId="6E11B9E7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9.5 (2.3 to 16.8)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p=0.01</w:t>
            </w:r>
          </w:p>
        </w:tc>
        <w:tc>
          <w:tcPr>
            <w:tcW w:w="5314" w:type="dxa"/>
            <w:gridSpan w:val="3"/>
          </w:tcPr>
          <w:p w14:paraId="3915CC9A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1DCDF2E8" w14:textId="77777777" w:rsidTr="00D32774">
        <w:tc>
          <w:tcPr>
            <w:tcW w:w="1771" w:type="dxa"/>
          </w:tcPr>
          <w:p w14:paraId="6A0836B9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Required symptoms lasting longer than X months</w:t>
            </w:r>
          </w:p>
        </w:tc>
        <w:tc>
          <w:tcPr>
            <w:tcW w:w="7085" w:type="dxa"/>
            <w:gridSpan w:val="4"/>
          </w:tcPr>
          <w:p w14:paraId="58285190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1E1BA603" w14:textId="77777777" w:rsidTr="00D32774">
        <w:tc>
          <w:tcPr>
            <w:tcW w:w="1771" w:type="dxa"/>
          </w:tcPr>
          <w:p w14:paraId="00EC6FD9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Required previous treatment with alpha-blocker</w:t>
            </w:r>
          </w:p>
        </w:tc>
        <w:tc>
          <w:tcPr>
            <w:tcW w:w="1771" w:type="dxa"/>
          </w:tcPr>
          <w:p w14:paraId="098B88D7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1.5 (-4.7 to 7.7)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p=0.61</w:t>
            </w:r>
          </w:p>
        </w:tc>
        <w:tc>
          <w:tcPr>
            <w:tcW w:w="5314" w:type="dxa"/>
            <w:gridSpan w:val="3"/>
          </w:tcPr>
          <w:p w14:paraId="490D4BA4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4E291E4C" w14:textId="77777777" w:rsidTr="00D32774">
        <w:tc>
          <w:tcPr>
            <w:tcW w:w="8856" w:type="dxa"/>
            <w:gridSpan w:val="5"/>
          </w:tcPr>
          <w:p w14:paraId="25BC9191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Alpha-Blockers</w:t>
            </w:r>
          </w:p>
        </w:tc>
      </w:tr>
      <w:tr w:rsidR="00D32774" w:rsidRPr="00937019" w14:paraId="1490E58B" w14:textId="77777777" w:rsidTr="00D32774">
        <w:tc>
          <w:tcPr>
            <w:tcW w:w="1771" w:type="dxa"/>
          </w:tcPr>
          <w:p w14:paraId="1A7C3369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Publication bias</w:t>
            </w:r>
          </w:p>
        </w:tc>
        <w:tc>
          <w:tcPr>
            <w:tcW w:w="1771" w:type="dxa"/>
          </w:tcPr>
          <w:p w14:paraId="29CD08E8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-5.5 (-13.6 to 2.7), p=0.15</w:t>
            </w:r>
          </w:p>
        </w:tc>
        <w:tc>
          <w:tcPr>
            <w:tcW w:w="1771" w:type="dxa"/>
          </w:tcPr>
          <w:p w14:paraId="39DB63E1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-2.0 (-6.4 to 2.4)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p=0.31</w:t>
            </w:r>
          </w:p>
        </w:tc>
        <w:tc>
          <w:tcPr>
            <w:tcW w:w="1771" w:type="dxa"/>
          </w:tcPr>
          <w:p w14:paraId="30938009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-3.7 (-7.0 to 0.42)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p=0.08</w:t>
            </w:r>
          </w:p>
        </w:tc>
        <w:tc>
          <w:tcPr>
            <w:tcW w:w="1772" w:type="dxa"/>
          </w:tcPr>
          <w:p w14:paraId="25A3B62F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-2.5 (-5.9 to 0.8)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p=0.11</w:t>
            </w:r>
          </w:p>
        </w:tc>
      </w:tr>
      <w:tr w:rsidR="00D32774" w:rsidRPr="00937019" w14:paraId="5EDA0D17" w14:textId="77777777" w:rsidTr="00D32774">
        <w:tc>
          <w:tcPr>
            <w:tcW w:w="1771" w:type="dxa"/>
          </w:tcPr>
          <w:p w14:paraId="15C2CF61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JADAD (total)</w:t>
            </w:r>
          </w:p>
        </w:tc>
        <w:tc>
          <w:tcPr>
            <w:tcW w:w="1771" w:type="dxa"/>
          </w:tcPr>
          <w:p w14:paraId="6D9A7375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-8.2 (-16.2 to -0.19) p=0.34</w:t>
            </w:r>
          </w:p>
        </w:tc>
        <w:tc>
          <w:tcPr>
            <w:tcW w:w="5314" w:type="dxa"/>
            <w:gridSpan w:val="3"/>
          </w:tcPr>
          <w:p w14:paraId="594C4AAF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42D008B6" w14:textId="77777777" w:rsidTr="00D32774">
        <w:tc>
          <w:tcPr>
            <w:tcW w:w="1771" w:type="dxa"/>
          </w:tcPr>
          <w:p w14:paraId="6E350C4F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Intention to treat</w:t>
            </w:r>
          </w:p>
        </w:tc>
        <w:tc>
          <w:tcPr>
            <w:tcW w:w="1771" w:type="dxa"/>
          </w:tcPr>
          <w:p w14:paraId="0426348E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0.13 (-7.6 to 7.9), p=0.97</w:t>
            </w:r>
          </w:p>
        </w:tc>
        <w:tc>
          <w:tcPr>
            <w:tcW w:w="5314" w:type="dxa"/>
            <w:gridSpan w:val="3"/>
          </w:tcPr>
          <w:p w14:paraId="48BAD6D2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7F1B772E" w14:textId="77777777" w:rsidTr="00D32774">
        <w:tc>
          <w:tcPr>
            <w:tcW w:w="1771" w:type="dxa"/>
          </w:tcPr>
          <w:p w14:paraId="41EB0077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Adequate Sequence Generation</w:t>
            </w:r>
          </w:p>
        </w:tc>
        <w:tc>
          <w:tcPr>
            <w:tcW w:w="1771" w:type="dxa"/>
          </w:tcPr>
          <w:p w14:paraId="6F7DA09B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4.5 (-3.6 to 12.6) p=0.21</w:t>
            </w:r>
          </w:p>
        </w:tc>
        <w:tc>
          <w:tcPr>
            <w:tcW w:w="5314" w:type="dxa"/>
            <w:gridSpan w:val="3"/>
          </w:tcPr>
          <w:p w14:paraId="4187502C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35ADBA90" w14:textId="77777777" w:rsidTr="00D32774">
        <w:tc>
          <w:tcPr>
            <w:tcW w:w="1771" w:type="dxa"/>
          </w:tcPr>
          <w:p w14:paraId="5BB81FB0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Allocation Concealment</w:t>
            </w:r>
          </w:p>
        </w:tc>
        <w:tc>
          <w:tcPr>
            <w:tcW w:w="1771" w:type="dxa"/>
          </w:tcPr>
          <w:p w14:paraId="41A48611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1.13 ( -6.5 to    8.8) p=0.72</w:t>
            </w:r>
          </w:p>
        </w:tc>
        <w:tc>
          <w:tcPr>
            <w:tcW w:w="5314" w:type="dxa"/>
            <w:gridSpan w:val="3"/>
          </w:tcPr>
          <w:p w14:paraId="5FB81FED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3FB4FAD5" w14:textId="77777777" w:rsidTr="00D32774">
        <w:tc>
          <w:tcPr>
            <w:tcW w:w="1771" w:type="dxa"/>
          </w:tcPr>
          <w:p w14:paraId="64DAFCA1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Blinding</w:t>
            </w:r>
          </w:p>
        </w:tc>
        <w:tc>
          <w:tcPr>
            <w:tcW w:w="1771" w:type="dxa"/>
          </w:tcPr>
          <w:p w14:paraId="401A8FEB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-1.9 (-11.8 to    8.0), p=0.64</w:t>
            </w:r>
          </w:p>
        </w:tc>
        <w:tc>
          <w:tcPr>
            <w:tcW w:w="5314" w:type="dxa"/>
            <w:gridSpan w:val="3"/>
          </w:tcPr>
          <w:p w14:paraId="561005A2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3F927A38" w14:textId="77777777" w:rsidTr="00D32774">
        <w:tc>
          <w:tcPr>
            <w:tcW w:w="1771" w:type="dxa"/>
          </w:tcPr>
          <w:p w14:paraId="1D079533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Incomplete outcome</w:t>
            </w:r>
          </w:p>
        </w:tc>
        <w:tc>
          <w:tcPr>
            <w:tcW w:w="1771" w:type="dxa"/>
          </w:tcPr>
          <w:p w14:paraId="46F37482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-1.1 (-8.8 to 6.7)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p=0.74</w:t>
            </w:r>
          </w:p>
        </w:tc>
        <w:tc>
          <w:tcPr>
            <w:tcW w:w="5314" w:type="dxa"/>
            <w:gridSpan w:val="3"/>
          </w:tcPr>
          <w:p w14:paraId="04C974CC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937019" w14:paraId="79222A62" w14:textId="77777777" w:rsidTr="00D32774">
        <w:tc>
          <w:tcPr>
            <w:tcW w:w="1771" w:type="dxa"/>
          </w:tcPr>
          <w:p w14:paraId="71679473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Free of selective reporting</w:t>
            </w:r>
          </w:p>
        </w:tc>
        <w:tc>
          <w:tcPr>
            <w:tcW w:w="1771" w:type="dxa"/>
          </w:tcPr>
          <w:p w14:paraId="2DB70560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selective reporting</w:t>
            </w:r>
          </w:p>
        </w:tc>
        <w:tc>
          <w:tcPr>
            <w:tcW w:w="1771" w:type="dxa"/>
          </w:tcPr>
          <w:p w14:paraId="6156089E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selective reporting</w:t>
            </w:r>
          </w:p>
        </w:tc>
        <w:tc>
          <w:tcPr>
            <w:tcW w:w="1771" w:type="dxa"/>
          </w:tcPr>
          <w:p w14:paraId="3C957FF2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selective reporting</w:t>
            </w:r>
          </w:p>
        </w:tc>
        <w:tc>
          <w:tcPr>
            <w:tcW w:w="1772" w:type="dxa"/>
          </w:tcPr>
          <w:p w14:paraId="4E5A4BFE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selective reporting</w:t>
            </w:r>
          </w:p>
        </w:tc>
      </w:tr>
      <w:tr w:rsidR="00D32774" w:rsidRPr="00937019" w14:paraId="6CA33612" w14:textId="77777777" w:rsidTr="00D32774">
        <w:tc>
          <w:tcPr>
            <w:tcW w:w="1771" w:type="dxa"/>
          </w:tcPr>
          <w:p w14:paraId="2EC0ED03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Free of other bias</w:t>
            </w:r>
          </w:p>
        </w:tc>
        <w:tc>
          <w:tcPr>
            <w:tcW w:w="1771" w:type="dxa"/>
          </w:tcPr>
          <w:p w14:paraId="3A5145DC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other bias</w:t>
            </w:r>
          </w:p>
        </w:tc>
        <w:tc>
          <w:tcPr>
            <w:tcW w:w="1771" w:type="dxa"/>
          </w:tcPr>
          <w:p w14:paraId="5AF1E47C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other bias</w:t>
            </w:r>
          </w:p>
        </w:tc>
        <w:tc>
          <w:tcPr>
            <w:tcW w:w="1771" w:type="dxa"/>
          </w:tcPr>
          <w:p w14:paraId="0CD7418A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other bias</w:t>
            </w:r>
          </w:p>
        </w:tc>
        <w:tc>
          <w:tcPr>
            <w:tcW w:w="1772" w:type="dxa"/>
          </w:tcPr>
          <w:p w14:paraId="38FA1277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None were free of other bias</w:t>
            </w:r>
          </w:p>
        </w:tc>
      </w:tr>
      <w:tr w:rsidR="00D32774" w:rsidRPr="00937019" w14:paraId="2C37516B" w14:textId="77777777" w:rsidTr="00D32774">
        <w:tc>
          <w:tcPr>
            <w:tcW w:w="1771" w:type="dxa"/>
          </w:tcPr>
          <w:p w14:paraId="4C5E3E62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Industry Sponsorship</w:t>
            </w:r>
          </w:p>
        </w:tc>
        <w:tc>
          <w:tcPr>
            <w:tcW w:w="1771" w:type="dxa"/>
          </w:tcPr>
          <w:p w14:paraId="568C1A87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-2.6 (-7.3 to 2.1)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 p=0.22</w:t>
            </w:r>
          </w:p>
        </w:tc>
        <w:tc>
          <w:tcPr>
            <w:tcW w:w="5314" w:type="dxa"/>
            <w:gridSpan w:val="3"/>
          </w:tcPr>
          <w:p w14:paraId="57E2A095" w14:textId="77777777" w:rsidR="00D32774" w:rsidRPr="00937019" w:rsidRDefault="00D32774" w:rsidP="00D32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4CB63" w14:textId="77777777" w:rsidR="00355BCD" w:rsidRPr="00355BCD" w:rsidRDefault="00355BCD" w:rsidP="00DC1D7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355BCD" w:rsidRPr="00355BCD" w:rsidSect="003365A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B9F4" w14:textId="77777777" w:rsidR="0077049F" w:rsidRDefault="0077049F">
      <w:r>
        <w:separator/>
      </w:r>
    </w:p>
  </w:endnote>
  <w:endnote w:type="continuationSeparator" w:id="0">
    <w:p w14:paraId="6669989F" w14:textId="77777777" w:rsidR="0077049F" w:rsidRDefault="0077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6A81" w14:textId="77777777" w:rsidR="0077049F" w:rsidRDefault="0077049F" w:rsidP="002526D3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2BFB0" w14:textId="77777777" w:rsidR="0077049F" w:rsidRDefault="0077049F" w:rsidP="00252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E855" w14:textId="77777777" w:rsidR="0077049F" w:rsidRDefault="0077049F" w:rsidP="002526D3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D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B1F7AB" w14:textId="77777777" w:rsidR="0077049F" w:rsidRDefault="0077049F" w:rsidP="002526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D4F0" w14:textId="77777777" w:rsidR="0077049F" w:rsidRDefault="0077049F">
      <w:r>
        <w:separator/>
      </w:r>
    </w:p>
  </w:footnote>
  <w:footnote w:type="continuationSeparator" w:id="0">
    <w:p w14:paraId="07AB4261" w14:textId="77777777" w:rsidR="0077049F" w:rsidRDefault="0077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0F6"/>
    <w:multiLevelType w:val="hybridMultilevel"/>
    <w:tmpl w:val="C2DA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A69F3"/>
    <w:multiLevelType w:val="hybridMultilevel"/>
    <w:tmpl w:val="42A2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33266"/>
    <w:multiLevelType w:val="hybridMultilevel"/>
    <w:tmpl w:val="54D0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7B60"/>
    <w:multiLevelType w:val="hybridMultilevel"/>
    <w:tmpl w:val="456A6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FC5183"/>
    <w:multiLevelType w:val="hybridMultilevel"/>
    <w:tmpl w:val="981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4FA"/>
    <w:multiLevelType w:val="hybridMultilevel"/>
    <w:tmpl w:val="EFA2B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266E8F"/>
    <w:multiLevelType w:val="hybridMultilevel"/>
    <w:tmpl w:val="8BF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893"/>
    <w:multiLevelType w:val="hybridMultilevel"/>
    <w:tmpl w:val="89F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1E75"/>
    <w:multiLevelType w:val="hybridMultilevel"/>
    <w:tmpl w:val="2C22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110B64"/>
    <w:multiLevelType w:val="hybridMultilevel"/>
    <w:tmpl w:val="068C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AA2"/>
    <w:multiLevelType w:val="hybridMultilevel"/>
    <w:tmpl w:val="DD5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/ENLayout&gt;"/>
    <w:docVar w:name="EN.Libraries" w:val="&lt;Libraries&gt;&lt;/Libraries&gt;"/>
    <w:docVar w:name="QAorProd" w:val="Unknown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Lancet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pps included&lt;/item&gt;&lt;/Libraries&gt;&lt;/ENLibraries&gt;"/>
  </w:docVars>
  <w:rsids>
    <w:rsidRoot w:val="00DF06A5"/>
    <w:rsid w:val="000001F6"/>
    <w:rsid w:val="00003D39"/>
    <w:rsid w:val="00007415"/>
    <w:rsid w:val="00016391"/>
    <w:rsid w:val="000231A7"/>
    <w:rsid w:val="00030BE7"/>
    <w:rsid w:val="00032DFA"/>
    <w:rsid w:val="000348DC"/>
    <w:rsid w:val="00034B26"/>
    <w:rsid w:val="00037B40"/>
    <w:rsid w:val="0004387B"/>
    <w:rsid w:val="00044215"/>
    <w:rsid w:val="00045389"/>
    <w:rsid w:val="000470AE"/>
    <w:rsid w:val="0005313B"/>
    <w:rsid w:val="00056148"/>
    <w:rsid w:val="000611D0"/>
    <w:rsid w:val="000615FE"/>
    <w:rsid w:val="000627C5"/>
    <w:rsid w:val="00064160"/>
    <w:rsid w:val="00067E4F"/>
    <w:rsid w:val="00067E7B"/>
    <w:rsid w:val="00071F4C"/>
    <w:rsid w:val="00080E02"/>
    <w:rsid w:val="000813FB"/>
    <w:rsid w:val="00086515"/>
    <w:rsid w:val="00086C45"/>
    <w:rsid w:val="000A0B21"/>
    <w:rsid w:val="000A3673"/>
    <w:rsid w:val="000A3D1D"/>
    <w:rsid w:val="000A57CC"/>
    <w:rsid w:val="000B132C"/>
    <w:rsid w:val="000B31B8"/>
    <w:rsid w:val="000B55CF"/>
    <w:rsid w:val="000B6B06"/>
    <w:rsid w:val="000C04F1"/>
    <w:rsid w:val="000C33B7"/>
    <w:rsid w:val="000C37F2"/>
    <w:rsid w:val="000C4BEB"/>
    <w:rsid w:val="000C6E6F"/>
    <w:rsid w:val="000D41F6"/>
    <w:rsid w:val="000D6AB6"/>
    <w:rsid w:val="000D7BE6"/>
    <w:rsid w:val="000D7FBA"/>
    <w:rsid w:val="000E4AC0"/>
    <w:rsid w:val="000F36BD"/>
    <w:rsid w:val="000F397A"/>
    <w:rsid w:val="000F53EB"/>
    <w:rsid w:val="000F7790"/>
    <w:rsid w:val="001117D9"/>
    <w:rsid w:val="001126D9"/>
    <w:rsid w:val="0011718D"/>
    <w:rsid w:val="001224FF"/>
    <w:rsid w:val="00123FE1"/>
    <w:rsid w:val="00124BE8"/>
    <w:rsid w:val="00124E8B"/>
    <w:rsid w:val="0012585C"/>
    <w:rsid w:val="00127ED7"/>
    <w:rsid w:val="00131E5E"/>
    <w:rsid w:val="00132797"/>
    <w:rsid w:val="0013407E"/>
    <w:rsid w:val="001439B3"/>
    <w:rsid w:val="001473C1"/>
    <w:rsid w:val="00152CA5"/>
    <w:rsid w:val="00153335"/>
    <w:rsid w:val="00153E25"/>
    <w:rsid w:val="00163275"/>
    <w:rsid w:val="001707C3"/>
    <w:rsid w:val="00175577"/>
    <w:rsid w:val="0017698D"/>
    <w:rsid w:val="0017777B"/>
    <w:rsid w:val="00181255"/>
    <w:rsid w:val="00187E90"/>
    <w:rsid w:val="001A5C95"/>
    <w:rsid w:val="001B12DF"/>
    <w:rsid w:val="001B21B7"/>
    <w:rsid w:val="001B32F2"/>
    <w:rsid w:val="001B3394"/>
    <w:rsid w:val="001B5E97"/>
    <w:rsid w:val="001B6044"/>
    <w:rsid w:val="001B700E"/>
    <w:rsid w:val="001C1010"/>
    <w:rsid w:val="001C1263"/>
    <w:rsid w:val="001C4D8D"/>
    <w:rsid w:val="001C7BF4"/>
    <w:rsid w:val="001D10A5"/>
    <w:rsid w:val="001D4DDA"/>
    <w:rsid w:val="001D5849"/>
    <w:rsid w:val="001D5EDE"/>
    <w:rsid w:val="001E080D"/>
    <w:rsid w:val="001E2D3F"/>
    <w:rsid w:val="001F4BCD"/>
    <w:rsid w:val="00201289"/>
    <w:rsid w:val="00202710"/>
    <w:rsid w:val="00211067"/>
    <w:rsid w:val="00216127"/>
    <w:rsid w:val="00216234"/>
    <w:rsid w:val="00223E8E"/>
    <w:rsid w:val="00231401"/>
    <w:rsid w:val="00233C11"/>
    <w:rsid w:val="00235550"/>
    <w:rsid w:val="00240C6B"/>
    <w:rsid w:val="002421BC"/>
    <w:rsid w:val="00245A83"/>
    <w:rsid w:val="0024670B"/>
    <w:rsid w:val="002526D3"/>
    <w:rsid w:val="00253289"/>
    <w:rsid w:val="00254D55"/>
    <w:rsid w:val="002563A7"/>
    <w:rsid w:val="00261C78"/>
    <w:rsid w:val="00264425"/>
    <w:rsid w:val="00264C5F"/>
    <w:rsid w:val="002735A8"/>
    <w:rsid w:val="002813AB"/>
    <w:rsid w:val="00283A56"/>
    <w:rsid w:val="00285A3D"/>
    <w:rsid w:val="002860E0"/>
    <w:rsid w:val="002878D1"/>
    <w:rsid w:val="00291DC8"/>
    <w:rsid w:val="00297FA8"/>
    <w:rsid w:val="002A0BB7"/>
    <w:rsid w:val="002A0E61"/>
    <w:rsid w:val="002A1DE3"/>
    <w:rsid w:val="002A2234"/>
    <w:rsid w:val="002A2986"/>
    <w:rsid w:val="002A34DA"/>
    <w:rsid w:val="002A3C73"/>
    <w:rsid w:val="002B0930"/>
    <w:rsid w:val="002B0C2E"/>
    <w:rsid w:val="002C0399"/>
    <w:rsid w:val="002C0E2F"/>
    <w:rsid w:val="002C0E77"/>
    <w:rsid w:val="002C1FE1"/>
    <w:rsid w:val="002C4099"/>
    <w:rsid w:val="002C610D"/>
    <w:rsid w:val="002C6EC5"/>
    <w:rsid w:val="002D5552"/>
    <w:rsid w:val="002D62CE"/>
    <w:rsid w:val="002E0E42"/>
    <w:rsid w:val="002E1C47"/>
    <w:rsid w:val="002E1E22"/>
    <w:rsid w:val="002E2115"/>
    <w:rsid w:val="002E2D37"/>
    <w:rsid w:val="002E6707"/>
    <w:rsid w:val="002E70C6"/>
    <w:rsid w:val="002F0072"/>
    <w:rsid w:val="002F45F7"/>
    <w:rsid w:val="002F5197"/>
    <w:rsid w:val="002F5299"/>
    <w:rsid w:val="002F6309"/>
    <w:rsid w:val="00300B01"/>
    <w:rsid w:val="003061E8"/>
    <w:rsid w:val="00307E61"/>
    <w:rsid w:val="0031008B"/>
    <w:rsid w:val="003100A0"/>
    <w:rsid w:val="00313A92"/>
    <w:rsid w:val="0031468F"/>
    <w:rsid w:val="00316910"/>
    <w:rsid w:val="0032207F"/>
    <w:rsid w:val="00323595"/>
    <w:rsid w:val="0032469A"/>
    <w:rsid w:val="003330AD"/>
    <w:rsid w:val="00333D14"/>
    <w:rsid w:val="00335925"/>
    <w:rsid w:val="003365A3"/>
    <w:rsid w:val="0034293C"/>
    <w:rsid w:val="00344A04"/>
    <w:rsid w:val="0034686E"/>
    <w:rsid w:val="003469EF"/>
    <w:rsid w:val="00346DC7"/>
    <w:rsid w:val="003474F0"/>
    <w:rsid w:val="00351C97"/>
    <w:rsid w:val="0035346C"/>
    <w:rsid w:val="00353940"/>
    <w:rsid w:val="00355BCD"/>
    <w:rsid w:val="00361FF1"/>
    <w:rsid w:val="0037228F"/>
    <w:rsid w:val="003725D1"/>
    <w:rsid w:val="003760D1"/>
    <w:rsid w:val="00376430"/>
    <w:rsid w:val="00380FB7"/>
    <w:rsid w:val="00385A92"/>
    <w:rsid w:val="00385F17"/>
    <w:rsid w:val="00391012"/>
    <w:rsid w:val="003937E0"/>
    <w:rsid w:val="00393FD5"/>
    <w:rsid w:val="00394CB9"/>
    <w:rsid w:val="003954A0"/>
    <w:rsid w:val="003A10B4"/>
    <w:rsid w:val="003A3557"/>
    <w:rsid w:val="003B113E"/>
    <w:rsid w:val="003B12B7"/>
    <w:rsid w:val="003B1D0E"/>
    <w:rsid w:val="003B7732"/>
    <w:rsid w:val="003C36FA"/>
    <w:rsid w:val="003D2A60"/>
    <w:rsid w:val="003D67D3"/>
    <w:rsid w:val="003E0099"/>
    <w:rsid w:val="003E4165"/>
    <w:rsid w:val="003E54AE"/>
    <w:rsid w:val="003F018F"/>
    <w:rsid w:val="003F0463"/>
    <w:rsid w:val="003F5B72"/>
    <w:rsid w:val="003F74E2"/>
    <w:rsid w:val="00400EFF"/>
    <w:rsid w:val="00402BEA"/>
    <w:rsid w:val="00404E85"/>
    <w:rsid w:val="00407CA2"/>
    <w:rsid w:val="004178B0"/>
    <w:rsid w:val="00421B6A"/>
    <w:rsid w:val="00436768"/>
    <w:rsid w:val="00440B51"/>
    <w:rsid w:val="004426F5"/>
    <w:rsid w:val="0044615A"/>
    <w:rsid w:val="00446B40"/>
    <w:rsid w:val="00450E9C"/>
    <w:rsid w:val="00453469"/>
    <w:rsid w:val="0046057F"/>
    <w:rsid w:val="0046280D"/>
    <w:rsid w:val="0046368B"/>
    <w:rsid w:val="004738A9"/>
    <w:rsid w:val="00475F00"/>
    <w:rsid w:val="00476CA1"/>
    <w:rsid w:val="00480266"/>
    <w:rsid w:val="00481307"/>
    <w:rsid w:val="004846B7"/>
    <w:rsid w:val="004861E2"/>
    <w:rsid w:val="00491E04"/>
    <w:rsid w:val="0049365A"/>
    <w:rsid w:val="00495176"/>
    <w:rsid w:val="00496441"/>
    <w:rsid w:val="004A03EA"/>
    <w:rsid w:val="004A5E9F"/>
    <w:rsid w:val="004B5E1A"/>
    <w:rsid w:val="004B7678"/>
    <w:rsid w:val="004C0E32"/>
    <w:rsid w:val="004C7372"/>
    <w:rsid w:val="004C73EB"/>
    <w:rsid w:val="004C768F"/>
    <w:rsid w:val="004D0A59"/>
    <w:rsid w:val="004D2FFC"/>
    <w:rsid w:val="004D4348"/>
    <w:rsid w:val="004E2E39"/>
    <w:rsid w:val="004E56E9"/>
    <w:rsid w:val="004F75AE"/>
    <w:rsid w:val="004F76D2"/>
    <w:rsid w:val="004F7A06"/>
    <w:rsid w:val="00501D39"/>
    <w:rsid w:val="005024B3"/>
    <w:rsid w:val="005026DA"/>
    <w:rsid w:val="0050314B"/>
    <w:rsid w:val="0050421E"/>
    <w:rsid w:val="0050459F"/>
    <w:rsid w:val="005078D7"/>
    <w:rsid w:val="00507A3F"/>
    <w:rsid w:val="00510B2B"/>
    <w:rsid w:val="005111D5"/>
    <w:rsid w:val="00511F78"/>
    <w:rsid w:val="005178E4"/>
    <w:rsid w:val="00524C99"/>
    <w:rsid w:val="005276BD"/>
    <w:rsid w:val="0053083C"/>
    <w:rsid w:val="00532055"/>
    <w:rsid w:val="0053293B"/>
    <w:rsid w:val="0053436E"/>
    <w:rsid w:val="00534464"/>
    <w:rsid w:val="00542332"/>
    <w:rsid w:val="00544184"/>
    <w:rsid w:val="0054535B"/>
    <w:rsid w:val="00547458"/>
    <w:rsid w:val="00551BA3"/>
    <w:rsid w:val="00556586"/>
    <w:rsid w:val="00556F79"/>
    <w:rsid w:val="00564231"/>
    <w:rsid w:val="00564CAE"/>
    <w:rsid w:val="00565214"/>
    <w:rsid w:val="005708D9"/>
    <w:rsid w:val="00572ED1"/>
    <w:rsid w:val="00575125"/>
    <w:rsid w:val="00576BA3"/>
    <w:rsid w:val="00580161"/>
    <w:rsid w:val="005802A2"/>
    <w:rsid w:val="0058229F"/>
    <w:rsid w:val="00584487"/>
    <w:rsid w:val="005861C1"/>
    <w:rsid w:val="005866F9"/>
    <w:rsid w:val="00591F84"/>
    <w:rsid w:val="005927C8"/>
    <w:rsid w:val="00593777"/>
    <w:rsid w:val="00595633"/>
    <w:rsid w:val="005A1483"/>
    <w:rsid w:val="005A5A66"/>
    <w:rsid w:val="005A6084"/>
    <w:rsid w:val="005A71A4"/>
    <w:rsid w:val="005B229C"/>
    <w:rsid w:val="005B5688"/>
    <w:rsid w:val="005C0A0D"/>
    <w:rsid w:val="005C4CAF"/>
    <w:rsid w:val="005C5B58"/>
    <w:rsid w:val="005D0DB1"/>
    <w:rsid w:val="005D5C4D"/>
    <w:rsid w:val="005D6AB4"/>
    <w:rsid w:val="005D71FF"/>
    <w:rsid w:val="005E364D"/>
    <w:rsid w:val="005E612E"/>
    <w:rsid w:val="005E7A50"/>
    <w:rsid w:val="005F1B29"/>
    <w:rsid w:val="005F2729"/>
    <w:rsid w:val="005F42B3"/>
    <w:rsid w:val="005F7868"/>
    <w:rsid w:val="00602A1C"/>
    <w:rsid w:val="00605C87"/>
    <w:rsid w:val="006068FA"/>
    <w:rsid w:val="00611690"/>
    <w:rsid w:val="00613962"/>
    <w:rsid w:val="00614A45"/>
    <w:rsid w:val="0062229F"/>
    <w:rsid w:val="0063691C"/>
    <w:rsid w:val="00640002"/>
    <w:rsid w:val="006410E3"/>
    <w:rsid w:val="00641337"/>
    <w:rsid w:val="006422CD"/>
    <w:rsid w:val="00646A32"/>
    <w:rsid w:val="00664E2D"/>
    <w:rsid w:val="006657E5"/>
    <w:rsid w:val="0067602D"/>
    <w:rsid w:val="00687892"/>
    <w:rsid w:val="006A19C5"/>
    <w:rsid w:val="006A20ED"/>
    <w:rsid w:val="006B3480"/>
    <w:rsid w:val="006B7C9F"/>
    <w:rsid w:val="006C668D"/>
    <w:rsid w:val="006C6A4F"/>
    <w:rsid w:val="006D7FF1"/>
    <w:rsid w:val="006F53DB"/>
    <w:rsid w:val="00701D16"/>
    <w:rsid w:val="00703C4A"/>
    <w:rsid w:val="007053AD"/>
    <w:rsid w:val="00710AD2"/>
    <w:rsid w:val="007125B9"/>
    <w:rsid w:val="0071351E"/>
    <w:rsid w:val="0071569F"/>
    <w:rsid w:val="0072126D"/>
    <w:rsid w:val="0072239B"/>
    <w:rsid w:val="0072278D"/>
    <w:rsid w:val="00725899"/>
    <w:rsid w:val="00727871"/>
    <w:rsid w:val="00735C4C"/>
    <w:rsid w:val="00737150"/>
    <w:rsid w:val="00743DA0"/>
    <w:rsid w:val="00745FA9"/>
    <w:rsid w:val="00753013"/>
    <w:rsid w:val="00756BD0"/>
    <w:rsid w:val="00757C46"/>
    <w:rsid w:val="00761C4D"/>
    <w:rsid w:val="00762F48"/>
    <w:rsid w:val="007633AB"/>
    <w:rsid w:val="00766416"/>
    <w:rsid w:val="0077049F"/>
    <w:rsid w:val="007750B6"/>
    <w:rsid w:val="00777E42"/>
    <w:rsid w:val="00786B96"/>
    <w:rsid w:val="00793B9D"/>
    <w:rsid w:val="0079483F"/>
    <w:rsid w:val="007A5AB5"/>
    <w:rsid w:val="007B05A8"/>
    <w:rsid w:val="007B24A3"/>
    <w:rsid w:val="007B3FD0"/>
    <w:rsid w:val="007B74B9"/>
    <w:rsid w:val="007B7623"/>
    <w:rsid w:val="007C6BAF"/>
    <w:rsid w:val="007C7C85"/>
    <w:rsid w:val="007D7091"/>
    <w:rsid w:val="007D795D"/>
    <w:rsid w:val="007E0213"/>
    <w:rsid w:val="007E1764"/>
    <w:rsid w:val="007E28E5"/>
    <w:rsid w:val="007E4EED"/>
    <w:rsid w:val="007E60A6"/>
    <w:rsid w:val="007F078E"/>
    <w:rsid w:val="007F37D4"/>
    <w:rsid w:val="007F7F3B"/>
    <w:rsid w:val="0080335C"/>
    <w:rsid w:val="00806881"/>
    <w:rsid w:val="00810511"/>
    <w:rsid w:val="00811737"/>
    <w:rsid w:val="00811BA7"/>
    <w:rsid w:val="00816FDD"/>
    <w:rsid w:val="00822B39"/>
    <w:rsid w:val="00822BC6"/>
    <w:rsid w:val="00825678"/>
    <w:rsid w:val="008263E2"/>
    <w:rsid w:val="008322ED"/>
    <w:rsid w:val="00836F30"/>
    <w:rsid w:val="0084470E"/>
    <w:rsid w:val="00845464"/>
    <w:rsid w:val="00850AB4"/>
    <w:rsid w:val="008516DD"/>
    <w:rsid w:val="00853E6F"/>
    <w:rsid w:val="0086043E"/>
    <w:rsid w:val="008613CC"/>
    <w:rsid w:val="00863096"/>
    <w:rsid w:val="008647D9"/>
    <w:rsid w:val="008734C7"/>
    <w:rsid w:val="00881317"/>
    <w:rsid w:val="00882503"/>
    <w:rsid w:val="008939F5"/>
    <w:rsid w:val="008A21E3"/>
    <w:rsid w:val="008A3456"/>
    <w:rsid w:val="008A38B0"/>
    <w:rsid w:val="008A6B77"/>
    <w:rsid w:val="008B641F"/>
    <w:rsid w:val="008C54A2"/>
    <w:rsid w:val="008D13EC"/>
    <w:rsid w:val="008D2E37"/>
    <w:rsid w:val="008E2CF4"/>
    <w:rsid w:val="008F0EE6"/>
    <w:rsid w:val="008F29BA"/>
    <w:rsid w:val="008F6B5B"/>
    <w:rsid w:val="008F7299"/>
    <w:rsid w:val="008F7593"/>
    <w:rsid w:val="00903E55"/>
    <w:rsid w:val="00910680"/>
    <w:rsid w:val="00912E15"/>
    <w:rsid w:val="009130DF"/>
    <w:rsid w:val="0091379C"/>
    <w:rsid w:val="00920383"/>
    <w:rsid w:val="00924C24"/>
    <w:rsid w:val="00931B34"/>
    <w:rsid w:val="00933955"/>
    <w:rsid w:val="00933F0E"/>
    <w:rsid w:val="0093788F"/>
    <w:rsid w:val="0094073A"/>
    <w:rsid w:val="00940915"/>
    <w:rsid w:val="009429A6"/>
    <w:rsid w:val="00942C7E"/>
    <w:rsid w:val="00945E0C"/>
    <w:rsid w:val="00950B86"/>
    <w:rsid w:val="00955328"/>
    <w:rsid w:val="009561E7"/>
    <w:rsid w:val="00957DF6"/>
    <w:rsid w:val="00961612"/>
    <w:rsid w:val="0096286F"/>
    <w:rsid w:val="009717C5"/>
    <w:rsid w:val="0097234A"/>
    <w:rsid w:val="009744D8"/>
    <w:rsid w:val="00976683"/>
    <w:rsid w:val="009858B8"/>
    <w:rsid w:val="00987786"/>
    <w:rsid w:val="00987C92"/>
    <w:rsid w:val="00991656"/>
    <w:rsid w:val="00991837"/>
    <w:rsid w:val="00992A62"/>
    <w:rsid w:val="00993546"/>
    <w:rsid w:val="00993A5C"/>
    <w:rsid w:val="00996093"/>
    <w:rsid w:val="009962FC"/>
    <w:rsid w:val="009A0515"/>
    <w:rsid w:val="009A0DB3"/>
    <w:rsid w:val="009A4AE3"/>
    <w:rsid w:val="009A644D"/>
    <w:rsid w:val="009B36AA"/>
    <w:rsid w:val="009B3A1D"/>
    <w:rsid w:val="009B7252"/>
    <w:rsid w:val="009C1EEE"/>
    <w:rsid w:val="009C24B3"/>
    <w:rsid w:val="009C4CF6"/>
    <w:rsid w:val="009D233F"/>
    <w:rsid w:val="009D3D10"/>
    <w:rsid w:val="009D56E1"/>
    <w:rsid w:val="009E77B0"/>
    <w:rsid w:val="009F00B2"/>
    <w:rsid w:val="009F11E8"/>
    <w:rsid w:val="009F61DD"/>
    <w:rsid w:val="009F74A5"/>
    <w:rsid w:val="00A00C0F"/>
    <w:rsid w:val="00A032D9"/>
    <w:rsid w:val="00A1535B"/>
    <w:rsid w:val="00A1551F"/>
    <w:rsid w:val="00A276C6"/>
    <w:rsid w:val="00A321A6"/>
    <w:rsid w:val="00A34D06"/>
    <w:rsid w:val="00A353BE"/>
    <w:rsid w:val="00A363E3"/>
    <w:rsid w:val="00A433DE"/>
    <w:rsid w:val="00A47B94"/>
    <w:rsid w:val="00A52000"/>
    <w:rsid w:val="00A57FA1"/>
    <w:rsid w:val="00A6537A"/>
    <w:rsid w:val="00A703A6"/>
    <w:rsid w:val="00A80C90"/>
    <w:rsid w:val="00A81645"/>
    <w:rsid w:val="00A81D29"/>
    <w:rsid w:val="00A83428"/>
    <w:rsid w:val="00A92762"/>
    <w:rsid w:val="00A97A5A"/>
    <w:rsid w:val="00AA1D24"/>
    <w:rsid w:val="00AA202F"/>
    <w:rsid w:val="00AA6E26"/>
    <w:rsid w:val="00AA73D4"/>
    <w:rsid w:val="00AB1375"/>
    <w:rsid w:val="00AB1981"/>
    <w:rsid w:val="00AB1C58"/>
    <w:rsid w:val="00AB2926"/>
    <w:rsid w:val="00AB4F4A"/>
    <w:rsid w:val="00AB7E56"/>
    <w:rsid w:val="00AC4B44"/>
    <w:rsid w:val="00AD0209"/>
    <w:rsid w:val="00AD29AD"/>
    <w:rsid w:val="00AD4F04"/>
    <w:rsid w:val="00AE00FB"/>
    <w:rsid w:val="00AE0F81"/>
    <w:rsid w:val="00AE0FF8"/>
    <w:rsid w:val="00AE1D30"/>
    <w:rsid w:val="00AE6F6B"/>
    <w:rsid w:val="00AF58F4"/>
    <w:rsid w:val="00B01950"/>
    <w:rsid w:val="00B02BF0"/>
    <w:rsid w:val="00B03F2B"/>
    <w:rsid w:val="00B06304"/>
    <w:rsid w:val="00B100DD"/>
    <w:rsid w:val="00B110A3"/>
    <w:rsid w:val="00B14A2F"/>
    <w:rsid w:val="00B14D69"/>
    <w:rsid w:val="00B2292C"/>
    <w:rsid w:val="00B3069F"/>
    <w:rsid w:val="00B31E26"/>
    <w:rsid w:val="00B336D3"/>
    <w:rsid w:val="00B33A12"/>
    <w:rsid w:val="00B34C7C"/>
    <w:rsid w:val="00B4275B"/>
    <w:rsid w:val="00B4704C"/>
    <w:rsid w:val="00B5515B"/>
    <w:rsid w:val="00B551AC"/>
    <w:rsid w:val="00B62DC8"/>
    <w:rsid w:val="00B64955"/>
    <w:rsid w:val="00B64DFC"/>
    <w:rsid w:val="00B656B0"/>
    <w:rsid w:val="00B6572C"/>
    <w:rsid w:val="00B70EE1"/>
    <w:rsid w:val="00B7493F"/>
    <w:rsid w:val="00B74F32"/>
    <w:rsid w:val="00B75DD0"/>
    <w:rsid w:val="00B81CEA"/>
    <w:rsid w:val="00B86C8E"/>
    <w:rsid w:val="00B87F4A"/>
    <w:rsid w:val="00B90DE4"/>
    <w:rsid w:val="00B94869"/>
    <w:rsid w:val="00B9687A"/>
    <w:rsid w:val="00B978AD"/>
    <w:rsid w:val="00BA0CE8"/>
    <w:rsid w:val="00BA2516"/>
    <w:rsid w:val="00BA31FD"/>
    <w:rsid w:val="00BA5EA1"/>
    <w:rsid w:val="00BB1C89"/>
    <w:rsid w:val="00BB3A13"/>
    <w:rsid w:val="00BC32CC"/>
    <w:rsid w:val="00BD0257"/>
    <w:rsid w:val="00BD0B7C"/>
    <w:rsid w:val="00BE39E2"/>
    <w:rsid w:val="00BE3BFE"/>
    <w:rsid w:val="00BE4048"/>
    <w:rsid w:val="00BF3772"/>
    <w:rsid w:val="00BF3EBF"/>
    <w:rsid w:val="00BF4C4D"/>
    <w:rsid w:val="00C0438D"/>
    <w:rsid w:val="00C04F48"/>
    <w:rsid w:val="00C05014"/>
    <w:rsid w:val="00C11022"/>
    <w:rsid w:val="00C16F01"/>
    <w:rsid w:val="00C23871"/>
    <w:rsid w:val="00C25BDE"/>
    <w:rsid w:val="00C27B4A"/>
    <w:rsid w:val="00C419FB"/>
    <w:rsid w:val="00C42105"/>
    <w:rsid w:val="00C4230C"/>
    <w:rsid w:val="00C4414C"/>
    <w:rsid w:val="00C52EF8"/>
    <w:rsid w:val="00C558DF"/>
    <w:rsid w:val="00C600CA"/>
    <w:rsid w:val="00C60A24"/>
    <w:rsid w:val="00C632C7"/>
    <w:rsid w:val="00C72F9E"/>
    <w:rsid w:val="00C759B6"/>
    <w:rsid w:val="00C779A3"/>
    <w:rsid w:val="00C80963"/>
    <w:rsid w:val="00C81478"/>
    <w:rsid w:val="00C84C17"/>
    <w:rsid w:val="00C855DC"/>
    <w:rsid w:val="00C877BC"/>
    <w:rsid w:val="00CA00AB"/>
    <w:rsid w:val="00CA1717"/>
    <w:rsid w:val="00CA2AEB"/>
    <w:rsid w:val="00CA2B4C"/>
    <w:rsid w:val="00CA566E"/>
    <w:rsid w:val="00CA77CA"/>
    <w:rsid w:val="00CA7FEE"/>
    <w:rsid w:val="00CB5D65"/>
    <w:rsid w:val="00CC181E"/>
    <w:rsid w:val="00CC7980"/>
    <w:rsid w:val="00CD219F"/>
    <w:rsid w:val="00CD29C3"/>
    <w:rsid w:val="00CD7D3C"/>
    <w:rsid w:val="00CE24E9"/>
    <w:rsid w:val="00CE7815"/>
    <w:rsid w:val="00CF242D"/>
    <w:rsid w:val="00CF7BC3"/>
    <w:rsid w:val="00D0554F"/>
    <w:rsid w:val="00D107C4"/>
    <w:rsid w:val="00D2019F"/>
    <w:rsid w:val="00D207CC"/>
    <w:rsid w:val="00D23FB8"/>
    <w:rsid w:val="00D248B5"/>
    <w:rsid w:val="00D2547E"/>
    <w:rsid w:val="00D260F9"/>
    <w:rsid w:val="00D30F9E"/>
    <w:rsid w:val="00D32774"/>
    <w:rsid w:val="00D32FB5"/>
    <w:rsid w:val="00D37678"/>
    <w:rsid w:val="00D4048B"/>
    <w:rsid w:val="00D4336B"/>
    <w:rsid w:val="00D471F8"/>
    <w:rsid w:val="00D52F1E"/>
    <w:rsid w:val="00D531DF"/>
    <w:rsid w:val="00D53E4A"/>
    <w:rsid w:val="00D56736"/>
    <w:rsid w:val="00D62472"/>
    <w:rsid w:val="00D62B5E"/>
    <w:rsid w:val="00D6528A"/>
    <w:rsid w:val="00D663E9"/>
    <w:rsid w:val="00D76729"/>
    <w:rsid w:val="00D77177"/>
    <w:rsid w:val="00D77558"/>
    <w:rsid w:val="00D81F7F"/>
    <w:rsid w:val="00D84AD7"/>
    <w:rsid w:val="00D8763F"/>
    <w:rsid w:val="00D91EA0"/>
    <w:rsid w:val="00D9227E"/>
    <w:rsid w:val="00D93EB5"/>
    <w:rsid w:val="00D9437C"/>
    <w:rsid w:val="00D95EB4"/>
    <w:rsid w:val="00D96C21"/>
    <w:rsid w:val="00D97C0D"/>
    <w:rsid w:val="00DA0E18"/>
    <w:rsid w:val="00DA2FEC"/>
    <w:rsid w:val="00DA32D5"/>
    <w:rsid w:val="00DA3489"/>
    <w:rsid w:val="00DA477F"/>
    <w:rsid w:val="00DB2FB9"/>
    <w:rsid w:val="00DB694D"/>
    <w:rsid w:val="00DB7091"/>
    <w:rsid w:val="00DC0C5C"/>
    <w:rsid w:val="00DC1D7B"/>
    <w:rsid w:val="00DC4600"/>
    <w:rsid w:val="00DD2E37"/>
    <w:rsid w:val="00DD4201"/>
    <w:rsid w:val="00DD58D2"/>
    <w:rsid w:val="00DD5984"/>
    <w:rsid w:val="00DD6190"/>
    <w:rsid w:val="00DD6CCA"/>
    <w:rsid w:val="00DE07BA"/>
    <w:rsid w:val="00DE401D"/>
    <w:rsid w:val="00DE4478"/>
    <w:rsid w:val="00DE4819"/>
    <w:rsid w:val="00DF06A5"/>
    <w:rsid w:val="00DF5049"/>
    <w:rsid w:val="00E02DA5"/>
    <w:rsid w:val="00E04B55"/>
    <w:rsid w:val="00E104B8"/>
    <w:rsid w:val="00E1251A"/>
    <w:rsid w:val="00E20A67"/>
    <w:rsid w:val="00E2298D"/>
    <w:rsid w:val="00E2479D"/>
    <w:rsid w:val="00E27B25"/>
    <w:rsid w:val="00E308FF"/>
    <w:rsid w:val="00E30922"/>
    <w:rsid w:val="00E318EE"/>
    <w:rsid w:val="00E34D8A"/>
    <w:rsid w:val="00E562F2"/>
    <w:rsid w:val="00E60A14"/>
    <w:rsid w:val="00E63EED"/>
    <w:rsid w:val="00E65658"/>
    <w:rsid w:val="00E65999"/>
    <w:rsid w:val="00E71452"/>
    <w:rsid w:val="00E76693"/>
    <w:rsid w:val="00E7703E"/>
    <w:rsid w:val="00E816B6"/>
    <w:rsid w:val="00E83625"/>
    <w:rsid w:val="00E91DFF"/>
    <w:rsid w:val="00E929A5"/>
    <w:rsid w:val="00E937F2"/>
    <w:rsid w:val="00E93BE5"/>
    <w:rsid w:val="00E963C1"/>
    <w:rsid w:val="00E97BBA"/>
    <w:rsid w:val="00EA0268"/>
    <w:rsid w:val="00EA4151"/>
    <w:rsid w:val="00EA690D"/>
    <w:rsid w:val="00EB0D1C"/>
    <w:rsid w:val="00EC0793"/>
    <w:rsid w:val="00EC0DCA"/>
    <w:rsid w:val="00EC4C21"/>
    <w:rsid w:val="00ED3678"/>
    <w:rsid w:val="00EE0F30"/>
    <w:rsid w:val="00EE31B8"/>
    <w:rsid w:val="00EF1772"/>
    <w:rsid w:val="00EF50A1"/>
    <w:rsid w:val="00EF5C5B"/>
    <w:rsid w:val="00EF6F6B"/>
    <w:rsid w:val="00EF7430"/>
    <w:rsid w:val="00F02C5D"/>
    <w:rsid w:val="00F0721E"/>
    <w:rsid w:val="00F15983"/>
    <w:rsid w:val="00F2013B"/>
    <w:rsid w:val="00F24681"/>
    <w:rsid w:val="00F252E9"/>
    <w:rsid w:val="00F2557B"/>
    <w:rsid w:val="00F25DB1"/>
    <w:rsid w:val="00F266C9"/>
    <w:rsid w:val="00F30EC1"/>
    <w:rsid w:val="00F33FD5"/>
    <w:rsid w:val="00F42CEE"/>
    <w:rsid w:val="00F43981"/>
    <w:rsid w:val="00F44741"/>
    <w:rsid w:val="00F509B1"/>
    <w:rsid w:val="00F55C51"/>
    <w:rsid w:val="00F56C72"/>
    <w:rsid w:val="00F600AE"/>
    <w:rsid w:val="00F6184A"/>
    <w:rsid w:val="00F72DBA"/>
    <w:rsid w:val="00F74328"/>
    <w:rsid w:val="00F757F3"/>
    <w:rsid w:val="00F817F3"/>
    <w:rsid w:val="00F824AB"/>
    <w:rsid w:val="00F8284C"/>
    <w:rsid w:val="00F845E7"/>
    <w:rsid w:val="00F861BB"/>
    <w:rsid w:val="00F97E45"/>
    <w:rsid w:val="00FA56DD"/>
    <w:rsid w:val="00FA6D22"/>
    <w:rsid w:val="00FB5D71"/>
    <w:rsid w:val="00FB6E0B"/>
    <w:rsid w:val="00FC1031"/>
    <w:rsid w:val="00FD44B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5F5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1814</Characters>
  <Application>Microsoft Macintosh Word</Application>
  <DocSecurity>0</DocSecurity>
  <Lines>259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prostatitis/chronic pelvic pain syndrome (CP/CPPS) is defined as chronic pain or discomfort in the pelvic region possibly associated with urinary symptoms and/or sexual dysfunction in the absence of any identifiable pathology such as cancer, cult</vt:lpstr>
    </vt:vector>
  </TitlesOfParts>
  <Manager/>
  <Company>Harvard Medical School</Company>
  <LinksUpToDate>false</LinksUpToDate>
  <CharactersWithSpaces>1995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prostatitis/chronic pelvic pain syndrome (CP/CPPS) is defined as chronic pain or discomfort in the pelvic region possibly associated with urinary symptoms and/or sexual dysfunction in the absence of any identifiable pathology such as cancer, cult</dc:title>
  <dc:subject/>
  <dc:creator>Adam</dc:creator>
  <cp:keywords/>
  <dc:description/>
  <cp:lastModifiedBy>Jordan Dimitrakoff, MD</cp:lastModifiedBy>
  <cp:revision>2</cp:revision>
  <cp:lastPrinted>2011-10-25T19:22:00Z</cp:lastPrinted>
  <dcterms:created xsi:type="dcterms:W3CDTF">2012-07-10T02:06:00Z</dcterms:created>
  <dcterms:modified xsi:type="dcterms:W3CDTF">2012-07-10T02:06:00Z</dcterms:modified>
  <cp:category/>
</cp:coreProperties>
</file>