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8B" w:rsidRDefault="0080228B" w:rsidP="0080228B">
      <w:pPr>
        <w:spacing w:line="240" w:lineRule="auto"/>
        <w:jc w:val="both"/>
        <w:outlineLvl w:val="0"/>
        <w:rPr>
          <w:b/>
          <w:bCs/>
        </w:rPr>
      </w:pPr>
      <w:r>
        <w:rPr>
          <w:b/>
          <w:bCs/>
        </w:rPr>
        <w:t>Table S2.  Non-HMP data sets against which the HMP OTUs were compared.</w:t>
      </w:r>
    </w:p>
    <w:p w:rsidR="0080228B" w:rsidRDefault="0080228B" w:rsidP="0080228B">
      <w:pPr>
        <w:spacing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464"/>
        <w:gridCol w:w="1248"/>
        <w:gridCol w:w="1310"/>
        <w:gridCol w:w="1284"/>
        <w:gridCol w:w="1833"/>
        <w:gridCol w:w="1757"/>
      </w:tblGrid>
      <w:tr w:rsidR="0080228B" w:rsidRPr="009E321C" w:rsidTr="00C416E0">
        <w:trPr>
          <w:trHeight w:val="900"/>
        </w:trPr>
        <w:tc>
          <w:tcPr>
            <w:tcW w:w="1217" w:type="dxa"/>
            <w:hideMark/>
          </w:tcPr>
          <w:p w:rsidR="0080228B" w:rsidRPr="009758F8" w:rsidRDefault="0080228B" w:rsidP="00C416E0">
            <w:pPr>
              <w:jc w:val="both"/>
            </w:pPr>
          </w:p>
        </w:tc>
        <w:tc>
          <w:tcPr>
            <w:tcW w:w="1464" w:type="dxa"/>
            <w:hideMark/>
          </w:tcPr>
          <w:p w:rsidR="0080228B" w:rsidRPr="00654978" w:rsidRDefault="0080228B" w:rsidP="00C416E0">
            <w:pPr>
              <w:jc w:val="both"/>
            </w:pPr>
            <w:r w:rsidRPr="009758F8">
              <w:t># volunteers sampled</w:t>
            </w:r>
          </w:p>
        </w:tc>
        <w:tc>
          <w:tcPr>
            <w:tcW w:w="1248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specific body habitat</w:t>
            </w:r>
          </w:p>
        </w:tc>
        <w:tc>
          <w:tcPr>
            <w:tcW w:w="1310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# Raw Samples</w:t>
            </w:r>
          </w:p>
        </w:tc>
        <w:tc>
          <w:tcPr>
            <w:tcW w:w="1284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Average Raw Read Depth per Sample</w:t>
            </w:r>
          </w:p>
        </w:tc>
        <w:tc>
          <w:tcPr>
            <w:tcW w:w="1833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# AbundantOTUs</w:t>
            </w:r>
          </w:p>
        </w:tc>
        <w:tc>
          <w:tcPr>
            <w:tcW w:w="1220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citation</w:t>
            </w:r>
          </w:p>
        </w:tc>
      </w:tr>
      <w:tr w:rsidR="0080228B" w:rsidRPr="009E321C" w:rsidTr="00C416E0">
        <w:trPr>
          <w:trHeight w:val="600"/>
        </w:trPr>
        <w:tc>
          <w:tcPr>
            <w:tcW w:w="1217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non-HMP Oral Study</w:t>
            </w:r>
          </w:p>
        </w:tc>
        <w:tc>
          <w:tcPr>
            <w:tcW w:w="1464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4</w:t>
            </w:r>
          </w:p>
        </w:tc>
        <w:tc>
          <w:tcPr>
            <w:tcW w:w="1248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saliva</w:t>
            </w:r>
          </w:p>
        </w:tc>
        <w:tc>
          <w:tcPr>
            <w:tcW w:w="1310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20</w:t>
            </w:r>
          </w:p>
        </w:tc>
        <w:tc>
          <w:tcPr>
            <w:tcW w:w="1284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27360</w:t>
            </w:r>
          </w:p>
        </w:tc>
        <w:tc>
          <w:tcPr>
            <w:tcW w:w="1833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230</w:t>
            </w:r>
          </w:p>
        </w:tc>
        <w:tc>
          <w:tcPr>
            <w:tcW w:w="1220" w:type="dxa"/>
            <w:hideMark/>
          </w:tcPr>
          <w:p w:rsidR="0080228B" w:rsidRPr="009E321C" w:rsidRDefault="0080228B" w:rsidP="00C416E0">
            <w:pPr>
              <w:jc w:val="both"/>
            </w:pPr>
            <w:r>
              <w:fldChar w:fldCharType="begin">
                <w:fldData xml:space="preserve">PEVuZE5vdGU+PENpdGUgRXhjbHVkZVllYXI9IjEiPjxBdXRob3I+UHJpZGU8L0F1dGhvcj48UmVj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==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PEVuZE5vdGU+PENpdGUgRXhjbHVkZVllYXI9IjEiPjxBdXRob3I+UHJpZGU8L0F1dGhvcj48UmVj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==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[34]</w:t>
            </w:r>
            <w:r>
              <w:fldChar w:fldCharType="end"/>
            </w:r>
          </w:p>
        </w:tc>
      </w:tr>
      <w:tr w:rsidR="0080228B" w:rsidRPr="009E321C" w:rsidTr="00C416E0">
        <w:trPr>
          <w:trHeight w:val="600"/>
        </w:trPr>
        <w:tc>
          <w:tcPr>
            <w:tcW w:w="1217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non-HMP Stool Study</w:t>
            </w:r>
          </w:p>
        </w:tc>
        <w:tc>
          <w:tcPr>
            <w:tcW w:w="1464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18</w:t>
            </w:r>
          </w:p>
        </w:tc>
        <w:tc>
          <w:tcPr>
            <w:tcW w:w="1248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stool</w:t>
            </w:r>
          </w:p>
        </w:tc>
        <w:tc>
          <w:tcPr>
            <w:tcW w:w="1310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107</w:t>
            </w:r>
          </w:p>
        </w:tc>
        <w:tc>
          <w:tcPr>
            <w:tcW w:w="1284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12,092</w:t>
            </w:r>
          </w:p>
        </w:tc>
        <w:tc>
          <w:tcPr>
            <w:tcW w:w="1833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457</w:t>
            </w:r>
          </w:p>
        </w:tc>
        <w:tc>
          <w:tcPr>
            <w:tcW w:w="1220" w:type="dxa"/>
            <w:hideMark/>
          </w:tcPr>
          <w:p w:rsidR="0080228B" w:rsidRPr="009E321C" w:rsidRDefault="0080228B" w:rsidP="00C416E0">
            <w:pPr>
              <w:jc w:val="both"/>
            </w:pPr>
            <w:r>
              <w:fldChar w:fldCharType="begin"/>
            </w:r>
            <w:r>
              <w:instrText xml:space="preserve"> ADDIN EN.CITE &lt;EndNote&gt;&lt;Cite ExcludeYear="1"&gt;&lt;Author&gt;Davis&lt;/Author&gt;&lt;RecNum&gt;390&lt;/RecNum&gt;&lt;DisplayText&gt;[46]&lt;/DisplayText&gt;&lt;record&gt;&lt;rec-number&gt;390&lt;/rec-number&gt;&lt;foreign-keys&gt;&lt;key app="EN" db-id="9zd2zzx0htpxr4esvr45wrva92trtr0ezwf5"&gt;390&lt;/key&gt;&lt;/foreign-keys&gt;&lt;ref-type name="Journal Article"&gt;17&lt;/ref-type&gt;&lt;contributors&gt;&lt;authors&gt;&lt;author&gt;Davis, L. M.&lt;/author&gt;&lt;author&gt;Martinez, I.&lt;/author&gt;&lt;author&gt;Walter, J.&lt;/author&gt;&lt;author&gt;Goin, C.&lt;/author&gt;&lt;author&gt;Hutkins, R. W.&lt;/author&gt;&lt;/authors&gt;&lt;/contributors&gt;&lt;auth-address&gt;Department of Food Science and Technology, University of Nebraska, Lincoln, Nebraska, United States of America.&lt;/auth-address&gt;&lt;titles&gt;&lt;title&gt;Barcoded pyrosequencing reveals that consumption of galactooligosaccharides results in a highly specific bifidogenic response in humans&lt;/title&gt;&lt;secondary-title&gt;PLoS One&lt;/secondary-title&gt;&lt;/titles&gt;&lt;periodical&gt;&lt;full-title&gt;PLoS One&lt;/full-title&gt;&lt;abbr-1&gt;PloS one&lt;/abbr-1&gt;&lt;/periodical&gt;&lt;pages&gt;e25200&lt;/pages&gt;&lt;volume&gt;6&lt;/volume&gt;&lt;number&gt;9&lt;/number&gt;&lt;edition&gt;2011/10/04&lt;/edition&gt;&lt;dates&gt;&lt;/dates&gt;&lt;isbn&gt;1932-6203 (Electronic)&amp;#xD;1932-6203 (Linking)&lt;/isbn&gt;&lt;accession-num&gt;21966454&lt;/accession-num&gt;&lt;urls&gt;&lt;related-urls&gt;&lt;url&gt;http://www.ncbi.nlm.nih.gov/entrez/query.fcgi?cmd=Retrieve&amp;amp;db=PubMed&amp;amp;dopt=Citation&amp;amp;list_uids=21966454&lt;/url&gt;&lt;/related-urls&gt;&lt;/urls&gt;&lt;custom2&gt;3180383&lt;/custom2&gt;&lt;electronic-resource-num&gt;10.1371/journal.pone.0025200&amp;#xD;PONE-D-11-09271 [pii]&lt;/electronic-resource-num&gt;&lt;language&gt;eng&lt;/language&gt;&lt;/record&gt;&lt;/Cite&gt;&lt;/EndNote&gt;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[33]</w:t>
            </w:r>
            <w:r>
              <w:fldChar w:fldCharType="end"/>
            </w:r>
          </w:p>
        </w:tc>
      </w:tr>
      <w:tr w:rsidR="0080228B" w:rsidRPr="009E321C" w:rsidTr="00C416E0">
        <w:trPr>
          <w:trHeight w:val="600"/>
        </w:trPr>
        <w:tc>
          <w:tcPr>
            <w:tcW w:w="1217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non-HMP Vagina</w:t>
            </w:r>
            <w:r>
              <w:t>l</w:t>
            </w:r>
            <w:r w:rsidRPr="009E321C">
              <w:t xml:space="preserve"> Study</w:t>
            </w:r>
          </w:p>
        </w:tc>
        <w:tc>
          <w:tcPr>
            <w:tcW w:w="1464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32</w:t>
            </w:r>
          </w:p>
        </w:tc>
        <w:tc>
          <w:tcPr>
            <w:tcW w:w="1248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 xml:space="preserve">mid-vagina &amp; </w:t>
            </w:r>
            <w:r>
              <w:t>vaginal “</w:t>
            </w:r>
            <w:r w:rsidRPr="009E321C">
              <w:t>smears</w:t>
            </w:r>
            <w:r>
              <w:t>”</w:t>
            </w:r>
          </w:p>
        </w:tc>
        <w:tc>
          <w:tcPr>
            <w:tcW w:w="1310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1173</w:t>
            </w:r>
          </w:p>
        </w:tc>
        <w:tc>
          <w:tcPr>
            <w:tcW w:w="1284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2578</w:t>
            </w:r>
          </w:p>
        </w:tc>
        <w:tc>
          <w:tcPr>
            <w:tcW w:w="1833" w:type="dxa"/>
            <w:hideMark/>
          </w:tcPr>
          <w:p w:rsidR="0080228B" w:rsidRPr="009E321C" w:rsidRDefault="0080228B" w:rsidP="00C416E0">
            <w:pPr>
              <w:jc w:val="both"/>
            </w:pPr>
            <w:r w:rsidRPr="009E321C">
              <w:t>317</w:t>
            </w:r>
          </w:p>
        </w:tc>
        <w:tc>
          <w:tcPr>
            <w:tcW w:w="1220" w:type="dxa"/>
            <w:hideMark/>
          </w:tcPr>
          <w:p w:rsidR="0080228B" w:rsidRPr="009E321C" w:rsidRDefault="0080228B" w:rsidP="00C416E0">
            <w:pPr>
              <w:jc w:val="both"/>
            </w:pPr>
            <w:r>
              <w:t>(personal communication, Jacques Ravel)</w:t>
            </w:r>
          </w:p>
        </w:tc>
      </w:tr>
    </w:tbl>
    <w:p w:rsidR="0080228B" w:rsidRDefault="0080228B" w:rsidP="0080228B">
      <w:pPr>
        <w:spacing w:line="240" w:lineRule="auto"/>
        <w:jc w:val="both"/>
        <w:rPr>
          <w:b/>
          <w:bCs/>
        </w:rPr>
      </w:pPr>
      <w:bookmarkStart w:id="0" w:name="_GoBack"/>
      <w:bookmarkEnd w:id="0"/>
    </w:p>
    <w:sectPr w:rsidR="0080228B" w:rsidSect="00A96823">
      <w:footerReference w:type="default" r:id="rId5"/>
      <w:pgSz w:w="15840" w:h="12240" w:orient="landscape"/>
      <w:pgMar w:top="1440" w:right="1440" w:bottom="1440" w:left="1440" w:header="706" w:footer="706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13" w:rsidRDefault="0080228B">
    <w:pPr>
      <w:spacing w:after="20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B"/>
    <w:rsid w:val="00653B27"/>
    <w:rsid w:val="008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06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8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8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0228B"/>
  </w:style>
  <w:style w:type="paragraph" w:styleId="BalloonText">
    <w:name w:val="Balloon Text"/>
    <w:basedOn w:val="Normal"/>
    <w:link w:val="BalloonTextChar"/>
    <w:uiPriority w:val="99"/>
    <w:semiHidden/>
    <w:unhideWhenUsed/>
    <w:rsid w:val="0080228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8B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0228B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8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28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0228B"/>
  </w:style>
  <w:style w:type="paragraph" w:styleId="BalloonText">
    <w:name w:val="Balloon Text"/>
    <w:basedOn w:val="Normal"/>
    <w:link w:val="BalloonTextChar"/>
    <w:uiPriority w:val="99"/>
    <w:semiHidden/>
    <w:unhideWhenUsed/>
    <w:rsid w:val="0080228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8B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0228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Earl</dc:creator>
  <cp:keywords/>
  <dc:description/>
  <cp:lastModifiedBy>Ashlee Earl</cp:lastModifiedBy>
  <cp:revision>1</cp:revision>
  <dcterms:created xsi:type="dcterms:W3CDTF">2012-07-04T20:22:00Z</dcterms:created>
  <dcterms:modified xsi:type="dcterms:W3CDTF">2012-07-04T20:24:00Z</dcterms:modified>
</cp:coreProperties>
</file>