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Default Extension="png" ContentType="image/png"/>
  <Default Extension="pict" ContentType="image/pict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wmf" ContentType="image/x-wmf"/>
  <Override PartName="/word/document.xml" ContentType="application/vnd.openxmlformats-officedocument.wordprocessingml.document.main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305FB" w:rsidRPr="00387BB3" w:rsidRDefault="004305FB" w:rsidP="004305FB">
      <w:pPr>
        <w:spacing w:line="480" w:lineRule="auto"/>
        <w:rPr>
          <w:rFonts w:ascii="Arial" w:hAnsi="Arial" w:cs="Arial"/>
          <w:b/>
          <w:sz w:val="32"/>
          <w:szCs w:val="28"/>
        </w:rPr>
      </w:pPr>
      <w:r w:rsidRPr="00387BB3">
        <w:rPr>
          <w:rFonts w:ascii="Arial" w:hAnsi="Arial" w:cs="Arial"/>
          <w:b/>
          <w:sz w:val="32"/>
          <w:u w:val="single"/>
        </w:rPr>
        <w:t>Supplementary Material</w:t>
      </w:r>
    </w:p>
    <w:p w:rsidR="004305FB" w:rsidRPr="00387BB3" w:rsidRDefault="004305FB" w:rsidP="004305FB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4305FB" w:rsidRPr="00387BB3" w:rsidRDefault="004305FB" w:rsidP="004305FB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4305FB" w:rsidRPr="00387BB3" w:rsidRDefault="004305FB" w:rsidP="004305FB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4305FB" w:rsidRPr="00387BB3" w:rsidRDefault="004305FB" w:rsidP="004305FB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387BB3">
        <w:rPr>
          <w:rFonts w:ascii="Arial" w:hAnsi="Arial" w:cs="Arial"/>
          <w:b/>
          <w:sz w:val="28"/>
          <w:szCs w:val="28"/>
        </w:rPr>
        <w:t>Universal Access to HIV treatment Versus Universal ‘Test and Treat’: transmission, drug resistance</w:t>
      </w:r>
    </w:p>
    <w:p w:rsidR="004305FB" w:rsidRPr="00387BB3" w:rsidRDefault="004305FB" w:rsidP="004305FB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387BB3">
        <w:rPr>
          <w:rFonts w:ascii="Arial" w:hAnsi="Arial" w:cs="Arial"/>
          <w:b/>
          <w:sz w:val="28"/>
          <w:szCs w:val="28"/>
        </w:rPr>
        <w:t xml:space="preserve"> &amp; </w:t>
      </w:r>
      <w:proofErr w:type="gramStart"/>
      <w:r w:rsidRPr="00387BB3">
        <w:rPr>
          <w:rFonts w:ascii="Arial" w:hAnsi="Arial" w:cs="Arial"/>
          <w:b/>
          <w:sz w:val="28"/>
          <w:szCs w:val="28"/>
        </w:rPr>
        <w:t>treatment</w:t>
      </w:r>
      <w:proofErr w:type="gramEnd"/>
      <w:r w:rsidRPr="00387BB3">
        <w:rPr>
          <w:rFonts w:ascii="Arial" w:hAnsi="Arial" w:cs="Arial"/>
          <w:b/>
          <w:sz w:val="28"/>
          <w:szCs w:val="28"/>
        </w:rPr>
        <w:t xml:space="preserve"> costs</w:t>
      </w:r>
    </w:p>
    <w:p w:rsidR="004305FB" w:rsidRPr="00387BB3" w:rsidRDefault="004305FB" w:rsidP="004305FB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387BB3">
        <w:rPr>
          <w:rFonts w:ascii="Arial" w:hAnsi="Arial" w:cs="Arial"/>
          <w:b/>
          <w:sz w:val="28"/>
          <w:szCs w:val="28"/>
        </w:rPr>
        <w:t xml:space="preserve">  </w:t>
      </w:r>
    </w:p>
    <w:p w:rsidR="004305FB" w:rsidRPr="00387BB3" w:rsidRDefault="004305FB" w:rsidP="004305FB">
      <w:pPr>
        <w:spacing w:line="480" w:lineRule="auto"/>
        <w:rPr>
          <w:rFonts w:ascii="Arial" w:hAnsi="Arial" w:cs="Arial"/>
        </w:rPr>
      </w:pPr>
    </w:p>
    <w:p w:rsidR="004305FB" w:rsidRPr="00387BB3" w:rsidRDefault="004305FB" w:rsidP="004305FB">
      <w:pPr>
        <w:spacing w:line="480" w:lineRule="auto"/>
        <w:rPr>
          <w:rFonts w:ascii="Arial" w:hAnsi="Arial" w:cs="Arial"/>
        </w:rPr>
      </w:pPr>
    </w:p>
    <w:p w:rsidR="004305FB" w:rsidRPr="00387BB3" w:rsidRDefault="004305FB" w:rsidP="004305FB">
      <w:pPr>
        <w:spacing w:line="480" w:lineRule="auto"/>
        <w:jc w:val="center"/>
        <w:rPr>
          <w:rFonts w:ascii="Arial" w:hAnsi="Arial" w:cs="Arial"/>
        </w:rPr>
      </w:pPr>
      <w:r w:rsidRPr="00387BB3">
        <w:rPr>
          <w:rFonts w:ascii="Arial" w:hAnsi="Arial" w:cs="Arial"/>
        </w:rPr>
        <w:t xml:space="preserve"> Bradley G. Wagner</w:t>
      </w:r>
      <w:r w:rsidRPr="00387BB3">
        <w:rPr>
          <w:rFonts w:ascii="Arial" w:hAnsi="Arial" w:cs="Arial"/>
          <w:vertAlign w:val="superscript"/>
        </w:rPr>
        <w:t>1</w:t>
      </w:r>
      <w:r w:rsidRPr="00387BB3">
        <w:rPr>
          <w:rFonts w:ascii="Arial" w:hAnsi="Arial" w:cs="Arial"/>
        </w:rPr>
        <w:t>, Sally Blower</w:t>
      </w:r>
      <w:r w:rsidRPr="00387BB3">
        <w:rPr>
          <w:rFonts w:ascii="Arial" w:hAnsi="Arial" w:cs="Arial"/>
          <w:vertAlign w:val="superscript"/>
        </w:rPr>
        <w:t>1#</w:t>
      </w:r>
    </w:p>
    <w:p w:rsidR="004305FB" w:rsidRPr="00387BB3" w:rsidRDefault="004305FB" w:rsidP="004305FB">
      <w:pPr>
        <w:spacing w:line="480" w:lineRule="auto"/>
        <w:rPr>
          <w:rFonts w:ascii="Arial" w:hAnsi="Arial" w:cs="Arial"/>
        </w:rPr>
      </w:pPr>
    </w:p>
    <w:p w:rsidR="004305FB" w:rsidRPr="00387BB3" w:rsidRDefault="004305FB" w:rsidP="004305FB">
      <w:pPr>
        <w:spacing w:line="480" w:lineRule="auto"/>
        <w:rPr>
          <w:rFonts w:ascii="Arial" w:hAnsi="Arial" w:cs="Arial"/>
        </w:rPr>
      </w:pPr>
      <w:r w:rsidRPr="00387BB3">
        <w:rPr>
          <w:rFonts w:ascii="Arial" w:hAnsi="Arial" w:cs="Arial"/>
        </w:rPr>
        <w:t xml:space="preserve">Affiliations: </w:t>
      </w:r>
      <w:r w:rsidRPr="00387BB3">
        <w:rPr>
          <w:rFonts w:ascii="Arial" w:hAnsi="Arial" w:cs="Arial"/>
          <w:vertAlign w:val="superscript"/>
        </w:rPr>
        <w:t>1</w:t>
      </w:r>
      <w:r w:rsidRPr="00387BB3">
        <w:rPr>
          <w:rFonts w:ascii="Arial" w:hAnsi="Arial" w:cs="Arial"/>
        </w:rPr>
        <w:t>David Geffen School of Medicine, University of California Los Angeles, Los Angeles, California.</w:t>
      </w:r>
    </w:p>
    <w:p w:rsidR="004305FB" w:rsidRPr="00387BB3" w:rsidRDefault="004305FB" w:rsidP="004305FB">
      <w:pPr>
        <w:spacing w:line="480" w:lineRule="auto"/>
        <w:rPr>
          <w:rFonts w:ascii="Arial" w:hAnsi="Arial" w:cs="Arial"/>
        </w:rPr>
      </w:pPr>
      <w:r w:rsidRPr="00387BB3">
        <w:rPr>
          <w:rFonts w:ascii="Arial" w:hAnsi="Arial" w:cs="Arial"/>
          <w:vertAlign w:val="superscript"/>
        </w:rPr>
        <w:t>#</w:t>
      </w:r>
      <w:r w:rsidRPr="00387BB3">
        <w:rPr>
          <w:rFonts w:ascii="Arial" w:hAnsi="Arial" w:cs="Arial"/>
        </w:rPr>
        <w:t xml:space="preserve">Corresponding author: </w:t>
      </w:r>
      <w:hyperlink r:id="rId7" w:history="1">
        <w:r w:rsidRPr="00387BB3">
          <w:rPr>
            <w:rStyle w:val="Hyperlink1"/>
            <w:rFonts w:ascii="Arial" w:hAnsi="Arial" w:cs="Arial"/>
          </w:rPr>
          <w:t>sblower@mednet.ucla.edu</w:t>
        </w:r>
      </w:hyperlink>
    </w:p>
    <w:p w:rsidR="004305FB" w:rsidRPr="00387BB3" w:rsidRDefault="004305FB" w:rsidP="004305FB">
      <w:pPr>
        <w:rPr>
          <w:rFonts w:ascii="Arial" w:hAnsi="Arial"/>
        </w:rPr>
      </w:pPr>
    </w:p>
    <w:p w:rsidR="004305FB" w:rsidRPr="00387BB3" w:rsidRDefault="004305FB" w:rsidP="004305FB">
      <w:pPr>
        <w:rPr>
          <w:rFonts w:ascii="Arial" w:hAnsi="Arial"/>
        </w:rPr>
      </w:pPr>
    </w:p>
    <w:p w:rsidR="004305FB" w:rsidRPr="00387BB3" w:rsidRDefault="004305FB" w:rsidP="004305FB">
      <w:pPr>
        <w:rPr>
          <w:rFonts w:ascii="Arial" w:hAnsi="Arial"/>
        </w:rPr>
      </w:pPr>
    </w:p>
    <w:p w:rsidR="001530AA" w:rsidRPr="00387BB3" w:rsidRDefault="00E53D05" w:rsidP="00F56388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HIV </w:t>
      </w:r>
      <w:r w:rsidR="00911C75" w:rsidRPr="00387BB3">
        <w:rPr>
          <w:rFonts w:ascii="Arial" w:hAnsi="Arial"/>
          <w:b/>
        </w:rPr>
        <w:t>transmission model</w:t>
      </w:r>
      <w:r w:rsidR="0016480D" w:rsidRPr="00387BB3">
        <w:rPr>
          <w:rFonts w:ascii="Arial" w:hAnsi="Arial"/>
          <w:b/>
        </w:rPr>
        <w:t xml:space="preserve"> structure</w:t>
      </w:r>
    </w:p>
    <w:p w:rsidR="00167422" w:rsidRPr="00167422" w:rsidRDefault="004305FB" w:rsidP="00167422">
      <w:pPr>
        <w:spacing w:line="360" w:lineRule="auto"/>
        <w:rPr>
          <w:rFonts w:ascii="Arial" w:hAnsi="Arial"/>
        </w:rPr>
      </w:pPr>
      <w:r w:rsidRPr="00387BB3">
        <w:rPr>
          <w:rFonts w:ascii="Arial" w:hAnsi="Arial"/>
        </w:rPr>
        <w:tab/>
      </w:r>
      <w:r w:rsidR="001530AA" w:rsidRPr="00387BB3">
        <w:rPr>
          <w:rFonts w:ascii="Arial" w:hAnsi="Arial"/>
        </w:rPr>
        <w:t>To predict th</w:t>
      </w:r>
      <w:r w:rsidR="00C669BC">
        <w:rPr>
          <w:rFonts w:ascii="Arial" w:hAnsi="Arial"/>
        </w:rPr>
        <w:t>e epidemiological impact of implementing the universal ‘test and teat’ strategy (T&amp;T) and achieving uni</w:t>
      </w:r>
      <w:r w:rsidR="006303DF">
        <w:rPr>
          <w:rFonts w:ascii="Arial" w:hAnsi="Arial"/>
        </w:rPr>
        <w:t xml:space="preserve">versal access to treatment </w:t>
      </w:r>
      <w:r w:rsidR="001530AA" w:rsidRPr="00387BB3">
        <w:rPr>
          <w:rFonts w:ascii="Arial" w:hAnsi="Arial"/>
        </w:rPr>
        <w:t xml:space="preserve">we used a compartmental, HIV transmission model. The model includes </w:t>
      </w:r>
      <w:r w:rsidR="00B00A18" w:rsidRPr="00387BB3">
        <w:rPr>
          <w:rFonts w:ascii="Arial" w:hAnsi="Arial"/>
        </w:rPr>
        <w:t>primary, chronic and symptomatic</w:t>
      </w:r>
      <w:r w:rsidR="001530AA" w:rsidRPr="00387BB3">
        <w:rPr>
          <w:rFonts w:ascii="Arial" w:hAnsi="Arial"/>
        </w:rPr>
        <w:t xml:space="preserve"> stages of HIV infection, </w:t>
      </w:r>
      <w:r w:rsidR="00E53D05">
        <w:rPr>
          <w:rFonts w:ascii="Arial" w:hAnsi="Arial"/>
        </w:rPr>
        <w:t xml:space="preserve">HIV treatment (initiated at </w:t>
      </w:r>
      <w:r w:rsidR="001530AA" w:rsidRPr="00387BB3">
        <w:rPr>
          <w:rFonts w:ascii="Arial" w:hAnsi="Arial"/>
        </w:rPr>
        <w:t>different stages of infection), as well as acquired an</w:t>
      </w:r>
      <w:r w:rsidR="00C20B7C" w:rsidRPr="00387BB3">
        <w:rPr>
          <w:rFonts w:ascii="Arial" w:hAnsi="Arial"/>
        </w:rPr>
        <w:t>d transmitted drug resistance.</w:t>
      </w:r>
      <w:r w:rsidR="00A155CE">
        <w:rPr>
          <w:rFonts w:ascii="Arial" w:hAnsi="Arial"/>
        </w:rPr>
        <w:t xml:space="preserve"> </w:t>
      </w:r>
      <w:r w:rsidR="0072483A" w:rsidRPr="0072483A">
        <w:rPr>
          <w:rFonts w:ascii="Arial" w:hAnsi="Arial"/>
        </w:rPr>
        <w:t xml:space="preserve">The flow diagram showing the structure of </w:t>
      </w:r>
      <w:r w:rsidR="0072483A">
        <w:rPr>
          <w:rFonts w:ascii="Arial" w:hAnsi="Arial"/>
        </w:rPr>
        <w:t>the model is given in Figure S1B</w:t>
      </w:r>
      <w:r w:rsidR="0072483A" w:rsidRPr="0072483A">
        <w:rPr>
          <w:rFonts w:ascii="Arial" w:hAnsi="Arial"/>
        </w:rPr>
        <w:t>.</w:t>
      </w:r>
      <w:r w:rsidR="00C20B7C" w:rsidRPr="0072483A">
        <w:rPr>
          <w:rFonts w:ascii="Arial" w:hAnsi="Arial"/>
        </w:rPr>
        <w:t xml:space="preserve"> </w:t>
      </w:r>
      <w:r w:rsidR="007C0320">
        <w:rPr>
          <w:rFonts w:ascii="Arial" w:hAnsi="Arial"/>
        </w:rPr>
        <w:t>This model is a modified version of</w:t>
      </w:r>
      <w:r w:rsidR="005542FF">
        <w:rPr>
          <w:rFonts w:ascii="Arial" w:hAnsi="Arial"/>
        </w:rPr>
        <w:t xml:space="preserve"> that of</w:t>
      </w:r>
      <w:r w:rsidR="007C0320">
        <w:rPr>
          <w:rFonts w:ascii="Arial" w:hAnsi="Arial"/>
        </w:rPr>
        <w:t xml:space="preserve"> </w:t>
      </w:r>
      <w:proofErr w:type="spellStart"/>
      <w:r w:rsidR="007C0320">
        <w:rPr>
          <w:rFonts w:ascii="Arial" w:hAnsi="Arial"/>
        </w:rPr>
        <w:t>Granich</w:t>
      </w:r>
      <w:proofErr w:type="spellEnd"/>
      <w:r w:rsidR="007C0320">
        <w:rPr>
          <w:rFonts w:ascii="Arial" w:hAnsi="Arial"/>
        </w:rPr>
        <w:t xml:space="preserve"> et </w:t>
      </w:r>
      <w:r w:rsidR="007C0320" w:rsidRPr="007C0320">
        <w:rPr>
          <w:rFonts w:ascii="Arial" w:hAnsi="Arial"/>
          <w:i/>
        </w:rPr>
        <w:t>al.</w:t>
      </w:r>
      <w:r w:rsidR="007C0320">
        <w:rPr>
          <w:rFonts w:ascii="Arial" w:hAnsi="Arial"/>
        </w:rPr>
        <w:t xml:space="preserve"> </w:t>
      </w:r>
      <w:r w:rsidR="00182253">
        <w:rPr>
          <w:rFonts w:ascii="Arial" w:hAnsi="Arial"/>
        </w:rPr>
        <w:fldChar w:fldCharType="begin"/>
      </w:r>
      <w:r w:rsidR="007C0320">
        <w:rPr>
          <w:rFonts w:ascii="Arial" w:hAnsi="Arial"/>
        </w:rPr>
        <w:instrText xml:space="preserve"> ADDIN EN.CITE &lt;EndNote&gt;&lt;Cite&gt;&lt;Author&gt;Granich&lt;/Author&gt;&lt;Year&gt;2009&lt;/Year&gt;&lt;RecNum&gt;367&lt;/RecNum&gt;&lt;record&gt;&lt;rec-number&gt;367&lt;/rec-number&gt;&lt;foreign-keys&gt;&lt;key app="EN" db-id="zfv9x20d2p5tdwevsvjxxd2zxawddxeeafx5"&gt;367&lt;/key&gt;&lt;/foreign-keys&gt;&lt;ref-type name="Journal Article"&gt;17&lt;/ref-type&gt;&lt;contributors&gt;&lt;authors&gt;&lt;author&gt;Granich, Reuben M&lt;/author&gt;&lt;author&gt;Gilks, Charles F&lt;/author&gt;&lt;author&gt;Dye, Christopher&lt;/author&gt;&lt;author&gt;De Cock, Kevin M&lt;/author&gt;&lt;author&gt;Williams, Brian G&lt;/author&gt;&lt;/authors&gt;&lt;/contributors&gt;&lt;auth-address&gt;Department of HIV/AIDS, WHO, Geneva, Switzerland.&lt;/auth-address&gt;&lt;titles&gt;&lt;title&gt;Universal voluntary HIV testing with immediate antiretroviral therapy as a strategy for elimination of HIV transmission: a mathematical model&lt;/title&gt;&lt;secondary-title&gt;Lancet&lt;/secondary-title&gt;&lt;/titles&gt;&lt;periodical&gt;&lt;full-title&gt;Lancet&lt;/full-title&gt;&lt;abbr-1&gt;Lancet&lt;/abbr-1&gt;&lt;abbr-2&gt;Lancet&lt;/abbr-2&gt;&lt;/periodical&gt;&lt;pages&gt;48-57&lt;/pages&gt;&lt;volume&gt;373&lt;/volume&gt;&lt;number&gt;9657&lt;/number&gt;&lt;dates&gt;&lt;year&gt;2009&lt;/year&gt;&lt;pub-dates&gt;&lt;date&gt;Feb 03&lt;/date&gt;&lt;/pub-dates&gt;&lt;/dates&gt;&lt;label&gt;p01447&lt;/label&gt;&lt;urls&gt;&lt;pdf-urls&gt;&lt;url&gt;file://localhost/Users/Dave/Documents/Papers2/Articles/2009/Granich/Lancet%202009%20Granich.pdf&lt;/url&gt;&lt;/pdf-urls&gt;&lt;/urls&gt;&lt;custom3&gt;papers2://publication/uuid/622A7C4F-317E-4CF4-A026-C18F1CC4A82F&lt;/custom3&gt;&lt;electronic-resource-num&gt;10.1016/S0140-6736(08)61697-9&lt;/electronic-resource-num&gt;&lt;language&gt;eng&lt;/language&gt;&lt;/record&gt;&lt;/Cite&gt;&lt;/EndNote&gt;</w:instrText>
      </w:r>
      <w:r w:rsidR="00182253">
        <w:rPr>
          <w:rFonts w:ascii="Arial" w:hAnsi="Arial"/>
        </w:rPr>
        <w:fldChar w:fldCharType="separate"/>
      </w:r>
      <w:r w:rsidR="007C0320">
        <w:rPr>
          <w:rFonts w:ascii="Arial" w:hAnsi="Arial"/>
          <w:noProof/>
        </w:rPr>
        <w:t>[1]</w:t>
      </w:r>
      <w:r w:rsidR="00182253">
        <w:rPr>
          <w:rFonts w:ascii="Arial" w:hAnsi="Arial"/>
        </w:rPr>
        <w:fldChar w:fldCharType="end"/>
      </w:r>
      <w:r w:rsidR="007C0320">
        <w:rPr>
          <w:rFonts w:ascii="Arial" w:hAnsi="Arial"/>
        </w:rPr>
        <w:t xml:space="preserve">. </w:t>
      </w:r>
      <w:r w:rsidR="001530AA" w:rsidRPr="0072483A">
        <w:rPr>
          <w:rFonts w:ascii="Arial" w:hAnsi="Arial"/>
        </w:rPr>
        <w:t>The</w:t>
      </w:r>
      <w:r w:rsidR="001530AA" w:rsidRPr="00387BB3">
        <w:rPr>
          <w:rFonts w:ascii="Arial" w:hAnsi="Arial"/>
        </w:rPr>
        <w:t xml:space="preserve"> model is specified by the following set of differential equations:</w:t>
      </w:r>
    </w:p>
    <w:p w:rsidR="00514B04" w:rsidRPr="00387BB3" w:rsidRDefault="00B15B38" w:rsidP="00F56388">
      <w:pPr>
        <w:tabs>
          <w:tab w:val="left" w:pos="4860"/>
        </w:tabs>
        <w:spacing w:line="360" w:lineRule="auto"/>
        <w:rPr>
          <w:rFonts w:ascii="Arial" w:hAnsi="Arial"/>
          <w:b/>
        </w:rPr>
        <w:sectPr w:rsidR="00514B04" w:rsidRPr="00387BB3">
          <w:footerReference w:type="even" r:id="rId8"/>
          <w:footerReference w:type="default" r:id="rId9"/>
          <w:pgSz w:w="12240" w:h="15840"/>
          <w:pgMar w:top="1440" w:right="1440" w:bottom="1440" w:left="1440" w:gutter="0"/>
          <w:noEndnote/>
        </w:sectPr>
      </w:pPr>
      <w:r w:rsidRPr="00387BB3">
        <w:rPr>
          <w:rFonts w:ascii="Arial" w:hAnsi="Arial"/>
          <w:b/>
          <w:position w:val="-24"/>
        </w:rPr>
        <w:object w:dxaOrig="11120" w:dyaOrig="6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35pt;height:331.35pt" o:ole="">
            <v:imagedata r:id="rId10" r:pict="rId11" o:title=""/>
          </v:shape>
          <o:OLEObject Type="Embed" ProgID="Equation.DSMT4" ShapeID="_x0000_i1025" DrawAspect="Content" ObjectID="_1280214637" r:id="rId12"/>
        </w:object>
      </w:r>
    </w:p>
    <w:p w:rsidR="00514B04" w:rsidRPr="00387BB3" w:rsidRDefault="00514B04" w:rsidP="00F56388">
      <w:pPr>
        <w:tabs>
          <w:tab w:val="left" w:pos="4860"/>
        </w:tabs>
        <w:spacing w:line="360" w:lineRule="auto"/>
        <w:rPr>
          <w:rFonts w:ascii="Arial" w:hAnsi="Arial"/>
          <w:b/>
        </w:rPr>
        <w:sectPr w:rsidR="00514B04" w:rsidRPr="00387BB3">
          <w:type w:val="continuous"/>
          <w:pgSz w:w="12240" w:h="15840"/>
          <w:pgMar w:top="1440" w:right="1440" w:bottom="1440" w:left="1440" w:gutter="0"/>
          <w:noEndnote/>
        </w:sectPr>
      </w:pPr>
    </w:p>
    <w:p w:rsidR="00C42B9E" w:rsidRDefault="00C20B7C" w:rsidP="00F56388">
      <w:pPr>
        <w:spacing w:line="360" w:lineRule="auto"/>
        <w:rPr>
          <w:rFonts w:ascii="Arial" w:hAnsi="Arial"/>
        </w:rPr>
      </w:pPr>
      <w:r w:rsidRPr="00387BB3">
        <w:rPr>
          <w:rFonts w:ascii="Arial" w:hAnsi="Arial"/>
        </w:rPr>
        <w:t xml:space="preserve">Here </w:t>
      </w:r>
      <w:r w:rsidRPr="00387BB3">
        <w:rPr>
          <w:rFonts w:ascii="Arial" w:hAnsi="Arial"/>
          <w:i/>
        </w:rPr>
        <w:t>S</w:t>
      </w:r>
      <w:r w:rsidRPr="00387BB3">
        <w:rPr>
          <w:rFonts w:ascii="Arial" w:hAnsi="Arial"/>
        </w:rPr>
        <w:t xml:space="preserve"> represents the size of the uninfected population and </w:t>
      </w:r>
      <w:r w:rsidRPr="00387BB3">
        <w:rPr>
          <w:rFonts w:ascii="Arial" w:hAnsi="Arial"/>
          <w:i/>
        </w:rPr>
        <w:t>N</w:t>
      </w:r>
      <w:r w:rsidRPr="00387BB3">
        <w:rPr>
          <w:rFonts w:ascii="Arial" w:hAnsi="Arial"/>
        </w:rPr>
        <w:t xml:space="preserve"> represents the total population size. </w:t>
      </w:r>
      <w:r w:rsidR="000E72E0">
        <w:rPr>
          <w:rFonts w:ascii="Arial" w:hAnsi="Arial"/>
        </w:rPr>
        <w:t>The variables</w:t>
      </w:r>
      <w:r w:rsidR="00545948" w:rsidRPr="00387BB3">
        <w:rPr>
          <w:rFonts w:ascii="Arial" w:hAnsi="Arial"/>
        </w:rPr>
        <w:t xml:space="preserve"> </w:t>
      </w:r>
      <w:r w:rsidRPr="00387BB3">
        <w:rPr>
          <w:rFonts w:ascii="Arial" w:hAnsi="Arial"/>
          <w:i/>
        </w:rPr>
        <w:t>I</w:t>
      </w:r>
      <w:r w:rsidRPr="00387BB3">
        <w:rPr>
          <w:rFonts w:ascii="Arial" w:hAnsi="Arial"/>
          <w:vertAlign w:val="subscript"/>
        </w:rPr>
        <w:t>1</w:t>
      </w:r>
      <w:r w:rsidR="007C0320">
        <w:rPr>
          <w:rFonts w:ascii="Arial" w:hAnsi="Arial"/>
        </w:rPr>
        <w:t>,</w:t>
      </w:r>
      <w:r w:rsidRPr="00387BB3">
        <w:rPr>
          <w:rFonts w:ascii="Arial" w:hAnsi="Arial"/>
          <w:i/>
        </w:rPr>
        <w:t xml:space="preserve"> I</w:t>
      </w:r>
      <w:r w:rsidRPr="00387BB3">
        <w:rPr>
          <w:rFonts w:ascii="Arial" w:hAnsi="Arial"/>
          <w:vertAlign w:val="subscript"/>
        </w:rPr>
        <w:t>2</w:t>
      </w:r>
      <w:r w:rsidRPr="00387BB3">
        <w:rPr>
          <w:rFonts w:ascii="Arial" w:hAnsi="Arial"/>
        </w:rPr>
        <w:t xml:space="preserve"> and </w:t>
      </w:r>
      <w:r w:rsidRPr="00387BB3">
        <w:rPr>
          <w:rFonts w:ascii="Arial" w:hAnsi="Arial"/>
          <w:i/>
        </w:rPr>
        <w:t>I</w:t>
      </w:r>
      <w:r w:rsidRPr="00387BB3">
        <w:rPr>
          <w:rFonts w:ascii="Arial" w:hAnsi="Arial"/>
          <w:vertAlign w:val="subscript"/>
        </w:rPr>
        <w:t>3</w:t>
      </w:r>
      <w:r w:rsidR="007C0320">
        <w:rPr>
          <w:rFonts w:ascii="Arial" w:hAnsi="Arial"/>
        </w:rPr>
        <w:t xml:space="preserve"> denote the number of HIV-infected i</w:t>
      </w:r>
      <w:r w:rsidRPr="00387BB3">
        <w:rPr>
          <w:rFonts w:ascii="Arial" w:hAnsi="Arial"/>
        </w:rPr>
        <w:t>ndividu</w:t>
      </w:r>
      <w:r w:rsidR="00DD5120" w:rsidRPr="00387BB3">
        <w:rPr>
          <w:rFonts w:ascii="Arial" w:hAnsi="Arial"/>
        </w:rPr>
        <w:t>als in primary, chronic and symptomatic</w:t>
      </w:r>
      <w:r w:rsidRPr="00387BB3">
        <w:rPr>
          <w:rFonts w:ascii="Arial" w:hAnsi="Arial"/>
        </w:rPr>
        <w:t xml:space="preserve"> stages of infection. </w:t>
      </w:r>
      <w:r w:rsidRPr="00387BB3">
        <w:rPr>
          <w:rFonts w:ascii="Arial" w:hAnsi="Arial"/>
          <w:i/>
        </w:rPr>
        <w:t>A</w:t>
      </w:r>
      <w:r w:rsidRPr="00387BB3">
        <w:rPr>
          <w:rFonts w:ascii="Arial" w:hAnsi="Arial"/>
          <w:vertAlign w:val="subscript"/>
        </w:rPr>
        <w:t>1</w:t>
      </w:r>
      <w:r w:rsidR="007C0320">
        <w:rPr>
          <w:rFonts w:ascii="Arial" w:hAnsi="Arial"/>
        </w:rPr>
        <w:t>,</w:t>
      </w:r>
      <w:r w:rsidRPr="00387BB3">
        <w:rPr>
          <w:rFonts w:ascii="Arial" w:hAnsi="Arial"/>
        </w:rPr>
        <w:t xml:space="preserve"> </w:t>
      </w:r>
      <w:r w:rsidRPr="00387BB3">
        <w:rPr>
          <w:rFonts w:ascii="Arial" w:hAnsi="Arial"/>
          <w:i/>
        </w:rPr>
        <w:t>A</w:t>
      </w:r>
      <w:r w:rsidRPr="00387BB3">
        <w:rPr>
          <w:rFonts w:ascii="Arial" w:hAnsi="Arial"/>
          <w:vertAlign w:val="subscript"/>
        </w:rPr>
        <w:t>2</w:t>
      </w:r>
      <w:r w:rsidRPr="00387BB3">
        <w:rPr>
          <w:rFonts w:ascii="Arial" w:hAnsi="Arial"/>
        </w:rPr>
        <w:t xml:space="preserve"> and </w:t>
      </w:r>
      <w:r w:rsidRPr="00387BB3">
        <w:rPr>
          <w:rFonts w:ascii="Arial" w:hAnsi="Arial"/>
          <w:i/>
        </w:rPr>
        <w:t>A</w:t>
      </w:r>
      <w:r w:rsidRPr="00387BB3">
        <w:rPr>
          <w:rFonts w:ascii="Arial" w:hAnsi="Arial"/>
          <w:vertAlign w:val="subscript"/>
        </w:rPr>
        <w:t>3</w:t>
      </w:r>
      <w:r w:rsidRPr="00387BB3">
        <w:rPr>
          <w:rFonts w:ascii="Arial" w:hAnsi="Arial"/>
        </w:rPr>
        <w:t xml:space="preserve"> represent the number of indi</w:t>
      </w:r>
      <w:r w:rsidR="00E53D05">
        <w:rPr>
          <w:rFonts w:ascii="Arial" w:hAnsi="Arial"/>
        </w:rPr>
        <w:t>viduals receiving first-</w:t>
      </w:r>
      <w:r w:rsidR="007C0320">
        <w:rPr>
          <w:rFonts w:ascii="Arial" w:hAnsi="Arial"/>
        </w:rPr>
        <w:t>line treatment regimens</w:t>
      </w:r>
      <w:r w:rsidR="00C42B9E">
        <w:rPr>
          <w:rFonts w:ascii="Arial" w:hAnsi="Arial"/>
        </w:rPr>
        <w:t>. Individuals initiating</w:t>
      </w:r>
      <w:r w:rsidRPr="00387BB3">
        <w:rPr>
          <w:rFonts w:ascii="Arial" w:hAnsi="Arial"/>
        </w:rPr>
        <w:t xml:space="preserve"> treatment during primary i</w:t>
      </w:r>
      <w:r w:rsidR="00CB3279">
        <w:rPr>
          <w:rFonts w:ascii="Arial" w:hAnsi="Arial"/>
        </w:rPr>
        <w:t>nfection progress to treatment stage</w:t>
      </w:r>
      <w:r w:rsidRPr="00387BB3">
        <w:rPr>
          <w:rFonts w:ascii="Arial" w:hAnsi="Arial"/>
        </w:rPr>
        <w:t xml:space="preserve"> </w:t>
      </w:r>
      <w:r w:rsidRPr="00387BB3">
        <w:rPr>
          <w:rFonts w:ascii="Arial" w:hAnsi="Arial"/>
          <w:i/>
        </w:rPr>
        <w:t>A</w:t>
      </w:r>
      <w:r w:rsidRPr="00387BB3">
        <w:rPr>
          <w:rFonts w:ascii="Arial" w:hAnsi="Arial"/>
          <w:vertAlign w:val="subscript"/>
        </w:rPr>
        <w:t>1</w:t>
      </w:r>
      <w:r w:rsidRPr="00387BB3">
        <w:rPr>
          <w:rFonts w:ascii="Arial" w:hAnsi="Arial"/>
        </w:rPr>
        <w:t xml:space="preserve">, while those who initiate during </w:t>
      </w:r>
      <w:r w:rsidR="0016480D" w:rsidRPr="00387BB3">
        <w:rPr>
          <w:rFonts w:ascii="Arial" w:hAnsi="Arial"/>
        </w:rPr>
        <w:t xml:space="preserve">chronic infection progress to </w:t>
      </w:r>
      <w:r w:rsidR="0016480D" w:rsidRPr="00387BB3">
        <w:rPr>
          <w:rFonts w:ascii="Arial" w:hAnsi="Arial"/>
          <w:i/>
        </w:rPr>
        <w:t>A</w:t>
      </w:r>
      <w:r w:rsidR="0016480D" w:rsidRPr="00387BB3">
        <w:rPr>
          <w:rFonts w:ascii="Arial" w:hAnsi="Arial"/>
          <w:vertAlign w:val="subscript"/>
        </w:rPr>
        <w:t>2</w:t>
      </w:r>
      <w:r w:rsidR="00545948" w:rsidRPr="00387BB3">
        <w:rPr>
          <w:rFonts w:ascii="Arial" w:hAnsi="Arial"/>
        </w:rPr>
        <w:t>. Individuals in the symptomatic</w:t>
      </w:r>
      <w:r w:rsidRPr="00387BB3">
        <w:rPr>
          <w:rFonts w:ascii="Arial" w:hAnsi="Arial"/>
        </w:rPr>
        <w:t xml:space="preserve"> stage of infecti</w:t>
      </w:r>
      <w:r w:rsidR="000E72E0">
        <w:rPr>
          <w:rFonts w:ascii="Arial" w:hAnsi="Arial"/>
        </w:rPr>
        <w:t>on enter the treatment stage</w:t>
      </w:r>
      <w:r w:rsidR="00532FDC" w:rsidRPr="00387BB3">
        <w:rPr>
          <w:rFonts w:ascii="Arial" w:hAnsi="Arial"/>
        </w:rPr>
        <w:t xml:space="preserve"> </w:t>
      </w:r>
      <w:r w:rsidR="00532FDC" w:rsidRPr="00387BB3">
        <w:rPr>
          <w:rFonts w:ascii="Arial" w:hAnsi="Arial"/>
          <w:i/>
        </w:rPr>
        <w:t>A</w:t>
      </w:r>
      <w:r w:rsidR="00532FDC" w:rsidRPr="00387BB3">
        <w:rPr>
          <w:rFonts w:ascii="Arial" w:hAnsi="Arial"/>
          <w:vertAlign w:val="subscript"/>
        </w:rPr>
        <w:t>3</w:t>
      </w:r>
      <w:r w:rsidR="00532FDC" w:rsidRPr="00387BB3">
        <w:rPr>
          <w:rFonts w:ascii="Arial" w:hAnsi="Arial"/>
        </w:rPr>
        <w:t xml:space="preserve">. </w:t>
      </w:r>
      <w:r w:rsidR="00C42B9E">
        <w:rPr>
          <w:rFonts w:ascii="Arial" w:hAnsi="Arial"/>
        </w:rPr>
        <w:t>The variables</w:t>
      </w:r>
      <w:r w:rsidRPr="00387BB3">
        <w:rPr>
          <w:rFonts w:ascii="Arial" w:hAnsi="Arial"/>
        </w:rPr>
        <w:t xml:space="preserve"> </w:t>
      </w:r>
      <w:r w:rsidRPr="00387BB3">
        <w:rPr>
          <w:rFonts w:ascii="Arial" w:hAnsi="Arial"/>
          <w:i/>
        </w:rPr>
        <w:t>R</w:t>
      </w:r>
      <w:r w:rsidRPr="00387BB3">
        <w:rPr>
          <w:rFonts w:ascii="Arial" w:hAnsi="Arial"/>
          <w:vertAlign w:val="subscript"/>
        </w:rPr>
        <w:t>1</w:t>
      </w:r>
      <w:r w:rsidR="00CD0227" w:rsidRPr="00387BB3">
        <w:rPr>
          <w:rFonts w:ascii="Arial" w:hAnsi="Arial"/>
        </w:rPr>
        <w:t>,</w:t>
      </w:r>
      <w:r w:rsidRPr="00387BB3">
        <w:rPr>
          <w:rFonts w:ascii="Arial" w:hAnsi="Arial"/>
        </w:rPr>
        <w:t xml:space="preserve"> </w:t>
      </w:r>
      <w:r w:rsidRPr="00387BB3">
        <w:rPr>
          <w:rFonts w:ascii="Arial" w:hAnsi="Arial"/>
          <w:i/>
        </w:rPr>
        <w:t>R</w:t>
      </w:r>
      <w:r w:rsidRPr="00387BB3">
        <w:rPr>
          <w:rFonts w:ascii="Arial" w:hAnsi="Arial"/>
          <w:vertAlign w:val="subscript"/>
        </w:rPr>
        <w:t>2</w:t>
      </w:r>
      <w:r w:rsidRPr="00387BB3">
        <w:rPr>
          <w:rFonts w:ascii="Arial" w:hAnsi="Arial"/>
        </w:rPr>
        <w:t xml:space="preserve"> and </w:t>
      </w:r>
      <w:r w:rsidRPr="00387BB3">
        <w:rPr>
          <w:rFonts w:ascii="Arial" w:hAnsi="Arial"/>
          <w:i/>
        </w:rPr>
        <w:t>R</w:t>
      </w:r>
      <w:r w:rsidRPr="00387BB3">
        <w:rPr>
          <w:rFonts w:ascii="Arial" w:hAnsi="Arial"/>
          <w:vertAlign w:val="subscript"/>
        </w:rPr>
        <w:t>3</w:t>
      </w:r>
      <w:r w:rsidRPr="00387BB3">
        <w:rPr>
          <w:rFonts w:ascii="Arial" w:hAnsi="Arial"/>
        </w:rPr>
        <w:t xml:space="preserve"> denote</w:t>
      </w:r>
      <w:r w:rsidR="00B96BEA">
        <w:rPr>
          <w:rFonts w:ascii="Arial" w:hAnsi="Arial"/>
        </w:rPr>
        <w:t xml:space="preserve"> the number</w:t>
      </w:r>
      <w:r w:rsidR="007C0320">
        <w:rPr>
          <w:rFonts w:ascii="Arial" w:hAnsi="Arial"/>
        </w:rPr>
        <w:t xml:space="preserve"> of</w:t>
      </w:r>
      <w:r w:rsidRPr="00387BB3">
        <w:rPr>
          <w:rFonts w:ascii="Arial" w:hAnsi="Arial"/>
        </w:rPr>
        <w:t xml:space="preserve"> individual</w:t>
      </w:r>
      <w:r w:rsidR="007C0320">
        <w:rPr>
          <w:rFonts w:ascii="Arial" w:hAnsi="Arial"/>
        </w:rPr>
        <w:t>s infected with drug-resistant strains</w:t>
      </w:r>
      <w:r w:rsidR="00CD0227" w:rsidRPr="00387BB3">
        <w:rPr>
          <w:rFonts w:ascii="Arial" w:hAnsi="Arial"/>
        </w:rPr>
        <w:t>.</w:t>
      </w:r>
      <w:r w:rsidR="00E53D05">
        <w:rPr>
          <w:rFonts w:ascii="Arial" w:hAnsi="Arial"/>
        </w:rPr>
        <w:t xml:space="preserve"> </w:t>
      </w:r>
      <w:r w:rsidR="00FF1AB3">
        <w:rPr>
          <w:rFonts w:ascii="Arial" w:hAnsi="Arial"/>
        </w:rPr>
        <w:t xml:space="preserve">For the T&amp;T strategy, </w:t>
      </w:r>
      <w:r w:rsidR="00B96BEA">
        <w:rPr>
          <w:rFonts w:ascii="Arial" w:hAnsi="Arial"/>
        </w:rPr>
        <w:t xml:space="preserve">the sum </w:t>
      </w:r>
      <w:r w:rsidR="00C42B9E" w:rsidRPr="00174ACA">
        <w:rPr>
          <w:rFonts w:ascii="Arial" w:hAnsi="Arial"/>
          <w:i/>
        </w:rPr>
        <w:t>R</w:t>
      </w:r>
      <w:r w:rsidR="00C42B9E" w:rsidRPr="00174ACA">
        <w:rPr>
          <w:rFonts w:ascii="Arial" w:hAnsi="Arial"/>
          <w:i/>
          <w:vertAlign w:val="subscript"/>
        </w:rPr>
        <w:t>1</w:t>
      </w:r>
      <w:r w:rsidR="00B96BEA" w:rsidRPr="00174ACA">
        <w:rPr>
          <w:rFonts w:ascii="Arial" w:hAnsi="Arial"/>
          <w:i/>
        </w:rPr>
        <w:t>+ R</w:t>
      </w:r>
      <w:r w:rsidR="00B96BEA" w:rsidRPr="00174ACA">
        <w:rPr>
          <w:rFonts w:ascii="Arial" w:hAnsi="Arial"/>
          <w:i/>
          <w:vertAlign w:val="subscript"/>
        </w:rPr>
        <w:t xml:space="preserve">2 </w:t>
      </w:r>
      <w:r w:rsidR="00B96BEA" w:rsidRPr="00174ACA">
        <w:rPr>
          <w:rFonts w:ascii="Arial" w:hAnsi="Arial"/>
          <w:i/>
        </w:rPr>
        <w:t>+</w:t>
      </w:r>
      <w:r w:rsidR="00C42B9E" w:rsidRPr="00174ACA">
        <w:rPr>
          <w:rFonts w:ascii="Arial" w:hAnsi="Arial"/>
          <w:i/>
        </w:rPr>
        <w:t>R</w:t>
      </w:r>
      <w:r w:rsidR="00C42B9E" w:rsidRPr="00174ACA">
        <w:rPr>
          <w:rFonts w:ascii="Arial" w:hAnsi="Arial"/>
          <w:i/>
          <w:vertAlign w:val="subscript"/>
        </w:rPr>
        <w:t>3</w:t>
      </w:r>
      <w:r w:rsidR="00B96BEA">
        <w:rPr>
          <w:rFonts w:ascii="Arial" w:hAnsi="Arial"/>
        </w:rPr>
        <w:t xml:space="preserve"> gives the number of </w:t>
      </w:r>
      <w:r w:rsidR="00E53D05">
        <w:rPr>
          <w:rFonts w:ascii="Arial" w:hAnsi="Arial"/>
        </w:rPr>
        <w:t>individuals receiving second-</w:t>
      </w:r>
      <w:r w:rsidR="00C42B9E">
        <w:rPr>
          <w:rFonts w:ascii="Arial" w:hAnsi="Arial"/>
        </w:rPr>
        <w:t xml:space="preserve">line therapy (see Table S1 for </w:t>
      </w:r>
      <w:r w:rsidR="00B96BEA">
        <w:rPr>
          <w:rFonts w:ascii="Arial" w:hAnsi="Arial"/>
        </w:rPr>
        <w:t xml:space="preserve">parameterization). For </w:t>
      </w:r>
      <w:r w:rsidR="006303DF">
        <w:rPr>
          <w:rFonts w:ascii="Arial" w:hAnsi="Arial"/>
        </w:rPr>
        <w:t>achieving universal access to treatment</w:t>
      </w:r>
      <w:r w:rsidR="00A155CE">
        <w:rPr>
          <w:rFonts w:ascii="Arial" w:hAnsi="Arial"/>
        </w:rPr>
        <w:t>,</w:t>
      </w:r>
      <w:r w:rsidR="00B96BEA">
        <w:rPr>
          <w:rFonts w:ascii="Arial" w:hAnsi="Arial"/>
        </w:rPr>
        <w:t xml:space="preserve"> </w:t>
      </w:r>
      <w:r w:rsidR="00B96BEA" w:rsidRPr="00B15B38">
        <w:rPr>
          <w:rFonts w:ascii="Arial" w:hAnsi="Arial"/>
          <w:i/>
        </w:rPr>
        <w:t>R</w:t>
      </w:r>
      <w:r w:rsidR="00B96BEA" w:rsidRPr="00B15B38">
        <w:rPr>
          <w:rFonts w:ascii="Arial" w:hAnsi="Arial"/>
          <w:i/>
          <w:vertAlign w:val="subscript"/>
        </w:rPr>
        <w:t>3</w:t>
      </w:r>
      <w:r w:rsidR="00B96BEA">
        <w:rPr>
          <w:rFonts w:ascii="Arial" w:hAnsi="Arial"/>
        </w:rPr>
        <w:t xml:space="preserve"> represents the number </w:t>
      </w:r>
      <w:r w:rsidR="00E53D05">
        <w:rPr>
          <w:rFonts w:ascii="Arial" w:hAnsi="Arial"/>
        </w:rPr>
        <w:t>of individuals receiving second-</w:t>
      </w:r>
      <w:r w:rsidR="007C0320">
        <w:rPr>
          <w:rFonts w:ascii="Arial" w:hAnsi="Arial"/>
        </w:rPr>
        <w:t>line treatment regimens</w:t>
      </w:r>
      <w:r w:rsidR="00B96BEA">
        <w:rPr>
          <w:rFonts w:ascii="Arial" w:hAnsi="Arial"/>
        </w:rPr>
        <w:t xml:space="preserve"> while </w:t>
      </w:r>
      <w:r w:rsidR="00B96BEA" w:rsidRPr="00B15B38">
        <w:rPr>
          <w:rFonts w:ascii="Arial" w:hAnsi="Arial"/>
          <w:i/>
        </w:rPr>
        <w:t>R</w:t>
      </w:r>
      <w:r w:rsidR="00B96BEA" w:rsidRPr="00B15B38">
        <w:rPr>
          <w:rFonts w:ascii="Arial" w:hAnsi="Arial"/>
          <w:i/>
          <w:vertAlign w:val="subscript"/>
        </w:rPr>
        <w:t>1</w:t>
      </w:r>
      <w:r w:rsidR="00E53D05">
        <w:rPr>
          <w:rFonts w:ascii="Arial" w:hAnsi="Arial"/>
        </w:rPr>
        <w:t xml:space="preserve"> and </w:t>
      </w:r>
      <w:r w:rsidR="00B96BEA" w:rsidRPr="00B15B38">
        <w:rPr>
          <w:rFonts w:ascii="Arial" w:hAnsi="Arial"/>
          <w:i/>
        </w:rPr>
        <w:t>R</w:t>
      </w:r>
      <w:r w:rsidR="00B96BEA" w:rsidRPr="00B15B38">
        <w:rPr>
          <w:rFonts w:ascii="Arial" w:hAnsi="Arial"/>
          <w:i/>
          <w:vertAlign w:val="subscript"/>
        </w:rPr>
        <w:t>2</w:t>
      </w:r>
      <w:r w:rsidR="007C0320">
        <w:rPr>
          <w:rFonts w:ascii="Arial" w:hAnsi="Arial"/>
        </w:rPr>
        <w:t xml:space="preserve"> </w:t>
      </w:r>
      <w:r w:rsidR="00B96BEA">
        <w:rPr>
          <w:rFonts w:ascii="Arial" w:hAnsi="Arial"/>
        </w:rPr>
        <w:t>represent the number of individuals with transmitted resistan</w:t>
      </w:r>
      <w:r w:rsidR="007C0320">
        <w:rPr>
          <w:rFonts w:ascii="Arial" w:hAnsi="Arial"/>
        </w:rPr>
        <w:t>ce who have not yet begun treatment</w:t>
      </w:r>
      <w:r w:rsidR="00B96BEA">
        <w:rPr>
          <w:rFonts w:ascii="Arial" w:hAnsi="Arial"/>
        </w:rPr>
        <w:t xml:space="preserve"> (see Table S1 for parameterization).</w:t>
      </w:r>
      <w:r w:rsidR="00C42B9E">
        <w:rPr>
          <w:rFonts w:ascii="Arial" w:hAnsi="Arial"/>
        </w:rPr>
        <w:t xml:space="preserve"> </w:t>
      </w:r>
    </w:p>
    <w:p w:rsidR="00CA2375" w:rsidRPr="00387BB3" w:rsidRDefault="00C20B7C" w:rsidP="00F56388">
      <w:pPr>
        <w:spacing w:line="360" w:lineRule="auto"/>
        <w:rPr>
          <w:rFonts w:ascii="Arial" w:hAnsi="Arial"/>
        </w:rPr>
      </w:pPr>
      <w:r w:rsidRPr="00387BB3">
        <w:rPr>
          <w:rFonts w:ascii="Arial" w:hAnsi="Arial"/>
        </w:rPr>
        <w:t xml:space="preserve">Individuals enter the </w:t>
      </w:r>
      <w:r w:rsidR="00B52A8A">
        <w:rPr>
          <w:rFonts w:ascii="Arial" w:hAnsi="Arial"/>
        </w:rPr>
        <w:t>sexual</w:t>
      </w:r>
      <w:r w:rsidR="007C0320">
        <w:rPr>
          <w:rFonts w:ascii="Arial" w:hAnsi="Arial"/>
        </w:rPr>
        <w:t xml:space="preserve">ly active population at a rate </w:t>
      </w:r>
      <w:r w:rsidRPr="00387BB3">
        <w:rPr>
          <w:rFonts w:ascii="Arial" w:hAnsi="Arial"/>
          <w:i/>
        </w:rPr>
        <w:sym w:font="Symbol" w:char="F070"/>
      </w:r>
      <w:r w:rsidR="0016480D" w:rsidRPr="00387BB3">
        <w:rPr>
          <w:rFonts w:ascii="Arial" w:hAnsi="Arial"/>
        </w:rPr>
        <w:t xml:space="preserve"> and die at a </w:t>
      </w:r>
      <w:r w:rsidR="008F12F1" w:rsidRPr="00387BB3">
        <w:rPr>
          <w:rFonts w:ascii="Arial" w:hAnsi="Arial"/>
        </w:rPr>
        <w:t xml:space="preserve">per capita </w:t>
      </w:r>
      <w:r w:rsidR="007C0320">
        <w:rPr>
          <w:rFonts w:ascii="Arial" w:hAnsi="Arial"/>
        </w:rPr>
        <w:t>rate</w:t>
      </w:r>
      <w:r w:rsidR="0016480D" w:rsidRPr="00387BB3">
        <w:rPr>
          <w:rFonts w:ascii="Arial" w:hAnsi="Arial"/>
        </w:rPr>
        <w:t xml:space="preserve"> </w:t>
      </w:r>
      <w:r w:rsidR="0016480D" w:rsidRPr="00387BB3">
        <w:rPr>
          <w:rFonts w:ascii="Arial" w:hAnsi="Arial"/>
          <w:i/>
        </w:rPr>
        <w:sym w:font="Symbol" w:char="F06D"/>
      </w:r>
      <w:r w:rsidR="0016480D" w:rsidRPr="00387BB3">
        <w:rPr>
          <w:rFonts w:ascii="Arial" w:hAnsi="Arial"/>
        </w:rPr>
        <w:t xml:space="preserve">. </w:t>
      </w:r>
      <w:proofErr w:type="gramStart"/>
      <w:r w:rsidR="0016480D" w:rsidRPr="00387BB3">
        <w:rPr>
          <w:rFonts w:ascii="Arial" w:hAnsi="Arial"/>
        </w:rPr>
        <w:t>Treatment rates</w:t>
      </w:r>
      <w:r w:rsidR="00532FDC" w:rsidRPr="00387BB3">
        <w:rPr>
          <w:rFonts w:ascii="Arial" w:hAnsi="Arial"/>
        </w:rPr>
        <w:t xml:space="preserve"> in primary, chronic,</w:t>
      </w:r>
      <w:r w:rsidR="00545948" w:rsidRPr="00387BB3">
        <w:rPr>
          <w:rFonts w:ascii="Arial" w:hAnsi="Arial"/>
        </w:rPr>
        <w:t xml:space="preserve"> and symptomatic</w:t>
      </w:r>
      <w:r w:rsidR="00532FDC" w:rsidRPr="00387BB3">
        <w:rPr>
          <w:rFonts w:ascii="Arial" w:hAnsi="Arial"/>
        </w:rPr>
        <w:t xml:space="preserve"> s</w:t>
      </w:r>
      <w:r w:rsidR="00545948" w:rsidRPr="00387BB3">
        <w:rPr>
          <w:rFonts w:ascii="Arial" w:hAnsi="Arial"/>
        </w:rPr>
        <w:t xml:space="preserve">tages of infections are represented </w:t>
      </w:r>
      <w:r w:rsidR="00B87E03" w:rsidRPr="00387BB3">
        <w:rPr>
          <w:rFonts w:ascii="Arial" w:hAnsi="Arial"/>
        </w:rPr>
        <w:t xml:space="preserve">by </w:t>
      </w:r>
      <w:r w:rsidR="00B87E03" w:rsidRPr="00387BB3">
        <w:rPr>
          <w:rFonts w:ascii="Arial" w:hAnsi="Arial"/>
          <w:i/>
        </w:rPr>
        <w:sym w:font="Symbol" w:char="F074"/>
      </w:r>
      <w:r w:rsidR="00B87E03" w:rsidRPr="00387BB3">
        <w:rPr>
          <w:rFonts w:ascii="Arial" w:hAnsi="Arial"/>
          <w:vertAlign w:val="subscript"/>
        </w:rPr>
        <w:t>1</w:t>
      </w:r>
      <w:r w:rsidR="00B87E03" w:rsidRPr="00387BB3">
        <w:rPr>
          <w:rFonts w:ascii="Arial" w:hAnsi="Arial"/>
        </w:rPr>
        <w:t xml:space="preserve">, </w:t>
      </w:r>
      <w:r w:rsidR="00B87E03" w:rsidRPr="00387BB3">
        <w:rPr>
          <w:rFonts w:ascii="Arial" w:hAnsi="Arial"/>
          <w:i/>
        </w:rPr>
        <w:sym w:font="Symbol" w:char="F074"/>
      </w:r>
      <w:r w:rsidR="00B87E03" w:rsidRPr="00387BB3">
        <w:rPr>
          <w:rFonts w:ascii="Arial" w:hAnsi="Arial"/>
          <w:vertAlign w:val="subscript"/>
        </w:rPr>
        <w:t>2</w:t>
      </w:r>
      <w:r w:rsidR="00B87E03" w:rsidRPr="00387BB3">
        <w:rPr>
          <w:rFonts w:ascii="Arial" w:hAnsi="Arial"/>
        </w:rPr>
        <w:t xml:space="preserve"> and </w:t>
      </w:r>
      <w:r w:rsidR="00B87E03" w:rsidRPr="00387BB3">
        <w:rPr>
          <w:rFonts w:ascii="Arial" w:hAnsi="Arial"/>
          <w:i/>
        </w:rPr>
        <w:sym w:font="Symbol" w:char="F074"/>
      </w:r>
      <w:r w:rsidR="00B87E03" w:rsidRPr="00387BB3">
        <w:rPr>
          <w:rFonts w:ascii="Arial" w:hAnsi="Arial"/>
          <w:vertAlign w:val="subscript"/>
        </w:rPr>
        <w:t>3</w:t>
      </w:r>
      <w:proofErr w:type="gramEnd"/>
      <w:r w:rsidR="00031004" w:rsidRPr="00387BB3">
        <w:rPr>
          <w:rFonts w:ascii="Arial" w:hAnsi="Arial"/>
        </w:rPr>
        <w:t xml:space="preserve">. Untreated </w:t>
      </w:r>
      <w:proofErr w:type="gramStart"/>
      <w:r w:rsidR="00031004" w:rsidRPr="00387BB3">
        <w:rPr>
          <w:rFonts w:ascii="Arial" w:hAnsi="Arial"/>
        </w:rPr>
        <w:t>individuals</w:t>
      </w:r>
      <w:proofErr w:type="gramEnd"/>
      <w:r w:rsidR="00031004" w:rsidRPr="00387BB3">
        <w:rPr>
          <w:rFonts w:ascii="Arial" w:hAnsi="Arial"/>
        </w:rPr>
        <w:t xml:space="preserve"> progress from primary to chronic infection at a rate </w:t>
      </w:r>
      <w:r w:rsidR="00031004" w:rsidRPr="00387BB3">
        <w:rPr>
          <w:rFonts w:ascii="Arial" w:hAnsi="Arial"/>
          <w:i/>
        </w:rPr>
        <w:sym w:font="Symbol" w:char="F072"/>
      </w:r>
      <w:r w:rsidR="00031004" w:rsidRPr="00387BB3">
        <w:rPr>
          <w:rFonts w:ascii="Arial" w:hAnsi="Arial"/>
          <w:vertAlign w:val="subscript"/>
        </w:rPr>
        <w:t>1</w:t>
      </w:r>
      <w:r w:rsidR="00031004" w:rsidRPr="00387BB3">
        <w:rPr>
          <w:rFonts w:ascii="Arial" w:hAnsi="Arial"/>
        </w:rPr>
        <w:t xml:space="preserve"> an</w:t>
      </w:r>
      <w:r w:rsidR="00B00A18" w:rsidRPr="00387BB3">
        <w:rPr>
          <w:rFonts w:ascii="Arial" w:hAnsi="Arial"/>
        </w:rPr>
        <w:t>d from chronic infection to symptomatic infection</w:t>
      </w:r>
      <w:r w:rsidR="00031004" w:rsidRPr="00387BB3">
        <w:rPr>
          <w:rFonts w:ascii="Arial" w:hAnsi="Arial"/>
        </w:rPr>
        <w:t xml:space="preserve"> </w:t>
      </w:r>
      <w:r w:rsidR="00DD5120" w:rsidRPr="00387BB3">
        <w:rPr>
          <w:rFonts w:ascii="Arial" w:hAnsi="Arial"/>
        </w:rPr>
        <w:t xml:space="preserve">at a </w:t>
      </w:r>
      <w:r w:rsidR="00B00A18" w:rsidRPr="00387BB3">
        <w:rPr>
          <w:rFonts w:ascii="Arial" w:hAnsi="Arial"/>
        </w:rPr>
        <w:t xml:space="preserve">rate </w:t>
      </w:r>
      <w:r w:rsidR="00B00A18" w:rsidRPr="00387BB3">
        <w:rPr>
          <w:rFonts w:ascii="Arial" w:hAnsi="Arial"/>
          <w:i/>
        </w:rPr>
        <w:t>p</w:t>
      </w:r>
      <w:r w:rsidR="00B00A18" w:rsidRPr="00387BB3">
        <w:rPr>
          <w:rFonts w:ascii="Arial" w:hAnsi="Arial"/>
          <w:vertAlign w:val="subscript"/>
        </w:rPr>
        <w:t>2</w:t>
      </w:r>
      <w:r w:rsidR="00B00A18" w:rsidRPr="00387BB3">
        <w:rPr>
          <w:rFonts w:ascii="Arial" w:hAnsi="Arial"/>
        </w:rPr>
        <w:t>. Symptomatic individuals</w:t>
      </w:r>
      <w:r w:rsidR="00DD5120" w:rsidRPr="00387BB3">
        <w:rPr>
          <w:rFonts w:ascii="Arial" w:hAnsi="Arial"/>
        </w:rPr>
        <w:t xml:space="preserve"> </w:t>
      </w:r>
      <w:r w:rsidR="00545948" w:rsidRPr="00387BB3">
        <w:rPr>
          <w:rFonts w:ascii="Arial" w:hAnsi="Arial"/>
        </w:rPr>
        <w:t>die from AIDS</w:t>
      </w:r>
      <w:r w:rsidR="007C0320">
        <w:rPr>
          <w:rFonts w:ascii="Arial" w:hAnsi="Arial"/>
        </w:rPr>
        <w:t xml:space="preserve"> at a rate</w:t>
      </w:r>
      <w:r w:rsidR="00B00A18" w:rsidRPr="00387BB3">
        <w:rPr>
          <w:rFonts w:ascii="Arial" w:hAnsi="Arial"/>
        </w:rPr>
        <w:t xml:space="preserve"> </w:t>
      </w:r>
      <w:r w:rsidR="00B00A18" w:rsidRPr="00387BB3">
        <w:rPr>
          <w:rFonts w:ascii="Arial" w:hAnsi="Arial"/>
          <w:i/>
        </w:rPr>
        <w:sym w:font="Symbol" w:char="F072"/>
      </w:r>
      <w:r w:rsidR="00B00A18" w:rsidRPr="00387BB3">
        <w:rPr>
          <w:rFonts w:ascii="Arial" w:hAnsi="Arial"/>
          <w:vertAlign w:val="subscript"/>
        </w:rPr>
        <w:t>3</w:t>
      </w:r>
      <w:r w:rsidR="00B00A18" w:rsidRPr="00387BB3">
        <w:rPr>
          <w:rFonts w:ascii="Arial" w:hAnsi="Arial"/>
        </w:rPr>
        <w:t xml:space="preserve">. Individuals receiving </w:t>
      </w:r>
      <w:r w:rsidR="0072483A">
        <w:rPr>
          <w:rFonts w:ascii="Arial" w:hAnsi="Arial"/>
        </w:rPr>
        <w:t xml:space="preserve">treatment </w:t>
      </w:r>
      <w:r w:rsidR="00B00A18" w:rsidRPr="00387BB3">
        <w:rPr>
          <w:rFonts w:ascii="Arial" w:hAnsi="Arial"/>
        </w:rPr>
        <w:t xml:space="preserve">discontinue or </w:t>
      </w:r>
      <w:r w:rsidR="007C0320">
        <w:rPr>
          <w:rFonts w:ascii="Arial" w:hAnsi="Arial"/>
        </w:rPr>
        <w:t xml:space="preserve">interrupt treatment at a rate </w:t>
      </w:r>
      <w:r w:rsidR="00B00A18" w:rsidRPr="00387BB3">
        <w:rPr>
          <w:rFonts w:ascii="Arial" w:hAnsi="Arial"/>
          <w:i/>
        </w:rPr>
        <w:sym w:font="Symbol" w:char="F066"/>
      </w:r>
      <w:r w:rsidR="007C0320">
        <w:rPr>
          <w:rFonts w:ascii="Arial" w:hAnsi="Arial"/>
        </w:rPr>
        <w:t>. Treated individuals who i</w:t>
      </w:r>
      <w:r w:rsidR="00B00A18" w:rsidRPr="00387BB3">
        <w:rPr>
          <w:rFonts w:ascii="Arial" w:hAnsi="Arial"/>
        </w:rPr>
        <w:t>nitiate tre</w:t>
      </w:r>
      <w:r w:rsidR="007C0320">
        <w:rPr>
          <w:rFonts w:ascii="Arial" w:hAnsi="Arial"/>
        </w:rPr>
        <w:t>atment during primary infection</w:t>
      </w:r>
      <w:r w:rsidR="00B00A18" w:rsidRPr="00387BB3">
        <w:rPr>
          <w:rFonts w:ascii="Arial" w:hAnsi="Arial"/>
        </w:rPr>
        <w:t xml:space="preserve"> progress to the second treatment stage at a rate </w:t>
      </w:r>
      <w:r w:rsidR="00B00A18" w:rsidRPr="00387BB3">
        <w:rPr>
          <w:rFonts w:ascii="Arial" w:hAnsi="Arial"/>
          <w:i/>
        </w:rPr>
        <w:sym w:font="Symbol" w:char="F073"/>
      </w:r>
      <w:r w:rsidR="00B00A18" w:rsidRPr="00387BB3">
        <w:rPr>
          <w:rFonts w:ascii="Arial" w:hAnsi="Arial"/>
          <w:vertAlign w:val="subscript"/>
        </w:rPr>
        <w:t>1</w:t>
      </w:r>
      <w:r w:rsidR="00716034" w:rsidRPr="00387BB3">
        <w:rPr>
          <w:rFonts w:ascii="Arial" w:hAnsi="Arial"/>
          <w:vertAlign w:val="subscript"/>
        </w:rPr>
        <w:t>,</w:t>
      </w:r>
      <w:r w:rsidR="00716034" w:rsidRPr="00387BB3">
        <w:rPr>
          <w:rFonts w:ascii="Arial" w:hAnsi="Arial"/>
        </w:rPr>
        <w:t xml:space="preserve"> and those </w:t>
      </w:r>
      <w:r w:rsidR="00B00A18" w:rsidRPr="00387BB3">
        <w:rPr>
          <w:rFonts w:ascii="Arial" w:hAnsi="Arial"/>
        </w:rPr>
        <w:t>in the</w:t>
      </w:r>
      <w:r w:rsidR="00716034" w:rsidRPr="00387BB3">
        <w:rPr>
          <w:rFonts w:ascii="Arial" w:hAnsi="Arial"/>
        </w:rPr>
        <w:t xml:space="preserve"> second stage to the third at a rate </w:t>
      </w:r>
      <w:r w:rsidR="00716034" w:rsidRPr="00387BB3">
        <w:rPr>
          <w:rFonts w:ascii="Arial" w:hAnsi="Arial"/>
        </w:rPr>
        <w:sym w:font="Symbol" w:char="F073"/>
      </w:r>
      <w:r w:rsidR="00716034" w:rsidRPr="00387BB3">
        <w:rPr>
          <w:rFonts w:ascii="Arial" w:hAnsi="Arial"/>
          <w:vertAlign w:val="subscript"/>
        </w:rPr>
        <w:t>2</w:t>
      </w:r>
      <w:r w:rsidR="00716034" w:rsidRPr="00387BB3">
        <w:rPr>
          <w:rFonts w:ascii="Arial" w:hAnsi="Arial"/>
        </w:rPr>
        <w:t>. Once in the third and final treatment s</w:t>
      </w:r>
      <w:r w:rsidR="007C0320">
        <w:rPr>
          <w:rFonts w:ascii="Arial" w:hAnsi="Arial"/>
        </w:rPr>
        <w:t xml:space="preserve">tage individuals die at a rate </w:t>
      </w:r>
      <w:r w:rsidR="00716034" w:rsidRPr="00387BB3">
        <w:rPr>
          <w:rFonts w:ascii="Arial" w:hAnsi="Arial"/>
          <w:i/>
        </w:rPr>
        <w:sym w:font="Symbol" w:char="F073"/>
      </w:r>
      <w:r w:rsidR="00716034" w:rsidRPr="00387BB3">
        <w:rPr>
          <w:rFonts w:ascii="Arial" w:hAnsi="Arial"/>
          <w:vertAlign w:val="subscript"/>
        </w:rPr>
        <w:t>3</w:t>
      </w:r>
      <w:r w:rsidR="00716034" w:rsidRPr="00387BB3">
        <w:rPr>
          <w:rFonts w:ascii="Arial" w:hAnsi="Arial"/>
        </w:rPr>
        <w:t>.</w:t>
      </w:r>
      <w:r w:rsidR="00F56388" w:rsidRPr="00387BB3">
        <w:rPr>
          <w:rFonts w:ascii="Arial" w:hAnsi="Arial"/>
        </w:rPr>
        <w:t xml:space="preserve"> </w:t>
      </w:r>
      <w:r w:rsidR="00A14293" w:rsidRPr="00387BB3">
        <w:rPr>
          <w:rFonts w:ascii="Arial" w:hAnsi="Arial"/>
        </w:rPr>
        <w:t xml:space="preserve">Treated individuals acquire drug </w:t>
      </w:r>
      <w:r w:rsidR="007C0320">
        <w:rPr>
          <w:rFonts w:ascii="Arial" w:hAnsi="Arial"/>
        </w:rPr>
        <w:t>resistance at an average rate</w:t>
      </w:r>
      <w:r w:rsidR="00A14293" w:rsidRPr="00387BB3">
        <w:rPr>
          <w:rFonts w:ascii="Arial" w:hAnsi="Arial"/>
        </w:rPr>
        <w:t xml:space="preserve"> </w:t>
      </w:r>
      <w:r w:rsidR="00A14293" w:rsidRPr="00387BB3">
        <w:rPr>
          <w:rFonts w:ascii="Arial" w:hAnsi="Arial"/>
        </w:rPr>
        <w:sym w:font="Symbol" w:char="F074"/>
      </w:r>
      <w:r w:rsidR="00A14293" w:rsidRPr="00387BB3">
        <w:rPr>
          <w:rFonts w:ascii="Arial" w:hAnsi="Arial"/>
          <w:vertAlign w:val="superscript"/>
        </w:rPr>
        <w:t>R</w:t>
      </w:r>
      <w:r w:rsidR="00E53D05">
        <w:rPr>
          <w:rFonts w:ascii="Arial" w:hAnsi="Arial"/>
        </w:rPr>
        <w:t>. Drug-</w:t>
      </w:r>
      <w:r w:rsidR="00A14293" w:rsidRPr="00387BB3">
        <w:rPr>
          <w:rFonts w:ascii="Arial" w:hAnsi="Arial"/>
        </w:rPr>
        <w:t xml:space="preserve">resistant individuals progress through the stages </w:t>
      </w:r>
      <w:r w:rsidR="00A14293" w:rsidRPr="00387BB3">
        <w:rPr>
          <w:rFonts w:ascii="Arial" w:hAnsi="Arial"/>
          <w:i/>
        </w:rPr>
        <w:t>R</w:t>
      </w:r>
      <w:r w:rsidR="00A14293" w:rsidRPr="00387BB3">
        <w:rPr>
          <w:rFonts w:ascii="Arial" w:hAnsi="Arial"/>
          <w:vertAlign w:val="subscript"/>
        </w:rPr>
        <w:t>1</w:t>
      </w:r>
      <w:r w:rsidR="00A14293" w:rsidRPr="00387BB3">
        <w:rPr>
          <w:rFonts w:ascii="Arial" w:hAnsi="Arial"/>
        </w:rPr>
        <w:t xml:space="preserve">, </w:t>
      </w:r>
      <w:r w:rsidR="00A14293" w:rsidRPr="00387BB3">
        <w:rPr>
          <w:rFonts w:ascii="Arial" w:hAnsi="Arial"/>
          <w:i/>
        </w:rPr>
        <w:t>R</w:t>
      </w:r>
      <w:r w:rsidR="00A14293" w:rsidRPr="00387BB3">
        <w:rPr>
          <w:rFonts w:ascii="Arial" w:hAnsi="Arial"/>
          <w:vertAlign w:val="subscript"/>
        </w:rPr>
        <w:t>2</w:t>
      </w:r>
      <w:r w:rsidR="00A14293" w:rsidRPr="00387BB3">
        <w:rPr>
          <w:rFonts w:ascii="Arial" w:hAnsi="Arial"/>
        </w:rPr>
        <w:t xml:space="preserve"> and </w:t>
      </w:r>
      <w:r w:rsidR="00A14293" w:rsidRPr="00387BB3">
        <w:rPr>
          <w:rFonts w:ascii="Arial" w:hAnsi="Arial"/>
          <w:i/>
        </w:rPr>
        <w:t>R</w:t>
      </w:r>
      <w:r w:rsidR="00A14293" w:rsidRPr="00387BB3">
        <w:rPr>
          <w:rFonts w:ascii="Arial" w:hAnsi="Arial"/>
          <w:vertAlign w:val="subscript"/>
        </w:rPr>
        <w:t>3</w:t>
      </w:r>
      <w:r w:rsidR="00A14293" w:rsidRPr="00387BB3">
        <w:rPr>
          <w:rFonts w:ascii="Arial" w:hAnsi="Arial"/>
        </w:rPr>
        <w:t xml:space="preserve"> at rates </w:t>
      </w:r>
      <w:r w:rsidR="00CA2375" w:rsidRPr="00387BB3">
        <w:rPr>
          <w:rFonts w:ascii="Arial" w:hAnsi="Arial"/>
          <w:i/>
        </w:rPr>
        <w:sym w:font="Symbol" w:char="F077"/>
      </w:r>
      <w:r w:rsidR="00CA2375" w:rsidRPr="00387BB3">
        <w:rPr>
          <w:rFonts w:ascii="Arial" w:hAnsi="Arial"/>
          <w:vertAlign w:val="subscript"/>
        </w:rPr>
        <w:t>1</w:t>
      </w:r>
      <w:r w:rsidR="00545948" w:rsidRPr="00387BB3">
        <w:rPr>
          <w:rFonts w:ascii="Arial" w:hAnsi="Arial"/>
        </w:rPr>
        <w:t>,</w:t>
      </w:r>
      <w:r w:rsidR="00CA2375" w:rsidRPr="00387BB3">
        <w:rPr>
          <w:rFonts w:ascii="Arial" w:hAnsi="Arial"/>
        </w:rPr>
        <w:t xml:space="preserve"> </w:t>
      </w:r>
      <w:r w:rsidR="00CA2375" w:rsidRPr="00387BB3">
        <w:rPr>
          <w:rFonts w:ascii="Arial" w:hAnsi="Arial"/>
          <w:i/>
        </w:rPr>
        <w:sym w:font="Symbol" w:char="F077"/>
      </w:r>
      <w:r w:rsidR="00545948" w:rsidRPr="00387BB3">
        <w:rPr>
          <w:rFonts w:ascii="Arial" w:hAnsi="Arial"/>
          <w:vertAlign w:val="subscript"/>
        </w:rPr>
        <w:t>2</w:t>
      </w:r>
      <w:r w:rsidR="00545948" w:rsidRPr="00387BB3">
        <w:rPr>
          <w:rFonts w:ascii="Arial" w:hAnsi="Arial"/>
        </w:rPr>
        <w:t xml:space="preserve"> and </w:t>
      </w:r>
      <w:r w:rsidR="00CA2375" w:rsidRPr="00387BB3">
        <w:rPr>
          <w:rFonts w:ascii="Arial" w:hAnsi="Arial"/>
          <w:i/>
        </w:rPr>
        <w:sym w:font="Symbol" w:char="F077"/>
      </w:r>
      <w:r w:rsidR="00545948" w:rsidRPr="00387BB3">
        <w:rPr>
          <w:rFonts w:ascii="Arial" w:hAnsi="Arial"/>
          <w:vertAlign w:val="subscript"/>
        </w:rPr>
        <w:t>3</w:t>
      </w:r>
      <w:r w:rsidR="00DB74BF" w:rsidRPr="00387BB3">
        <w:rPr>
          <w:rFonts w:ascii="Arial" w:hAnsi="Arial"/>
        </w:rPr>
        <w:t xml:space="preserve"> respectively. The </w:t>
      </w:r>
      <w:r w:rsidR="00163E78" w:rsidRPr="00387BB3">
        <w:rPr>
          <w:rFonts w:ascii="Arial" w:hAnsi="Arial"/>
        </w:rPr>
        <w:t>infectivity</w:t>
      </w:r>
      <w:r w:rsidR="00CD0227" w:rsidRPr="00387BB3">
        <w:rPr>
          <w:rFonts w:ascii="Arial" w:hAnsi="Arial"/>
        </w:rPr>
        <w:t xml:space="preserve"> per unit time of</w:t>
      </w:r>
      <w:r w:rsidR="000E72E0">
        <w:rPr>
          <w:rFonts w:ascii="Arial" w:hAnsi="Arial"/>
        </w:rPr>
        <w:t xml:space="preserve"> individuals in stages</w:t>
      </w:r>
      <w:r w:rsidR="00DB74BF" w:rsidRPr="00387BB3">
        <w:rPr>
          <w:rFonts w:ascii="Arial" w:hAnsi="Arial"/>
        </w:rPr>
        <w:t xml:space="preserve"> </w:t>
      </w:r>
      <w:r w:rsidR="00DB74BF" w:rsidRPr="00387BB3">
        <w:rPr>
          <w:rFonts w:ascii="Arial" w:hAnsi="Arial"/>
          <w:i/>
        </w:rPr>
        <w:t>I</w:t>
      </w:r>
      <w:r w:rsidR="0072483A">
        <w:rPr>
          <w:rFonts w:ascii="Arial" w:hAnsi="Arial"/>
          <w:vertAlign w:val="subscript"/>
        </w:rPr>
        <w:t>i</w:t>
      </w:r>
      <w:r w:rsidR="000F0C42" w:rsidRPr="00387BB3">
        <w:rPr>
          <w:rFonts w:ascii="Arial" w:hAnsi="Arial"/>
        </w:rPr>
        <w:t>,</w:t>
      </w:r>
      <w:r w:rsidR="003160C5" w:rsidRPr="00387BB3">
        <w:rPr>
          <w:rFonts w:ascii="Arial" w:hAnsi="Arial"/>
        </w:rPr>
        <w:t xml:space="preserve"> </w:t>
      </w:r>
      <w:r w:rsidR="00DB74BF" w:rsidRPr="00387BB3">
        <w:rPr>
          <w:rFonts w:ascii="Arial" w:hAnsi="Arial"/>
          <w:i/>
        </w:rPr>
        <w:t>A</w:t>
      </w:r>
      <w:r w:rsidR="00DB74BF" w:rsidRPr="00387BB3">
        <w:rPr>
          <w:rFonts w:ascii="Arial" w:hAnsi="Arial"/>
          <w:vertAlign w:val="subscript"/>
        </w:rPr>
        <w:t>i</w:t>
      </w:r>
      <w:r w:rsidR="00DB74BF" w:rsidRPr="00387BB3">
        <w:rPr>
          <w:rFonts w:ascii="Arial" w:hAnsi="Arial"/>
        </w:rPr>
        <w:t xml:space="preserve"> and </w:t>
      </w:r>
      <w:proofErr w:type="spellStart"/>
      <w:r w:rsidR="00DB74BF" w:rsidRPr="00387BB3">
        <w:rPr>
          <w:rFonts w:ascii="Arial" w:hAnsi="Arial"/>
          <w:i/>
        </w:rPr>
        <w:t>R</w:t>
      </w:r>
      <w:r w:rsidR="00DB74BF" w:rsidRPr="00387BB3">
        <w:rPr>
          <w:rFonts w:ascii="Arial" w:hAnsi="Arial"/>
          <w:vertAlign w:val="subscript"/>
        </w:rPr>
        <w:t>i</w:t>
      </w:r>
      <w:proofErr w:type="spellEnd"/>
      <w:r w:rsidR="008F12F1" w:rsidRPr="00387BB3">
        <w:rPr>
          <w:rFonts w:ascii="Arial" w:hAnsi="Arial"/>
        </w:rPr>
        <w:t xml:space="preserve"> is given</w:t>
      </w:r>
      <w:r w:rsidR="007C0320">
        <w:rPr>
          <w:rFonts w:ascii="Arial" w:hAnsi="Arial"/>
        </w:rPr>
        <w:t>,</w:t>
      </w:r>
      <w:r w:rsidR="00DB74BF" w:rsidRPr="00387BB3">
        <w:rPr>
          <w:rFonts w:ascii="Arial" w:hAnsi="Arial"/>
        </w:rPr>
        <w:t xml:space="preserve"> respectively</w:t>
      </w:r>
      <w:r w:rsidR="007C0320">
        <w:rPr>
          <w:rFonts w:ascii="Arial" w:hAnsi="Arial"/>
        </w:rPr>
        <w:t>,</w:t>
      </w:r>
      <w:r w:rsidR="00DB74BF" w:rsidRPr="00387BB3">
        <w:rPr>
          <w:rFonts w:ascii="Arial" w:hAnsi="Arial"/>
        </w:rPr>
        <w:t xml:space="preserve"> by </w:t>
      </w:r>
      <w:r w:rsidR="00163E78" w:rsidRPr="00387BB3">
        <w:rPr>
          <w:rFonts w:ascii="Arial" w:hAnsi="Arial"/>
          <w:i/>
        </w:rPr>
        <w:sym w:font="Symbol" w:char="F06C"/>
      </w:r>
      <w:r w:rsidR="00163E78" w:rsidRPr="00387BB3">
        <w:rPr>
          <w:rFonts w:ascii="Arial" w:hAnsi="Arial"/>
          <w:vertAlign w:val="subscript"/>
        </w:rPr>
        <w:t xml:space="preserve"> </w:t>
      </w:r>
      <w:proofErr w:type="spellStart"/>
      <w:r w:rsidR="00163E78" w:rsidRPr="00387BB3">
        <w:rPr>
          <w:rFonts w:ascii="Arial" w:hAnsi="Arial"/>
          <w:vertAlign w:val="subscript"/>
        </w:rPr>
        <w:t>i</w:t>
      </w:r>
      <w:r w:rsidR="000F0C42" w:rsidRPr="00387BB3">
        <w:rPr>
          <w:rFonts w:ascii="Arial" w:hAnsi="Arial"/>
          <w:vertAlign w:val="superscript"/>
        </w:rPr>
        <w:t>I</w:t>
      </w:r>
      <w:proofErr w:type="spellEnd"/>
      <w:r w:rsidR="000F0C42" w:rsidRPr="00387BB3">
        <w:rPr>
          <w:rFonts w:ascii="Arial" w:hAnsi="Arial"/>
        </w:rPr>
        <w:t>,</w:t>
      </w:r>
      <w:r w:rsidR="00163E78" w:rsidRPr="00387BB3">
        <w:rPr>
          <w:rFonts w:ascii="Arial" w:hAnsi="Arial"/>
          <w:i/>
        </w:rPr>
        <w:t xml:space="preserve"> </w:t>
      </w:r>
      <w:r w:rsidR="00DB74BF" w:rsidRPr="00387BB3">
        <w:rPr>
          <w:rFonts w:ascii="Arial" w:hAnsi="Arial"/>
          <w:i/>
        </w:rPr>
        <w:sym w:font="Symbol" w:char="F06C"/>
      </w:r>
      <w:r w:rsidR="00DB74BF" w:rsidRPr="00387BB3">
        <w:rPr>
          <w:rFonts w:ascii="Arial" w:hAnsi="Arial"/>
          <w:vertAlign w:val="subscript"/>
        </w:rPr>
        <w:t xml:space="preserve"> </w:t>
      </w:r>
      <w:proofErr w:type="spellStart"/>
      <w:proofErr w:type="gramStart"/>
      <w:r w:rsidR="00DB74BF" w:rsidRPr="00387BB3">
        <w:rPr>
          <w:rFonts w:ascii="Arial" w:hAnsi="Arial"/>
          <w:vertAlign w:val="subscript"/>
        </w:rPr>
        <w:t>i</w:t>
      </w:r>
      <w:r w:rsidR="00163E78" w:rsidRPr="00387BB3">
        <w:rPr>
          <w:rFonts w:ascii="Arial" w:hAnsi="Arial"/>
          <w:vertAlign w:val="superscript"/>
        </w:rPr>
        <w:t>A</w:t>
      </w:r>
      <w:proofErr w:type="spellEnd"/>
      <w:proofErr w:type="gramEnd"/>
      <w:r w:rsidR="00163E78" w:rsidRPr="00387BB3">
        <w:rPr>
          <w:rFonts w:ascii="Arial" w:hAnsi="Arial"/>
        </w:rPr>
        <w:t xml:space="preserve"> and </w:t>
      </w:r>
      <w:r w:rsidR="000F0C42" w:rsidRPr="00387BB3">
        <w:rPr>
          <w:rFonts w:ascii="Arial" w:hAnsi="Arial"/>
          <w:i/>
        </w:rPr>
        <w:sym w:font="Symbol" w:char="F06C"/>
      </w:r>
      <w:proofErr w:type="spellStart"/>
      <w:r w:rsidR="000F0C42" w:rsidRPr="00387BB3">
        <w:rPr>
          <w:rFonts w:ascii="Arial" w:hAnsi="Arial"/>
          <w:vertAlign w:val="subscript"/>
        </w:rPr>
        <w:t>i</w:t>
      </w:r>
      <w:r w:rsidR="000F0C42" w:rsidRPr="00387BB3">
        <w:rPr>
          <w:rFonts w:ascii="Arial" w:hAnsi="Arial"/>
          <w:vertAlign w:val="superscript"/>
        </w:rPr>
        <w:t>R</w:t>
      </w:r>
      <w:proofErr w:type="spellEnd"/>
      <w:r w:rsidR="000F0C42" w:rsidRPr="00387BB3">
        <w:rPr>
          <w:rFonts w:ascii="Arial" w:hAnsi="Arial"/>
        </w:rPr>
        <w:t xml:space="preserve">. </w:t>
      </w:r>
      <w:r w:rsidR="007F357D">
        <w:rPr>
          <w:rFonts w:ascii="Arial" w:hAnsi="Arial"/>
        </w:rPr>
        <w:t xml:space="preserve"> </w:t>
      </w:r>
      <w:r w:rsidR="00E162B5">
        <w:rPr>
          <w:rFonts w:ascii="Arial" w:hAnsi="Arial"/>
        </w:rPr>
        <w:t xml:space="preserve">For </w:t>
      </w:r>
      <w:r w:rsidR="00C669BC">
        <w:rPr>
          <w:rFonts w:ascii="Arial" w:hAnsi="Arial"/>
        </w:rPr>
        <w:t>spe</w:t>
      </w:r>
      <w:r w:rsidR="00072026">
        <w:rPr>
          <w:rFonts w:ascii="Arial" w:hAnsi="Arial"/>
        </w:rPr>
        <w:t>cific parameterizations for achieving universal access to treatment</w:t>
      </w:r>
      <w:r w:rsidR="00E162B5">
        <w:rPr>
          <w:rFonts w:ascii="Arial" w:hAnsi="Arial"/>
        </w:rPr>
        <w:t xml:space="preserve"> and</w:t>
      </w:r>
      <w:r w:rsidR="000B1445">
        <w:rPr>
          <w:rFonts w:ascii="Arial" w:hAnsi="Arial"/>
        </w:rPr>
        <w:t xml:space="preserve"> implementing the</w:t>
      </w:r>
      <w:r w:rsidR="00436F92">
        <w:rPr>
          <w:rFonts w:ascii="Arial" w:hAnsi="Arial"/>
        </w:rPr>
        <w:t xml:space="preserve"> T&amp;T strategy for</w:t>
      </w:r>
      <w:r w:rsidR="00E162B5">
        <w:rPr>
          <w:rFonts w:ascii="Arial" w:hAnsi="Arial"/>
        </w:rPr>
        <w:t xml:space="preserve"> South Africa see Table S1.</w:t>
      </w:r>
    </w:p>
    <w:p w:rsidR="00BE65F2" w:rsidRPr="00387BB3" w:rsidRDefault="00BE65F2" w:rsidP="00F56388">
      <w:pPr>
        <w:spacing w:line="360" w:lineRule="auto"/>
        <w:rPr>
          <w:rFonts w:ascii="Arial" w:hAnsi="Arial"/>
          <w:b/>
        </w:rPr>
      </w:pPr>
    </w:p>
    <w:p w:rsidR="00CB2D92" w:rsidRPr="00387BB3" w:rsidRDefault="00F70ABB" w:rsidP="00F56388">
      <w:pPr>
        <w:spacing w:line="360" w:lineRule="auto"/>
        <w:rPr>
          <w:rFonts w:ascii="Arial" w:hAnsi="Arial"/>
          <w:b/>
        </w:rPr>
      </w:pPr>
      <w:r w:rsidRPr="00387BB3">
        <w:rPr>
          <w:rFonts w:ascii="Arial" w:hAnsi="Arial"/>
          <w:b/>
        </w:rPr>
        <w:t>2</w:t>
      </w:r>
      <w:r w:rsidR="003C04CB" w:rsidRPr="00387BB3">
        <w:rPr>
          <w:rFonts w:ascii="Arial" w:hAnsi="Arial"/>
          <w:b/>
        </w:rPr>
        <w:t>. Computation of the Control Reproduction Number (</w:t>
      </w:r>
      <w:proofErr w:type="spellStart"/>
      <w:r w:rsidR="003C04CB" w:rsidRPr="00387BB3">
        <w:rPr>
          <w:rFonts w:ascii="Arial" w:hAnsi="Arial"/>
          <w:b/>
        </w:rPr>
        <w:t>R</w:t>
      </w:r>
      <w:r w:rsidR="003C04CB" w:rsidRPr="00387BB3">
        <w:rPr>
          <w:rFonts w:ascii="Arial" w:hAnsi="Arial"/>
          <w:b/>
          <w:vertAlign w:val="subscript"/>
        </w:rPr>
        <w:t>c</w:t>
      </w:r>
      <w:proofErr w:type="spellEnd"/>
      <w:r w:rsidR="003C04CB" w:rsidRPr="00387BB3">
        <w:rPr>
          <w:rFonts w:ascii="Arial" w:hAnsi="Arial"/>
          <w:b/>
        </w:rPr>
        <w:t>)</w:t>
      </w:r>
    </w:p>
    <w:p w:rsidR="00FE64B1" w:rsidRPr="00387BB3" w:rsidRDefault="00DF02EE" w:rsidP="00F56388">
      <w:pPr>
        <w:spacing w:line="360" w:lineRule="auto"/>
        <w:rPr>
          <w:rFonts w:ascii="Arial" w:hAnsi="Arial"/>
        </w:rPr>
      </w:pPr>
      <w:r w:rsidRPr="00387BB3">
        <w:rPr>
          <w:rFonts w:ascii="Arial" w:hAnsi="Arial"/>
        </w:rPr>
        <w:t xml:space="preserve"> </w:t>
      </w:r>
      <w:r w:rsidR="001A6999" w:rsidRPr="00387BB3">
        <w:rPr>
          <w:rFonts w:ascii="Arial" w:hAnsi="Arial"/>
        </w:rPr>
        <w:tab/>
      </w:r>
      <w:r w:rsidRPr="00387BB3">
        <w:rPr>
          <w:rFonts w:ascii="Arial" w:hAnsi="Arial"/>
        </w:rPr>
        <w:t>We compute</w:t>
      </w:r>
      <w:r w:rsidR="00CD0227" w:rsidRPr="00387BB3">
        <w:rPr>
          <w:rFonts w:ascii="Arial" w:hAnsi="Arial"/>
        </w:rPr>
        <w:t>d</w:t>
      </w:r>
      <w:r w:rsidRPr="00387BB3">
        <w:rPr>
          <w:rFonts w:ascii="Arial" w:hAnsi="Arial"/>
        </w:rPr>
        <w:t xml:space="preserve"> t</w:t>
      </w:r>
      <w:r w:rsidR="009C5A56" w:rsidRPr="00387BB3">
        <w:rPr>
          <w:rFonts w:ascii="Arial" w:hAnsi="Arial"/>
        </w:rPr>
        <w:t>he Control Reproduction Number</w:t>
      </w:r>
      <w:r w:rsidR="00971724" w:rsidRPr="00387BB3">
        <w:rPr>
          <w:rFonts w:ascii="Arial" w:hAnsi="Arial"/>
        </w:rPr>
        <w:t xml:space="preserve"> </w:t>
      </w:r>
      <w:proofErr w:type="spellStart"/>
      <w:r w:rsidR="00971724" w:rsidRPr="00387BB3">
        <w:rPr>
          <w:rFonts w:ascii="Arial" w:hAnsi="Arial"/>
        </w:rPr>
        <w:t>R</w:t>
      </w:r>
      <w:r w:rsidR="00971724" w:rsidRPr="00387BB3">
        <w:rPr>
          <w:rFonts w:ascii="Arial" w:hAnsi="Arial"/>
          <w:vertAlign w:val="subscript"/>
        </w:rPr>
        <w:t>c</w:t>
      </w:r>
      <w:proofErr w:type="spellEnd"/>
      <w:r w:rsidR="00CB2D92" w:rsidRPr="00387BB3">
        <w:rPr>
          <w:rFonts w:ascii="Arial" w:hAnsi="Arial"/>
        </w:rPr>
        <w:t xml:space="preserve"> for the</w:t>
      </w:r>
      <w:r w:rsidRPr="00387BB3">
        <w:rPr>
          <w:rFonts w:ascii="Arial" w:hAnsi="Arial"/>
        </w:rPr>
        <w:t xml:space="preserve"> transmission mo</w:t>
      </w:r>
      <w:r w:rsidR="00CD0227" w:rsidRPr="00387BB3">
        <w:rPr>
          <w:rFonts w:ascii="Arial" w:hAnsi="Arial"/>
        </w:rPr>
        <w:t xml:space="preserve">del </w:t>
      </w:r>
      <w:r w:rsidRPr="00387BB3">
        <w:rPr>
          <w:rFonts w:ascii="Arial" w:hAnsi="Arial"/>
        </w:rPr>
        <w:t xml:space="preserve">in the absence of drug resistance (i.e., </w:t>
      </w:r>
      <w:r w:rsidR="006903E4" w:rsidRPr="00387BB3">
        <w:rPr>
          <w:rFonts w:ascii="Arial" w:hAnsi="Arial"/>
        </w:rPr>
        <w:t xml:space="preserve">for the model specified by </w:t>
      </w:r>
      <w:r w:rsidR="00CD0227" w:rsidRPr="00387BB3">
        <w:rPr>
          <w:rFonts w:ascii="Arial" w:hAnsi="Arial"/>
        </w:rPr>
        <w:t xml:space="preserve">equations 1 through 7 </w:t>
      </w:r>
      <w:r w:rsidRPr="00387BB3">
        <w:rPr>
          <w:rFonts w:ascii="Arial" w:hAnsi="Arial"/>
        </w:rPr>
        <w:t>setting</w:t>
      </w:r>
      <w:r w:rsidR="0072483A">
        <w:rPr>
          <w:rFonts w:ascii="Arial" w:hAnsi="Arial"/>
        </w:rPr>
        <w:t xml:space="preserve"> </w:t>
      </w:r>
      <w:r w:rsidR="0072483A" w:rsidRPr="00387BB3">
        <w:rPr>
          <w:rFonts w:ascii="Arial" w:hAnsi="Arial"/>
          <w:i/>
        </w:rPr>
        <w:sym w:font="Symbol" w:char="F074"/>
      </w:r>
      <w:r w:rsidR="0072483A" w:rsidRPr="00387BB3">
        <w:rPr>
          <w:rFonts w:ascii="Arial" w:hAnsi="Arial"/>
        </w:rPr>
        <w:t xml:space="preserve"> </w:t>
      </w:r>
      <w:r w:rsidR="0072483A">
        <w:rPr>
          <w:rFonts w:ascii="Arial" w:hAnsi="Arial"/>
          <w:vertAlign w:val="superscript"/>
        </w:rPr>
        <w:t>R</w:t>
      </w:r>
      <w:r w:rsidR="0072483A">
        <w:rPr>
          <w:rFonts w:ascii="Arial" w:hAnsi="Arial"/>
        </w:rPr>
        <w:t xml:space="preserve">, </w:t>
      </w:r>
      <w:r w:rsidR="00CD0227" w:rsidRPr="00387BB3">
        <w:rPr>
          <w:rFonts w:ascii="Arial" w:hAnsi="Arial"/>
          <w:i/>
        </w:rPr>
        <w:sym w:font="Symbol" w:char="F06C"/>
      </w:r>
      <w:proofErr w:type="spellStart"/>
      <w:r w:rsidR="00CD0227" w:rsidRPr="00387BB3">
        <w:rPr>
          <w:rFonts w:ascii="Arial" w:hAnsi="Arial"/>
          <w:vertAlign w:val="subscript"/>
        </w:rPr>
        <w:t>i</w:t>
      </w:r>
      <w:r w:rsidR="00CD0227" w:rsidRPr="00387BB3">
        <w:rPr>
          <w:rFonts w:ascii="Arial" w:hAnsi="Arial"/>
          <w:vertAlign w:val="superscript"/>
        </w:rPr>
        <w:t>R</w:t>
      </w:r>
      <w:proofErr w:type="spellEnd"/>
      <w:r w:rsidRPr="00387BB3">
        <w:rPr>
          <w:rFonts w:ascii="Arial" w:hAnsi="Arial"/>
        </w:rPr>
        <w:t xml:space="preserve">=0 for </w:t>
      </w:r>
      <w:proofErr w:type="spellStart"/>
      <w:r w:rsidRPr="00387BB3">
        <w:rPr>
          <w:rFonts w:ascii="Arial" w:hAnsi="Arial"/>
          <w:i/>
        </w:rPr>
        <w:t>i</w:t>
      </w:r>
      <w:proofErr w:type="spellEnd"/>
      <w:r w:rsidRPr="00387BB3">
        <w:rPr>
          <w:rFonts w:ascii="Arial" w:hAnsi="Arial"/>
        </w:rPr>
        <w:t>=1,2,3)</w:t>
      </w:r>
      <w:r w:rsidR="00CD0227" w:rsidRPr="00387BB3">
        <w:rPr>
          <w:rFonts w:ascii="Arial" w:hAnsi="Arial"/>
        </w:rPr>
        <w:t xml:space="preserve">. </w:t>
      </w:r>
      <w:proofErr w:type="spellStart"/>
      <w:r w:rsidR="00CD0227" w:rsidRPr="00387BB3">
        <w:rPr>
          <w:rFonts w:ascii="Arial" w:hAnsi="Arial"/>
        </w:rPr>
        <w:t>R</w:t>
      </w:r>
      <w:r w:rsidR="00CD0227" w:rsidRPr="00387BB3">
        <w:rPr>
          <w:rFonts w:ascii="Arial" w:hAnsi="Arial"/>
          <w:vertAlign w:val="subscript"/>
        </w:rPr>
        <w:t>c</w:t>
      </w:r>
      <w:proofErr w:type="spellEnd"/>
      <w:r w:rsidRPr="00387BB3">
        <w:rPr>
          <w:rFonts w:ascii="Arial" w:hAnsi="Arial"/>
        </w:rPr>
        <w:t xml:space="preserve"> </w:t>
      </w:r>
      <w:r w:rsidR="00CB2D92" w:rsidRPr="00387BB3">
        <w:rPr>
          <w:rFonts w:ascii="Arial" w:hAnsi="Arial"/>
        </w:rPr>
        <w:t>may be c</w:t>
      </w:r>
      <w:r w:rsidR="00971724" w:rsidRPr="00387BB3">
        <w:rPr>
          <w:rFonts w:ascii="Arial" w:hAnsi="Arial"/>
        </w:rPr>
        <w:t xml:space="preserve">omputed </w:t>
      </w:r>
      <w:r w:rsidR="00867DA4" w:rsidRPr="00387BB3">
        <w:rPr>
          <w:rFonts w:ascii="Arial" w:hAnsi="Arial"/>
        </w:rPr>
        <w:t>(</w:t>
      </w:r>
      <w:r w:rsidR="00971724" w:rsidRPr="00387BB3">
        <w:rPr>
          <w:rFonts w:ascii="Arial" w:hAnsi="Arial"/>
        </w:rPr>
        <w:t>analytic</w:t>
      </w:r>
      <w:r w:rsidR="00725624" w:rsidRPr="00387BB3">
        <w:rPr>
          <w:rFonts w:ascii="Arial" w:hAnsi="Arial"/>
        </w:rPr>
        <w:t>ally</w:t>
      </w:r>
      <w:r w:rsidR="00867DA4" w:rsidRPr="00387BB3">
        <w:rPr>
          <w:rFonts w:ascii="Arial" w:hAnsi="Arial"/>
        </w:rPr>
        <w:t>)</w:t>
      </w:r>
      <w:r w:rsidR="00725624" w:rsidRPr="00387BB3">
        <w:rPr>
          <w:rFonts w:ascii="Arial" w:hAnsi="Arial"/>
        </w:rPr>
        <w:t xml:space="preserve"> </w:t>
      </w:r>
      <w:r w:rsidR="001F7ADD" w:rsidRPr="00387BB3">
        <w:rPr>
          <w:rFonts w:ascii="Arial" w:hAnsi="Arial"/>
        </w:rPr>
        <w:t>as</w:t>
      </w:r>
      <w:r w:rsidR="00725624" w:rsidRPr="00387BB3">
        <w:rPr>
          <w:rFonts w:ascii="Arial" w:hAnsi="Arial"/>
        </w:rPr>
        <w:t xml:space="preserve"> the spectral radius (i.e</w:t>
      </w:r>
      <w:r w:rsidR="00CD0227" w:rsidRPr="00387BB3">
        <w:rPr>
          <w:rFonts w:ascii="Arial" w:hAnsi="Arial"/>
        </w:rPr>
        <w:t>.</w:t>
      </w:r>
      <w:r w:rsidR="00725624" w:rsidRPr="00387BB3">
        <w:rPr>
          <w:rFonts w:ascii="Arial" w:hAnsi="Arial"/>
        </w:rPr>
        <w:t xml:space="preserve">, maximum modulus of the </w:t>
      </w:r>
      <w:proofErr w:type="spellStart"/>
      <w:r w:rsidR="00725624" w:rsidRPr="00387BB3">
        <w:rPr>
          <w:rFonts w:ascii="Arial" w:hAnsi="Arial"/>
        </w:rPr>
        <w:t>ei</w:t>
      </w:r>
      <w:r w:rsidR="000C764B" w:rsidRPr="00387BB3">
        <w:rPr>
          <w:rFonts w:ascii="Arial" w:hAnsi="Arial"/>
        </w:rPr>
        <w:t>genvalue</w:t>
      </w:r>
      <w:r w:rsidR="00174ACA">
        <w:rPr>
          <w:rFonts w:ascii="Arial" w:hAnsi="Arial"/>
        </w:rPr>
        <w:t>s</w:t>
      </w:r>
      <w:proofErr w:type="spellEnd"/>
      <w:r w:rsidR="00174ACA">
        <w:rPr>
          <w:rFonts w:ascii="Arial" w:hAnsi="Arial"/>
        </w:rPr>
        <w:t xml:space="preserve">) of the next generation matrix </w:t>
      </w:r>
      <w:r w:rsidR="00174ACA" w:rsidRPr="00174ACA">
        <w:rPr>
          <w:rFonts w:ascii="Arial" w:hAnsi="Arial"/>
          <w:i/>
        </w:rPr>
        <w:t>FV</w:t>
      </w:r>
      <w:r w:rsidR="00174ACA">
        <w:rPr>
          <w:rFonts w:ascii="Arial" w:hAnsi="Arial"/>
          <w:vertAlign w:val="superscript"/>
        </w:rPr>
        <w:t>-1</w:t>
      </w:r>
      <w:r w:rsidR="00E53D05">
        <w:rPr>
          <w:rFonts w:ascii="Arial" w:hAnsi="Arial"/>
        </w:rPr>
        <w:t xml:space="preserve"> </w:t>
      </w:r>
      <w:r w:rsidR="00182253" w:rsidRPr="00E53D05">
        <w:rPr>
          <w:rFonts w:ascii="Arial" w:hAnsi="Arial"/>
        </w:rPr>
        <w:fldChar w:fldCharType="begin"/>
      </w:r>
      <w:r w:rsidR="00E53D05" w:rsidRPr="00E53D05">
        <w:rPr>
          <w:rFonts w:ascii="Arial" w:hAnsi="Arial"/>
        </w:rPr>
        <w:instrText xml:space="preserve"> ADDIN EN.CITE &lt;EndNote&gt;&lt;Cite&gt;&lt;Author&gt;Diekmann&lt;/Author&gt;&lt;Year&gt;1990&lt;/Year&gt;&lt;RecNum&gt;31&lt;/RecNum&gt;&lt;record&gt;&lt;rec-number&gt;31&lt;/rec-number&gt;&lt;ref-type name="Journal Article"&gt;17&lt;/ref-type&gt;&lt;contributors&gt;&lt;authors&gt;&lt;author&gt;Diekmann, O&lt;/author&gt;&lt;author&gt;Heesterbeek, J A P&lt;/author&gt;&lt;author&gt;Metz, J A J&lt;/author&gt;&lt;/authors&gt;&lt;/contributors&gt;&lt;titles&gt;&lt;title&gt;On the definition and the computation of the basic reproduction ratio R0 in models for infectious diseases in heterogeneous populations&lt;/title&gt;&lt;secondary-title&gt;J. Math. Biiol.&lt;/secondary-title&gt;&lt;/titles&gt;&lt;periodical&gt;&lt;full-title&gt;J. Math. Biiol.&lt;/full-title&gt;&lt;/periodical&gt;&lt;pages&gt;365-382&lt;/pages&gt;&lt;volume&gt;28&lt;/volume&gt;&lt;dates&gt;&lt;year&gt;1990&lt;/year&gt;&lt;/dates&gt;&lt;urls&gt;&lt;/urls&gt;&lt;/record&gt;&lt;/Cite&gt;&lt;Cite&gt;&lt;Author&gt;van den Driessche&lt;/Author&gt;&lt;Year&gt;2002&lt;/Year&gt;&lt;RecNum&gt;30&lt;/RecNum&gt;&lt;record&gt;&lt;rec-number&gt;30&lt;/rec-number&gt;&lt;ref-type name="Journal Article"&gt;17&lt;/ref-type&gt;&lt;contributors&gt;&lt;authors&gt;&lt;author&gt;van den Driessche, P&lt;/author&gt;&lt;author&gt;Watmough, J&lt;/author&gt;&lt;/authors&gt;&lt;/contributors&gt;&lt;titles&gt;&lt;title&gt;Reproduction numbers and sub-threshold endemic equilibria for compartmental models of disease transmission&lt;/title&gt;&lt;secondary-title&gt;Math. Biosci.&lt;/secondary-title&gt;&lt;/titles&gt;&lt;periodical&gt;&lt;full-title&gt;Math. Biosci.&lt;/full-title&gt;&lt;/periodical&gt;&lt;pages&gt;29-48&lt;/pages&gt;&lt;volume&gt;180&lt;/volume&gt;&lt;dates&gt;&lt;year&gt;2002&lt;/year&gt;&lt;/dates&gt;&lt;urls&gt;&lt;/urls&gt;&lt;/record&gt;&lt;/Cite&gt;&lt;/EndNote&gt;</w:instrText>
      </w:r>
      <w:r w:rsidR="00182253" w:rsidRPr="00E53D05">
        <w:rPr>
          <w:rFonts w:ascii="Arial" w:hAnsi="Arial"/>
        </w:rPr>
        <w:fldChar w:fldCharType="separate"/>
      </w:r>
      <w:r w:rsidR="007C0320">
        <w:rPr>
          <w:rFonts w:ascii="Arial" w:hAnsi="Arial"/>
          <w:noProof/>
        </w:rPr>
        <w:t>[2,3]</w:t>
      </w:r>
      <w:r w:rsidR="00182253" w:rsidRPr="00E53D05">
        <w:rPr>
          <w:rFonts w:ascii="Arial" w:hAnsi="Arial"/>
        </w:rPr>
        <w:fldChar w:fldCharType="end"/>
      </w:r>
      <w:r w:rsidR="00E53D05">
        <w:rPr>
          <w:rFonts w:ascii="Arial" w:hAnsi="Arial"/>
        </w:rPr>
        <w:t xml:space="preserve">, </w:t>
      </w:r>
      <w:r w:rsidR="001F7ADD" w:rsidRPr="00387BB3">
        <w:rPr>
          <w:rFonts w:ascii="Arial" w:hAnsi="Arial"/>
        </w:rPr>
        <w:t>where</w:t>
      </w:r>
      <w:r w:rsidR="00E53D05">
        <w:rPr>
          <w:rFonts w:ascii="Arial" w:hAnsi="Arial"/>
        </w:rPr>
        <w:t xml:space="preserve"> </w:t>
      </w:r>
      <w:r w:rsidR="00E53D05" w:rsidRPr="00E53D05">
        <w:rPr>
          <w:rFonts w:ascii="Arial" w:hAnsi="Arial"/>
          <w:i/>
        </w:rPr>
        <w:t>F</w:t>
      </w:r>
      <w:r w:rsidR="001F7ADD" w:rsidRPr="00387BB3">
        <w:rPr>
          <w:rFonts w:ascii="Arial" w:hAnsi="Arial"/>
        </w:rPr>
        <w:t xml:space="preserve"> </w:t>
      </w:r>
      <w:r w:rsidR="0007053B" w:rsidRPr="00387BB3">
        <w:rPr>
          <w:rFonts w:ascii="Arial" w:hAnsi="Arial"/>
        </w:rPr>
        <w:t>and</w:t>
      </w:r>
      <w:r w:rsidR="00E53D05">
        <w:rPr>
          <w:rFonts w:ascii="Arial" w:hAnsi="Arial"/>
        </w:rPr>
        <w:t xml:space="preserve"> </w:t>
      </w:r>
      <w:r w:rsidR="00E53D05" w:rsidRPr="00E53D05">
        <w:rPr>
          <w:rFonts w:ascii="Arial" w:hAnsi="Arial"/>
          <w:i/>
        </w:rPr>
        <w:t>V</w:t>
      </w:r>
      <w:r w:rsidR="0007053B" w:rsidRPr="00387BB3">
        <w:rPr>
          <w:rFonts w:ascii="Arial" w:hAnsi="Arial"/>
        </w:rPr>
        <w:t xml:space="preserve"> are given by the following expressions:</w:t>
      </w:r>
    </w:p>
    <w:p w:rsidR="00FE64B1" w:rsidRPr="00387BB3" w:rsidRDefault="00182253" w:rsidP="00F56388">
      <w:pPr>
        <w:spacing w:line="360" w:lineRule="auto"/>
        <w:rPr>
          <w:rFonts w:ascii="Arial" w:hAnsi="Arial"/>
          <w:position w:val="-52"/>
        </w:rPr>
      </w:pPr>
      <w:r w:rsidRPr="00182253">
        <w:rPr>
          <w:rFonts w:ascii="Arial" w:hAnsi="Arial"/>
          <w:position w:val="-54"/>
        </w:rPr>
        <w:pict>
          <v:shape id="_x0000_i1026" type="#_x0000_t75" style="width:380pt;height:61.35pt">
            <v:imagedata r:id="rId13" r:pict="rId14" o:title=""/>
          </v:shape>
        </w:pict>
      </w:r>
      <w:r w:rsidR="00FE64B1" w:rsidRPr="00387BB3">
        <w:rPr>
          <w:rFonts w:ascii="Arial" w:hAnsi="Arial"/>
          <w:position w:val="-54"/>
        </w:rPr>
        <w:t xml:space="preserve">      </w:t>
      </w:r>
    </w:p>
    <w:p w:rsidR="00393F95" w:rsidRDefault="00393F95" w:rsidP="00F56388">
      <w:pPr>
        <w:spacing w:line="360" w:lineRule="auto"/>
        <w:rPr>
          <w:rFonts w:ascii="Arial" w:hAnsi="Arial"/>
          <w:position w:val="-46"/>
        </w:rPr>
      </w:pPr>
      <w:r w:rsidRPr="00A813B4">
        <w:rPr>
          <w:rFonts w:ascii="Arial" w:hAnsi="Arial"/>
          <w:position w:val="-46"/>
        </w:rPr>
        <w:object w:dxaOrig="8400" w:dyaOrig="3280">
          <v:shape id="_x0000_i1027" type="#_x0000_t75" style="width:420pt;height:164pt" o:ole="">
            <v:imagedata r:id="rId15" r:pict="rId16" o:title=""/>
          </v:shape>
          <o:OLEObject Type="Embed" ProgID="Equation.DSMT4" ShapeID="_x0000_i1027" DrawAspect="Content" ObjectID="_1280214638" r:id="rId17"/>
        </w:object>
      </w:r>
    </w:p>
    <w:p w:rsidR="00FE64B1" w:rsidRPr="00387BB3" w:rsidRDefault="00B52A8A" w:rsidP="00F5638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Note that </w:t>
      </w:r>
      <w:r w:rsidRPr="00B52A8A">
        <w:rPr>
          <w:rFonts w:ascii="Arial" w:hAnsi="Arial"/>
          <w:i/>
        </w:rPr>
        <w:t>FV</w:t>
      </w:r>
      <w:r w:rsidRPr="00B52A8A">
        <w:rPr>
          <w:rFonts w:ascii="Arial" w:hAnsi="Arial"/>
          <w:i/>
          <w:vertAlign w:val="superscript"/>
        </w:rPr>
        <w:t>-1</w:t>
      </w:r>
      <w:r w:rsidR="00FE64B1" w:rsidRPr="00387BB3">
        <w:rPr>
          <w:rFonts w:ascii="Arial" w:hAnsi="Arial"/>
        </w:rPr>
        <w:t xml:space="preserve"> has only one nonzero </w:t>
      </w:r>
      <w:proofErr w:type="spellStart"/>
      <w:r w:rsidR="00FE64B1" w:rsidRPr="00387BB3">
        <w:rPr>
          <w:rFonts w:ascii="Arial" w:hAnsi="Arial"/>
        </w:rPr>
        <w:t>eigenvalue</w:t>
      </w:r>
      <w:proofErr w:type="spellEnd"/>
      <w:r w:rsidR="00FE64B1" w:rsidRPr="00387BB3">
        <w:rPr>
          <w:rFonts w:ascii="Arial" w:hAnsi="Arial"/>
        </w:rPr>
        <w:t xml:space="preserve"> with corresponding eigenvector </w:t>
      </w:r>
      <w:r w:rsidR="00182253" w:rsidRPr="00182253">
        <w:rPr>
          <w:rFonts w:ascii="Arial" w:hAnsi="Arial"/>
          <w:position w:val="-10"/>
        </w:rPr>
        <w:pict>
          <v:shape id="_x0000_i1028" type="#_x0000_t75" style="width:93.35pt;height:18pt">
            <v:imagedata r:id="rId18" r:pict="rId19" o:title=""/>
          </v:shape>
        </w:pict>
      </w:r>
      <w:r w:rsidR="00FE64B1" w:rsidRPr="00387BB3">
        <w:rPr>
          <w:rFonts w:ascii="Arial" w:hAnsi="Arial"/>
        </w:rPr>
        <w:t>.</w:t>
      </w:r>
    </w:p>
    <w:p w:rsidR="00FE64B1" w:rsidRPr="00387BB3" w:rsidRDefault="00FE64B1" w:rsidP="00F56388">
      <w:pPr>
        <w:spacing w:line="360" w:lineRule="auto"/>
        <w:rPr>
          <w:rFonts w:ascii="Arial" w:hAnsi="Arial"/>
        </w:rPr>
      </w:pPr>
      <w:r w:rsidRPr="00387BB3">
        <w:rPr>
          <w:rFonts w:ascii="Arial" w:hAnsi="Arial"/>
        </w:rPr>
        <w:t xml:space="preserve">The Control Reproduction Number </w:t>
      </w:r>
      <w:r w:rsidR="00182253" w:rsidRPr="00182253">
        <w:rPr>
          <w:rFonts w:ascii="Arial" w:hAnsi="Arial"/>
          <w:position w:val="-10"/>
        </w:rPr>
        <w:pict>
          <v:shape id="_x0000_i1029" type="#_x0000_t75" style="width:15.35pt;height:16pt">
            <v:imagedata r:id="rId20" o:title=""/>
          </v:shape>
        </w:pict>
      </w:r>
      <w:r w:rsidRPr="00387BB3">
        <w:rPr>
          <w:rFonts w:ascii="Arial" w:hAnsi="Arial"/>
        </w:rPr>
        <w:t>may be straightforwardly expressed in a biologically interpretable manner as</w:t>
      </w:r>
    </w:p>
    <w:p w:rsidR="00FE64B1" w:rsidRPr="00387BB3" w:rsidRDefault="00182253" w:rsidP="00F56388">
      <w:pPr>
        <w:spacing w:line="360" w:lineRule="auto"/>
        <w:rPr>
          <w:rFonts w:ascii="Arial" w:hAnsi="Arial"/>
        </w:rPr>
      </w:pPr>
      <w:r w:rsidRPr="00182253">
        <w:rPr>
          <w:rFonts w:ascii="Arial" w:hAnsi="Arial"/>
          <w:position w:val="-10"/>
        </w:rPr>
        <w:pict>
          <v:shape id="_x0000_i1030" type="#_x0000_t75" style="width:386pt;height:16pt">
            <v:imagedata r:id="rId21" r:pict="rId22" o:title=""/>
          </v:shape>
        </w:pict>
      </w:r>
      <w:r w:rsidR="00FE64B1" w:rsidRPr="00387BB3">
        <w:rPr>
          <w:rFonts w:ascii="Arial" w:hAnsi="Arial"/>
          <w:position w:val="-10"/>
        </w:rPr>
        <w:t xml:space="preserve">     </w:t>
      </w:r>
    </w:p>
    <w:p w:rsidR="000F0C42" w:rsidRPr="00387BB3" w:rsidRDefault="00FE64B1" w:rsidP="00F56388">
      <w:pPr>
        <w:spacing w:line="360" w:lineRule="auto"/>
        <w:rPr>
          <w:rFonts w:ascii="Arial" w:hAnsi="Arial"/>
        </w:rPr>
      </w:pPr>
      <w:proofErr w:type="gramStart"/>
      <w:r w:rsidRPr="00387BB3">
        <w:rPr>
          <w:rFonts w:ascii="Arial" w:hAnsi="Arial"/>
        </w:rPr>
        <w:t>where</w:t>
      </w:r>
      <w:proofErr w:type="gramEnd"/>
      <w:r w:rsidRPr="00387BB3">
        <w:rPr>
          <w:rFonts w:ascii="Arial" w:hAnsi="Arial"/>
        </w:rPr>
        <w:t xml:space="preserve"> </w:t>
      </w:r>
      <w:r w:rsidR="00182253" w:rsidRPr="00182253">
        <w:rPr>
          <w:rFonts w:ascii="Arial" w:hAnsi="Arial"/>
          <w:position w:val="-10"/>
        </w:rPr>
        <w:pict>
          <v:shape id="_x0000_i1031" type="#_x0000_t75" style="width:15.35pt;height:16pt">
            <v:imagedata r:id="rId23" o:title=""/>
          </v:shape>
        </w:pict>
      </w:r>
      <w:r w:rsidR="00DB74BF" w:rsidRPr="00387BB3">
        <w:rPr>
          <w:rFonts w:ascii="Arial" w:hAnsi="Arial"/>
        </w:rPr>
        <w:t xml:space="preserve"> </w:t>
      </w:r>
      <w:r w:rsidRPr="00387BB3">
        <w:rPr>
          <w:rFonts w:ascii="Arial" w:hAnsi="Arial"/>
        </w:rPr>
        <w:t>can be interpreted as the Control Reproduction Number for a model including only the</w:t>
      </w:r>
      <w:r w:rsidR="00DB74BF" w:rsidRPr="00387BB3">
        <w:rPr>
          <w:rFonts w:ascii="Arial" w:hAnsi="Arial"/>
        </w:rPr>
        <w:t xml:space="preserve"> (infected)</w:t>
      </w:r>
      <w:r w:rsidRPr="00387BB3">
        <w:rPr>
          <w:rFonts w:ascii="Arial" w:hAnsi="Arial"/>
        </w:rPr>
        <w:t xml:space="preserve"> stages</w:t>
      </w:r>
      <w:r w:rsidR="00182253" w:rsidRPr="00182253">
        <w:rPr>
          <w:rFonts w:ascii="Arial" w:hAnsi="Arial"/>
          <w:position w:val="-10"/>
        </w:rPr>
        <w:pict>
          <v:shape id="_x0000_i1032" type="#_x0000_t75" style="width:9.35pt;height:14.65pt">
            <v:imagedata r:id="rId24" o:title=""/>
          </v:shape>
        </w:pict>
      </w:r>
      <w:r w:rsidR="00163E78" w:rsidRPr="00387BB3">
        <w:rPr>
          <w:rFonts w:ascii="Arial" w:hAnsi="Arial"/>
          <w:position w:val="-10"/>
        </w:rPr>
        <w:t xml:space="preserve"> </w:t>
      </w:r>
      <w:r w:rsidRPr="00387BB3">
        <w:rPr>
          <w:rFonts w:ascii="Arial" w:hAnsi="Arial"/>
        </w:rPr>
        <w:t>and</w:t>
      </w:r>
      <w:r w:rsidR="00182253" w:rsidRPr="00182253">
        <w:rPr>
          <w:rFonts w:ascii="Arial" w:hAnsi="Arial"/>
          <w:position w:val="-10"/>
        </w:rPr>
        <w:pict>
          <v:shape id="_x0000_i1033" type="#_x0000_t75" style="width:13.35pt;height:16.65pt">
            <v:imagedata r:id="rId25" o:title=""/>
          </v:shape>
        </w:pict>
      </w:r>
      <w:r w:rsidR="006903E4" w:rsidRPr="00387BB3">
        <w:rPr>
          <w:rFonts w:ascii="Arial" w:hAnsi="Arial"/>
          <w:position w:val="-10"/>
        </w:rPr>
        <w:t xml:space="preserve"> </w:t>
      </w:r>
      <w:r w:rsidRPr="00387BB3">
        <w:rPr>
          <w:rFonts w:ascii="Arial" w:hAnsi="Arial"/>
        </w:rPr>
        <w:t xml:space="preserve">weighted by the probability that an individual has progressed to these stages </w:t>
      </w:r>
      <w:r w:rsidR="00DB74BF" w:rsidRPr="00387BB3">
        <w:rPr>
          <w:rFonts w:ascii="Arial" w:hAnsi="Arial"/>
        </w:rPr>
        <w:t xml:space="preserve">before dying. </w:t>
      </w:r>
      <w:r w:rsidRPr="00387BB3">
        <w:rPr>
          <w:rFonts w:ascii="Arial" w:hAnsi="Arial"/>
        </w:rPr>
        <w:t>Th</w:t>
      </w:r>
      <w:r w:rsidR="00163E78" w:rsidRPr="00387BB3">
        <w:rPr>
          <w:rFonts w:ascii="Arial" w:hAnsi="Arial"/>
        </w:rPr>
        <w:t xml:space="preserve">e </w:t>
      </w:r>
      <w:r w:rsidR="00182253" w:rsidRPr="00182253">
        <w:rPr>
          <w:rFonts w:ascii="Arial" w:hAnsi="Arial"/>
          <w:position w:val="-10"/>
        </w:rPr>
        <w:pict>
          <v:shape id="_x0000_i1034" type="#_x0000_t75" style="width:13.35pt;height:16.65pt">
            <v:imagedata r:id="rId26" o:title=""/>
          </v:shape>
        </w:pict>
      </w:r>
      <w:r w:rsidR="00163E78" w:rsidRPr="00387BB3">
        <w:rPr>
          <w:rFonts w:ascii="Arial" w:hAnsi="Arial"/>
        </w:rPr>
        <w:t xml:space="preserve"> </w:t>
      </w:r>
      <w:r w:rsidRPr="00387BB3">
        <w:rPr>
          <w:rFonts w:ascii="Arial" w:hAnsi="Arial"/>
        </w:rPr>
        <w:t>are given as follows:</w:t>
      </w:r>
    </w:p>
    <w:p w:rsidR="00FE64B1" w:rsidRPr="00387BB3" w:rsidRDefault="00B15B38" w:rsidP="00F56388">
      <w:pPr>
        <w:spacing w:line="360" w:lineRule="auto"/>
        <w:rPr>
          <w:rFonts w:ascii="Arial" w:hAnsi="Arial"/>
        </w:rPr>
      </w:pPr>
      <w:r w:rsidRPr="00387BB3">
        <w:rPr>
          <w:rFonts w:ascii="Arial" w:hAnsi="Arial"/>
          <w:position w:val="-122"/>
        </w:rPr>
        <w:object w:dxaOrig="8680" w:dyaOrig="2520">
          <v:shape id="_x0000_i1035" type="#_x0000_t75" style="width:434pt;height:126pt" o:ole="">
            <v:imagedata r:id="rId27" r:pict="rId28" o:title=""/>
          </v:shape>
          <o:OLEObject Type="Embed" ProgID="Equation.DSMT4" ShapeID="_x0000_i1035" DrawAspect="Content" ObjectID="_1280214639" r:id="rId29"/>
        </w:object>
      </w:r>
    </w:p>
    <w:p w:rsidR="00FE64B1" w:rsidRPr="00387BB3" w:rsidRDefault="00182253" w:rsidP="00F56388">
      <w:pPr>
        <w:spacing w:line="360" w:lineRule="auto"/>
        <w:rPr>
          <w:rFonts w:ascii="Arial" w:hAnsi="Arial"/>
        </w:rPr>
      </w:pPr>
      <w:r w:rsidRPr="00182253">
        <w:rPr>
          <w:rFonts w:ascii="Arial" w:hAnsi="Arial"/>
          <w:position w:val="-206"/>
        </w:rPr>
        <w:pict>
          <v:shape id="_x0000_i1036" type="#_x0000_t75" style="width:443.35pt;height:188pt">
            <v:imagedata r:id="rId30" r:pict="rId31" o:title=""/>
          </v:shape>
        </w:pict>
      </w:r>
      <w:r w:rsidR="00FE64B1" w:rsidRPr="00387BB3">
        <w:rPr>
          <w:rFonts w:ascii="Arial" w:hAnsi="Arial"/>
          <w:position w:val="-292"/>
        </w:rPr>
        <w:t xml:space="preserve">   </w:t>
      </w:r>
    </w:p>
    <w:p w:rsidR="00E15375" w:rsidRPr="00387BB3" w:rsidRDefault="00E15375" w:rsidP="00F56388">
      <w:pPr>
        <w:spacing w:line="360" w:lineRule="auto"/>
        <w:rPr>
          <w:rFonts w:ascii="Arial" w:hAnsi="Arial"/>
        </w:rPr>
      </w:pPr>
    </w:p>
    <w:p w:rsidR="00DC671B" w:rsidRDefault="00FE64B1" w:rsidP="00F56388">
      <w:pPr>
        <w:spacing w:line="360" w:lineRule="auto"/>
        <w:rPr>
          <w:rFonts w:ascii="Arial" w:hAnsi="Arial"/>
        </w:rPr>
      </w:pPr>
      <w:proofErr w:type="gramStart"/>
      <w:r w:rsidRPr="00387BB3">
        <w:rPr>
          <w:rFonts w:ascii="Arial" w:hAnsi="Arial"/>
        </w:rPr>
        <w:t>where</w:t>
      </w:r>
      <w:proofErr w:type="gramEnd"/>
      <w:r w:rsidRPr="00387BB3">
        <w:rPr>
          <w:rFonts w:ascii="Arial" w:hAnsi="Arial"/>
        </w:rPr>
        <w:t>,</w:t>
      </w:r>
    </w:p>
    <w:p w:rsidR="00FE64B1" w:rsidRPr="00387BB3" w:rsidRDefault="00DC671B" w:rsidP="00F56388">
      <w:pPr>
        <w:spacing w:line="360" w:lineRule="auto"/>
        <w:rPr>
          <w:rFonts w:ascii="Arial" w:hAnsi="Arial"/>
        </w:rPr>
      </w:pPr>
      <w:r w:rsidRPr="00DC671B">
        <w:rPr>
          <w:rFonts w:ascii="Arial" w:hAnsi="Arial"/>
          <w:position w:val="-112"/>
        </w:rPr>
        <w:t xml:space="preserve"> </w:t>
      </w:r>
      <w:r w:rsidRPr="00387BB3">
        <w:rPr>
          <w:rFonts w:ascii="Arial" w:hAnsi="Arial"/>
          <w:position w:val="-112"/>
        </w:rPr>
        <w:object w:dxaOrig="9140" w:dyaOrig="2380">
          <v:shape id="_x0000_i1037" type="#_x0000_t75" style="width:457.35pt;height:119.35pt" o:ole="">
            <v:imagedata r:id="rId32" r:pict="rId33" o:title=""/>
          </v:shape>
          <o:OLEObject Type="Embed" ProgID="Equation.DSMT4" ShapeID="_x0000_i1037" DrawAspect="Content" ObjectID="_1280214640" r:id="rId34"/>
        </w:object>
      </w:r>
    </w:p>
    <w:p w:rsidR="00FE64B1" w:rsidRPr="00387BB3" w:rsidRDefault="00FE64B1" w:rsidP="00F56388">
      <w:pPr>
        <w:spacing w:line="360" w:lineRule="auto"/>
        <w:rPr>
          <w:rFonts w:ascii="Arial" w:hAnsi="Arial"/>
        </w:rPr>
      </w:pPr>
    </w:p>
    <w:p w:rsidR="00FE64B1" w:rsidRPr="00387BB3" w:rsidRDefault="00B15B38" w:rsidP="00F56388">
      <w:pPr>
        <w:spacing w:line="360" w:lineRule="auto"/>
        <w:rPr>
          <w:rFonts w:ascii="Arial" w:hAnsi="Arial"/>
          <w:position w:val="-46"/>
        </w:rPr>
      </w:pPr>
      <w:r w:rsidRPr="00387BB3">
        <w:rPr>
          <w:rFonts w:ascii="Arial" w:hAnsi="Arial"/>
          <w:position w:val="-48"/>
        </w:rPr>
        <w:object w:dxaOrig="8840" w:dyaOrig="1100">
          <v:shape id="_x0000_i1038" type="#_x0000_t75" style="width:442pt;height:55.35pt" o:ole="">
            <v:imagedata r:id="rId35" r:pict="rId36" o:title=""/>
          </v:shape>
          <o:OLEObject Type="Embed" ProgID="Equation.DSMT4" ShapeID="_x0000_i1038" DrawAspect="Content" ObjectID="_1280214641" r:id="rId37"/>
        </w:object>
      </w:r>
    </w:p>
    <w:p w:rsidR="006A5CEF" w:rsidRPr="00387BB3" w:rsidRDefault="00FE64B1" w:rsidP="00F56388">
      <w:pPr>
        <w:spacing w:line="360" w:lineRule="auto"/>
        <w:rPr>
          <w:rFonts w:ascii="Arial" w:hAnsi="Arial"/>
        </w:rPr>
      </w:pPr>
      <w:r w:rsidRPr="00387BB3">
        <w:rPr>
          <w:rFonts w:ascii="Arial" w:hAnsi="Arial"/>
        </w:rPr>
        <w:t xml:space="preserve">The </w:t>
      </w:r>
      <w:r w:rsidR="00182253" w:rsidRPr="00182253">
        <w:rPr>
          <w:rFonts w:ascii="Arial" w:hAnsi="Arial"/>
          <w:position w:val="-10"/>
        </w:rPr>
        <w:pict>
          <v:shape id="_x0000_i1039" type="#_x0000_t75" style="width:12pt;height:14.65pt">
            <v:imagedata r:id="rId38" o:title=""/>
          </v:shape>
        </w:pict>
      </w:r>
      <w:r w:rsidR="00DB74BF" w:rsidRPr="00387BB3">
        <w:rPr>
          <w:rFonts w:ascii="Arial" w:hAnsi="Arial"/>
        </w:rPr>
        <w:t xml:space="preserve"> terms </w:t>
      </w:r>
      <w:r w:rsidRPr="00387BB3">
        <w:rPr>
          <w:rFonts w:ascii="Arial" w:hAnsi="Arial"/>
        </w:rPr>
        <w:t xml:space="preserve">give the probability that an individual in class </w:t>
      </w:r>
      <w:r w:rsidR="00182253" w:rsidRPr="00182253">
        <w:rPr>
          <w:rFonts w:ascii="Arial" w:hAnsi="Arial"/>
          <w:position w:val="-10"/>
        </w:rPr>
        <w:pict>
          <v:shape id="_x0000_i1040" type="#_x0000_t75" style="width:9.35pt;height:14.65pt">
            <v:imagedata r:id="rId39" o:title=""/>
          </v:shape>
        </w:pict>
      </w:r>
      <w:r w:rsidRPr="00387BB3">
        <w:rPr>
          <w:rFonts w:ascii="Arial" w:hAnsi="Arial"/>
        </w:rPr>
        <w:t xml:space="preserve"> begins treatment and s</w:t>
      </w:r>
      <w:r w:rsidR="00DB74BF" w:rsidRPr="00387BB3">
        <w:rPr>
          <w:rFonts w:ascii="Arial" w:hAnsi="Arial"/>
        </w:rPr>
        <w:t>ubsequently interrupts</w:t>
      </w:r>
      <w:r w:rsidR="00E7508F" w:rsidRPr="00387BB3">
        <w:rPr>
          <w:rFonts w:ascii="Arial" w:hAnsi="Arial"/>
        </w:rPr>
        <w:t xml:space="preserve"> it </w:t>
      </w:r>
      <w:r w:rsidR="00E53D05">
        <w:rPr>
          <w:rFonts w:ascii="Arial" w:hAnsi="Arial"/>
        </w:rPr>
        <w:t xml:space="preserve">(or vice versa). </w:t>
      </w:r>
      <w:r w:rsidRPr="00387BB3">
        <w:rPr>
          <w:rFonts w:ascii="Arial" w:hAnsi="Arial"/>
        </w:rPr>
        <w:t xml:space="preserve">Similarly, the </w:t>
      </w:r>
      <w:r w:rsidR="00182253" w:rsidRPr="00182253">
        <w:rPr>
          <w:rFonts w:ascii="Arial" w:hAnsi="Arial"/>
          <w:position w:val="-10"/>
        </w:rPr>
        <w:pict>
          <v:shape id="_x0000_i1041" type="#_x0000_t75" style="width:17.35pt;height:18pt">
            <v:imagedata r:id="rId40" r:pict="rId41" o:title=""/>
          </v:shape>
        </w:pict>
      </w:r>
      <w:r w:rsidR="00DB74BF" w:rsidRPr="00387BB3">
        <w:rPr>
          <w:rFonts w:ascii="Arial" w:hAnsi="Arial"/>
        </w:rPr>
        <w:t xml:space="preserve">represent </w:t>
      </w:r>
      <w:r w:rsidR="000F0C42" w:rsidRPr="00387BB3">
        <w:rPr>
          <w:rFonts w:ascii="Arial" w:hAnsi="Arial"/>
        </w:rPr>
        <w:t>the sum of the probabilities for</w:t>
      </w:r>
      <w:r w:rsidRPr="00387BB3">
        <w:rPr>
          <w:rFonts w:ascii="Arial" w:hAnsi="Arial"/>
        </w:rPr>
        <w:t xml:space="preserve"> all possible pa</w:t>
      </w:r>
      <w:r w:rsidR="00DB74BF" w:rsidRPr="00387BB3">
        <w:rPr>
          <w:rFonts w:ascii="Arial" w:hAnsi="Arial"/>
        </w:rPr>
        <w:t xml:space="preserve">ths an individual may take from </w:t>
      </w:r>
      <w:r w:rsidR="00182253" w:rsidRPr="00182253">
        <w:rPr>
          <w:rFonts w:ascii="Arial" w:hAnsi="Arial"/>
          <w:position w:val="-10"/>
        </w:rPr>
        <w:pict>
          <v:shape id="_x0000_i1042" type="#_x0000_t75" style="width:13.35pt;height:16pt">
            <v:imagedata r:id="rId42" r:pict="rId43" o:title=""/>
          </v:shape>
        </w:pict>
      </w:r>
      <w:r w:rsidRPr="00387BB3">
        <w:rPr>
          <w:rFonts w:ascii="Arial" w:hAnsi="Arial"/>
        </w:rPr>
        <w:t xml:space="preserve"> to </w:t>
      </w:r>
      <w:r w:rsidR="00182253" w:rsidRPr="00182253">
        <w:rPr>
          <w:rFonts w:ascii="Arial" w:hAnsi="Arial"/>
          <w:position w:val="-10"/>
        </w:rPr>
        <w:pict>
          <v:shape id="_x0000_i1043" type="#_x0000_t75" style="width:11.35pt;height:16pt">
            <v:imagedata r:id="rId44" r:pict="rId45" o:title=""/>
          </v:shape>
        </w:pict>
      </w:r>
      <w:r w:rsidR="00DB74BF" w:rsidRPr="00387BB3">
        <w:rPr>
          <w:rFonts w:ascii="Arial" w:hAnsi="Arial"/>
        </w:rPr>
        <w:t xml:space="preserve"> by successively interrupting and then resuming treatment (</w:t>
      </w:r>
      <w:r w:rsidRPr="00387BB3">
        <w:rPr>
          <w:rFonts w:ascii="Arial" w:hAnsi="Arial"/>
        </w:rPr>
        <w:t xml:space="preserve">and vice versa </w:t>
      </w:r>
      <w:r w:rsidR="00182253" w:rsidRPr="00182253">
        <w:rPr>
          <w:rFonts w:ascii="Arial" w:hAnsi="Arial"/>
          <w:position w:val="-10"/>
        </w:rPr>
        <w:pict>
          <v:shape id="_x0000_i1044" type="#_x0000_t75" style="width:16pt;height:18pt">
            <v:imagedata r:id="rId46" r:pict="rId47" o:title=""/>
          </v:shape>
        </w:pict>
      </w:r>
      <w:r w:rsidRPr="00387BB3">
        <w:rPr>
          <w:rFonts w:ascii="Arial" w:hAnsi="Arial"/>
        </w:rPr>
        <w:t>).</w:t>
      </w:r>
      <w:r w:rsidR="00E7508F" w:rsidRPr="00387BB3">
        <w:rPr>
          <w:rFonts w:ascii="Arial" w:hAnsi="Arial"/>
        </w:rPr>
        <w:t xml:space="preserve"> </w:t>
      </w:r>
    </w:p>
    <w:p w:rsidR="007731DF" w:rsidRDefault="007731DF" w:rsidP="00E162B5">
      <w:pPr>
        <w:spacing w:line="360" w:lineRule="auto"/>
        <w:rPr>
          <w:rFonts w:ascii="Arial" w:hAnsi="Arial"/>
          <w:b/>
        </w:rPr>
      </w:pPr>
    </w:p>
    <w:p w:rsidR="007C0320" w:rsidRDefault="007C0320" w:rsidP="001B2435">
      <w:pPr>
        <w:spacing w:line="480" w:lineRule="auto"/>
        <w:rPr>
          <w:rFonts w:ascii="Arial" w:hAnsi="Arial"/>
          <w:b/>
        </w:rPr>
      </w:pPr>
    </w:p>
    <w:p w:rsidR="004B24DD" w:rsidRPr="007C0320" w:rsidRDefault="001F7ADD" w:rsidP="007C0320">
      <w:pPr>
        <w:spacing w:line="360" w:lineRule="auto"/>
        <w:rPr>
          <w:rFonts w:ascii="Arial" w:hAnsi="Arial"/>
        </w:rPr>
      </w:pPr>
      <w:r w:rsidRPr="007C0320">
        <w:rPr>
          <w:rFonts w:ascii="Arial" w:hAnsi="Arial"/>
          <w:b/>
        </w:rPr>
        <w:t>References:</w:t>
      </w:r>
    </w:p>
    <w:p w:rsidR="00E15375" w:rsidRPr="007C0320" w:rsidRDefault="00E15375" w:rsidP="007C0320">
      <w:pPr>
        <w:spacing w:after="0" w:line="360" w:lineRule="auto"/>
        <w:ind w:left="720" w:hanging="720"/>
        <w:rPr>
          <w:rFonts w:ascii="Arial" w:hAnsi="Arial"/>
          <w:b/>
        </w:rPr>
      </w:pPr>
    </w:p>
    <w:p w:rsidR="007C0320" w:rsidRPr="007C0320" w:rsidRDefault="00182253" w:rsidP="007C0320">
      <w:pPr>
        <w:spacing w:after="240" w:line="360" w:lineRule="auto"/>
        <w:ind w:left="280" w:hanging="280"/>
        <w:rPr>
          <w:rFonts w:ascii="Arial" w:hAnsi="Arial"/>
          <w:noProof/>
        </w:rPr>
      </w:pPr>
      <w:r w:rsidRPr="007C0320">
        <w:rPr>
          <w:rFonts w:ascii="Arial" w:hAnsi="Arial"/>
        </w:rPr>
        <w:fldChar w:fldCharType="begin"/>
      </w:r>
      <w:r w:rsidR="001F7ADD" w:rsidRPr="007C0320">
        <w:rPr>
          <w:rFonts w:ascii="Arial" w:hAnsi="Arial"/>
        </w:rPr>
        <w:instrText xml:space="preserve"> ADDIN EN.REFLIST </w:instrText>
      </w:r>
      <w:r w:rsidRPr="007C0320">
        <w:rPr>
          <w:rFonts w:ascii="Arial" w:hAnsi="Arial"/>
        </w:rPr>
        <w:fldChar w:fldCharType="separate"/>
      </w:r>
      <w:r w:rsidR="007C0320" w:rsidRPr="007C0320">
        <w:rPr>
          <w:rFonts w:ascii="Arial" w:hAnsi="Arial"/>
          <w:noProof/>
        </w:rPr>
        <w:t>1. Granich RM, Gilks CF, Dye C, De Cock KM, Williams BG (2009) Universal voluntary HIV testing with immediate antiretroviral therapy as a strategy for elimination of HIV transmission: a mathematical model. Lancet 373: 48-57.</w:t>
      </w:r>
    </w:p>
    <w:p w:rsidR="007C0320" w:rsidRPr="007C0320" w:rsidRDefault="007C0320" w:rsidP="007C0320">
      <w:pPr>
        <w:spacing w:after="240" w:line="360" w:lineRule="auto"/>
        <w:ind w:left="280" w:hanging="280"/>
        <w:rPr>
          <w:rFonts w:ascii="Arial" w:hAnsi="Arial"/>
          <w:noProof/>
        </w:rPr>
      </w:pPr>
      <w:r w:rsidRPr="007C0320">
        <w:rPr>
          <w:rFonts w:ascii="Arial" w:hAnsi="Arial"/>
          <w:noProof/>
        </w:rPr>
        <w:t>2. Diekmann O, Heesterbeek JAP, Metz JAJ (1990) On the definition and the computation of the basic reproduction ratio R0 in models for infectious diseases in heterogeneous populations. J Math Biiol 28: 365-382.</w:t>
      </w:r>
    </w:p>
    <w:p w:rsidR="007C0320" w:rsidRPr="007C0320" w:rsidRDefault="007C0320" w:rsidP="007C0320">
      <w:pPr>
        <w:spacing w:after="240" w:line="360" w:lineRule="auto"/>
        <w:ind w:left="280" w:hanging="280"/>
        <w:rPr>
          <w:rFonts w:ascii="Arial" w:hAnsi="Arial"/>
          <w:noProof/>
        </w:rPr>
      </w:pPr>
      <w:r w:rsidRPr="007C0320">
        <w:rPr>
          <w:rFonts w:ascii="Arial" w:hAnsi="Arial"/>
          <w:noProof/>
        </w:rPr>
        <w:t>3. van den Driessche P, Watmough J (2002) Reproduction numbers and sub-threshold endemic equilibria for compartmental models of disease transmission. Math Biosci 180: 29-48.</w:t>
      </w:r>
    </w:p>
    <w:p w:rsidR="007C0320" w:rsidRPr="007C0320" w:rsidRDefault="007C0320" w:rsidP="007C0320">
      <w:pPr>
        <w:spacing w:after="240" w:line="360" w:lineRule="auto"/>
        <w:ind w:left="280" w:hanging="280"/>
        <w:rPr>
          <w:rFonts w:ascii="Arial" w:hAnsi="Arial"/>
          <w:noProof/>
        </w:rPr>
      </w:pPr>
      <w:r w:rsidRPr="007C0320">
        <w:rPr>
          <w:rFonts w:ascii="Arial" w:hAnsi="Arial"/>
          <w:noProof/>
        </w:rPr>
        <w:t xml:space="preserve">4. National Department of Health (2007) The National Antenatal Sentinel HIV and Syphilis Prevalence Survey, South Africa, 2006. </w:t>
      </w:r>
      <w:hyperlink r:id="rId48" w:history="1">
        <w:r w:rsidRPr="007C0320">
          <w:rPr>
            <w:rStyle w:val="Hyperlink"/>
            <w:rFonts w:ascii="Arial" w:hAnsi="Arial"/>
            <w:noProof/>
          </w:rPr>
          <w:t>http://www.doh.gov.za/list.php?type=HIV%20and%20AIDS&amp;year=2007</w:t>
        </w:r>
      </w:hyperlink>
      <w:r w:rsidRPr="007C0320">
        <w:rPr>
          <w:rFonts w:ascii="Arial" w:hAnsi="Arial"/>
          <w:noProof/>
        </w:rPr>
        <w:t>.</w:t>
      </w:r>
      <w:r w:rsidR="00516ECC">
        <w:rPr>
          <w:rFonts w:ascii="Arial" w:hAnsi="Arial"/>
          <w:noProof/>
        </w:rPr>
        <w:t xml:space="preserve"> Accessed 2012 Aug 13.</w:t>
      </w:r>
    </w:p>
    <w:p w:rsidR="007C0320" w:rsidRPr="007C0320" w:rsidRDefault="007C0320" w:rsidP="007C0320">
      <w:pPr>
        <w:spacing w:after="0" w:line="360" w:lineRule="auto"/>
        <w:ind w:left="280" w:hanging="280"/>
        <w:rPr>
          <w:rFonts w:ascii="Arial" w:hAnsi="Arial"/>
          <w:noProof/>
        </w:rPr>
      </w:pPr>
      <w:r w:rsidRPr="007C0320">
        <w:rPr>
          <w:rFonts w:ascii="Arial" w:hAnsi="Arial"/>
          <w:noProof/>
        </w:rPr>
        <w:t xml:space="preserve">5. National Department of Health (2011) The National Antenatal Sentinel HIV and Syphilis Prevalence Survey, South Africa, 2010. </w:t>
      </w:r>
      <w:hyperlink r:id="rId49" w:history="1">
        <w:r w:rsidRPr="007C0320">
          <w:rPr>
            <w:rStyle w:val="Hyperlink"/>
            <w:rFonts w:ascii="Arial" w:hAnsi="Arial"/>
            <w:noProof/>
          </w:rPr>
          <w:t>http://www.doh.gov.za/docs/reports/2011/hiv_aids_survey.pdf</w:t>
        </w:r>
      </w:hyperlink>
      <w:r w:rsidRPr="007C0320">
        <w:rPr>
          <w:rFonts w:ascii="Arial" w:hAnsi="Arial"/>
          <w:noProof/>
        </w:rPr>
        <w:t>.</w:t>
      </w:r>
      <w:r w:rsidR="00516ECC">
        <w:rPr>
          <w:rFonts w:ascii="Arial" w:hAnsi="Arial"/>
          <w:noProof/>
        </w:rPr>
        <w:t xml:space="preserve"> Accessed 2012 Aug 13.</w:t>
      </w:r>
    </w:p>
    <w:p w:rsidR="007C0320" w:rsidRPr="007C0320" w:rsidRDefault="007C0320" w:rsidP="007C0320">
      <w:pPr>
        <w:spacing w:after="0" w:line="360" w:lineRule="auto"/>
        <w:ind w:left="280" w:hanging="280"/>
        <w:rPr>
          <w:rFonts w:ascii="Arial" w:hAnsi="Arial"/>
          <w:noProof/>
        </w:rPr>
      </w:pPr>
    </w:p>
    <w:p w:rsidR="007F357D" w:rsidRPr="00FB3092" w:rsidRDefault="00182253" w:rsidP="007C0320">
      <w:pPr>
        <w:spacing w:after="0" w:line="360" w:lineRule="auto"/>
        <w:ind w:left="720" w:hanging="720"/>
        <w:rPr>
          <w:rFonts w:ascii="Arial" w:hAnsi="Arial"/>
        </w:rPr>
      </w:pPr>
      <w:r w:rsidRPr="007C0320">
        <w:rPr>
          <w:rFonts w:ascii="Arial" w:hAnsi="Arial"/>
        </w:rPr>
        <w:fldChar w:fldCharType="end"/>
      </w:r>
    </w:p>
    <w:p w:rsidR="007F357D" w:rsidRDefault="007F357D" w:rsidP="003160C5">
      <w:pPr>
        <w:spacing w:after="0" w:line="360" w:lineRule="auto"/>
        <w:ind w:left="720" w:hanging="720"/>
        <w:rPr>
          <w:rFonts w:ascii="Arial" w:hAnsi="Arial"/>
        </w:rPr>
      </w:pPr>
    </w:p>
    <w:p w:rsidR="007F357D" w:rsidRDefault="007F357D" w:rsidP="003160C5">
      <w:pPr>
        <w:spacing w:after="0" w:line="360" w:lineRule="auto"/>
        <w:ind w:left="720" w:hanging="720"/>
        <w:rPr>
          <w:rFonts w:ascii="Arial" w:hAnsi="Arial"/>
        </w:rPr>
      </w:pPr>
    </w:p>
    <w:p w:rsidR="006D4891" w:rsidRDefault="006D4891" w:rsidP="006D4891">
      <w:pPr>
        <w:spacing w:line="360" w:lineRule="auto"/>
        <w:rPr>
          <w:rFonts w:ascii="Arial" w:hAnsi="Arial"/>
          <w:b/>
        </w:rPr>
      </w:pPr>
    </w:p>
    <w:p w:rsidR="006D4891" w:rsidRDefault="006D4891" w:rsidP="006D4891">
      <w:pPr>
        <w:spacing w:line="360" w:lineRule="auto"/>
        <w:rPr>
          <w:rFonts w:ascii="Arial" w:hAnsi="Arial"/>
          <w:b/>
        </w:rPr>
      </w:pPr>
    </w:p>
    <w:p w:rsidR="006D4891" w:rsidRDefault="006D4891" w:rsidP="006D4891">
      <w:pPr>
        <w:spacing w:line="360" w:lineRule="auto"/>
        <w:rPr>
          <w:rFonts w:ascii="Arial" w:hAnsi="Arial"/>
          <w:b/>
        </w:rPr>
      </w:pPr>
    </w:p>
    <w:p w:rsidR="007C0320" w:rsidRDefault="007C0320" w:rsidP="006D4891">
      <w:pPr>
        <w:spacing w:line="360" w:lineRule="auto"/>
        <w:rPr>
          <w:rFonts w:ascii="Arial" w:hAnsi="Arial"/>
          <w:b/>
        </w:rPr>
      </w:pPr>
    </w:p>
    <w:p w:rsidR="007C0320" w:rsidRDefault="007C0320" w:rsidP="006D4891">
      <w:pPr>
        <w:spacing w:line="360" w:lineRule="auto"/>
        <w:rPr>
          <w:rFonts w:ascii="Arial" w:hAnsi="Arial"/>
          <w:b/>
        </w:rPr>
      </w:pPr>
    </w:p>
    <w:p w:rsidR="007C0320" w:rsidRDefault="007C0320" w:rsidP="006D4891">
      <w:pPr>
        <w:spacing w:line="360" w:lineRule="auto"/>
        <w:rPr>
          <w:rFonts w:ascii="Arial" w:hAnsi="Arial"/>
          <w:b/>
        </w:rPr>
      </w:pPr>
    </w:p>
    <w:p w:rsidR="00650A95" w:rsidRPr="00A813B4" w:rsidRDefault="00650A95" w:rsidP="003160C5">
      <w:pPr>
        <w:spacing w:after="0" w:line="360" w:lineRule="auto"/>
        <w:ind w:left="720" w:hanging="720"/>
      </w:pPr>
    </w:p>
    <w:sectPr w:rsidR="00650A95" w:rsidRPr="00A813B4" w:rsidSect="00514B04">
      <w:type w:val="continuous"/>
      <w:pgSz w:w="12240" w:h="15840"/>
      <w:pgMar w:top="1440" w:right="1440" w:bottom="1440" w:left="1440" w:gutter="0"/>
      <w:noEndnote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C0320" w:rsidRDefault="007C0320" w:rsidP="00D7759F">
      <w:pPr>
        <w:spacing w:after="0" w:line="240" w:lineRule="auto"/>
      </w:pPr>
      <w:r>
        <w:separator/>
      </w:r>
    </w:p>
  </w:endnote>
  <w:endnote w:type="continuationSeparator" w:id="1">
    <w:p w:rsidR="007C0320" w:rsidRDefault="007C0320" w:rsidP="00D7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C0320" w:rsidRDefault="00182253" w:rsidP="00690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03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0320" w:rsidRDefault="007C0320" w:rsidP="00092126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C0320" w:rsidRDefault="00182253" w:rsidP="00690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032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21F8">
      <w:rPr>
        <w:rStyle w:val="PageNumber"/>
        <w:noProof/>
      </w:rPr>
      <w:t>1</w:t>
    </w:r>
    <w:r>
      <w:rPr>
        <w:rStyle w:val="PageNumber"/>
      </w:rPr>
      <w:fldChar w:fldCharType="end"/>
    </w:r>
  </w:p>
  <w:p w:rsidR="007C0320" w:rsidRDefault="007C0320" w:rsidP="00092126">
    <w:pPr>
      <w:pStyle w:val="Footer"/>
      <w:ind w:right="360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C0320" w:rsidRDefault="007C0320" w:rsidP="00D7759F">
      <w:pPr>
        <w:spacing w:after="0" w:line="240" w:lineRule="auto"/>
      </w:pPr>
      <w:r>
        <w:separator/>
      </w:r>
    </w:p>
  </w:footnote>
  <w:footnote w:type="continuationSeparator" w:id="1">
    <w:p w:rsidR="007C0320" w:rsidRDefault="007C0320" w:rsidP="00D77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9A83DBA"/>
    <w:multiLevelType w:val="hybridMultilevel"/>
    <w:tmpl w:val="7D222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263A8"/>
    <w:multiLevelType w:val="hybridMultilevel"/>
    <w:tmpl w:val="1A00B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40D55"/>
    <w:multiLevelType w:val="hybridMultilevel"/>
    <w:tmpl w:val="E6E8D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 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288&lt;/HangingIndent&gt;&lt;LineSpacing&gt;0&lt;/LineSpacing&gt;&lt;SpaceAfter&gt;1&lt;/SpaceAfter&gt;&lt;/ENLayout&gt;"/>
    <w:docVar w:name="EN.Libraries" w:val="&lt;ENLibraries&gt;&lt;Libraries&gt;&lt;item&gt;HIVHSV2.enl&lt;/item&gt;&lt;/Libraries&gt;&lt;/ENLibraries&gt;"/>
  </w:docVars>
  <w:rsids>
    <w:rsidRoot w:val="00650A95"/>
    <w:rsid w:val="00003EC8"/>
    <w:rsid w:val="000113EB"/>
    <w:rsid w:val="00011C40"/>
    <w:rsid w:val="00011D9C"/>
    <w:rsid w:val="00017DB5"/>
    <w:rsid w:val="00021817"/>
    <w:rsid w:val="00030A67"/>
    <w:rsid w:val="00031004"/>
    <w:rsid w:val="00035FD9"/>
    <w:rsid w:val="00041669"/>
    <w:rsid w:val="00047B0A"/>
    <w:rsid w:val="0005483E"/>
    <w:rsid w:val="00054A8C"/>
    <w:rsid w:val="0007053B"/>
    <w:rsid w:val="00072026"/>
    <w:rsid w:val="00092126"/>
    <w:rsid w:val="000A3D80"/>
    <w:rsid w:val="000B1445"/>
    <w:rsid w:val="000B4B9E"/>
    <w:rsid w:val="000C642A"/>
    <w:rsid w:val="000C764B"/>
    <w:rsid w:val="000D23B8"/>
    <w:rsid w:val="000D45AD"/>
    <w:rsid w:val="000D5030"/>
    <w:rsid w:val="000E69F6"/>
    <w:rsid w:val="000E72E0"/>
    <w:rsid w:val="000F0C42"/>
    <w:rsid w:val="000F632E"/>
    <w:rsid w:val="00116CF2"/>
    <w:rsid w:val="00135E60"/>
    <w:rsid w:val="001502C4"/>
    <w:rsid w:val="001530AA"/>
    <w:rsid w:val="00162B81"/>
    <w:rsid w:val="00163E78"/>
    <w:rsid w:val="0016480D"/>
    <w:rsid w:val="00167422"/>
    <w:rsid w:val="00174ACA"/>
    <w:rsid w:val="00182253"/>
    <w:rsid w:val="001825E0"/>
    <w:rsid w:val="001875AA"/>
    <w:rsid w:val="00192019"/>
    <w:rsid w:val="001A6999"/>
    <w:rsid w:val="001B0651"/>
    <w:rsid w:val="001B2435"/>
    <w:rsid w:val="001B2FC1"/>
    <w:rsid w:val="001D1CFA"/>
    <w:rsid w:val="001D301D"/>
    <w:rsid w:val="001E3C37"/>
    <w:rsid w:val="001F7ADD"/>
    <w:rsid w:val="00201DB0"/>
    <w:rsid w:val="00203159"/>
    <w:rsid w:val="0021070F"/>
    <w:rsid w:val="00243472"/>
    <w:rsid w:val="00243B8E"/>
    <w:rsid w:val="0026491E"/>
    <w:rsid w:val="00281DF9"/>
    <w:rsid w:val="002856C7"/>
    <w:rsid w:val="0029385B"/>
    <w:rsid w:val="002A0ADF"/>
    <w:rsid w:val="002B4FC9"/>
    <w:rsid w:val="002D675A"/>
    <w:rsid w:val="002E0009"/>
    <w:rsid w:val="002E0D91"/>
    <w:rsid w:val="002E0DB4"/>
    <w:rsid w:val="002E337C"/>
    <w:rsid w:val="002E5F4D"/>
    <w:rsid w:val="002F1F90"/>
    <w:rsid w:val="002F74BE"/>
    <w:rsid w:val="003160C5"/>
    <w:rsid w:val="0031746F"/>
    <w:rsid w:val="003219D0"/>
    <w:rsid w:val="003423BC"/>
    <w:rsid w:val="00342D5F"/>
    <w:rsid w:val="00343A0F"/>
    <w:rsid w:val="0035776F"/>
    <w:rsid w:val="00377CF0"/>
    <w:rsid w:val="00387BB3"/>
    <w:rsid w:val="00393F95"/>
    <w:rsid w:val="003B3813"/>
    <w:rsid w:val="003B4253"/>
    <w:rsid w:val="003C04CB"/>
    <w:rsid w:val="004116C5"/>
    <w:rsid w:val="004305FB"/>
    <w:rsid w:val="00433DE0"/>
    <w:rsid w:val="00434240"/>
    <w:rsid w:val="00436F92"/>
    <w:rsid w:val="004422CB"/>
    <w:rsid w:val="00444C99"/>
    <w:rsid w:val="00451B28"/>
    <w:rsid w:val="0046333B"/>
    <w:rsid w:val="00464A46"/>
    <w:rsid w:val="0046536C"/>
    <w:rsid w:val="00472B31"/>
    <w:rsid w:val="0048522F"/>
    <w:rsid w:val="004966C4"/>
    <w:rsid w:val="004B24DD"/>
    <w:rsid w:val="004B5294"/>
    <w:rsid w:val="004F6E1E"/>
    <w:rsid w:val="004F75AE"/>
    <w:rsid w:val="00500842"/>
    <w:rsid w:val="00514B04"/>
    <w:rsid w:val="0051675E"/>
    <w:rsid w:val="00516ECC"/>
    <w:rsid w:val="00532FDC"/>
    <w:rsid w:val="005421F8"/>
    <w:rsid w:val="00545948"/>
    <w:rsid w:val="005542FF"/>
    <w:rsid w:val="0055507A"/>
    <w:rsid w:val="00577CAC"/>
    <w:rsid w:val="005B4DBE"/>
    <w:rsid w:val="005C2EED"/>
    <w:rsid w:val="005C5D93"/>
    <w:rsid w:val="005D084D"/>
    <w:rsid w:val="005F2B67"/>
    <w:rsid w:val="005F54AB"/>
    <w:rsid w:val="006217EE"/>
    <w:rsid w:val="006303DF"/>
    <w:rsid w:val="00635E64"/>
    <w:rsid w:val="0063625D"/>
    <w:rsid w:val="00650A95"/>
    <w:rsid w:val="00673C19"/>
    <w:rsid w:val="006903E4"/>
    <w:rsid w:val="006A5CEF"/>
    <w:rsid w:val="006B158D"/>
    <w:rsid w:val="006B3DA2"/>
    <w:rsid w:val="006C2B00"/>
    <w:rsid w:val="006D2A50"/>
    <w:rsid w:val="006D4891"/>
    <w:rsid w:val="006F7151"/>
    <w:rsid w:val="0070281D"/>
    <w:rsid w:val="00705BF7"/>
    <w:rsid w:val="00716034"/>
    <w:rsid w:val="007203B2"/>
    <w:rsid w:val="0072483A"/>
    <w:rsid w:val="00725624"/>
    <w:rsid w:val="0072563A"/>
    <w:rsid w:val="0073223A"/>
    <w:rsid w:val="0073789E"/>
    <w:rsid w:val="00752B04"/>
    <w:rsid w:val="007731DF"/>
    <w:rsid w:val="00790DA6"/>
    <w:rsid w:val="00794B9D"/>
    <w:rsid w:val="007A1E21"/>
    <w:rsid w:val="007A256C"/>
    <w:rsid w:val="007A37B2"/>
    <w:rsid w:val="007B247C"/>
    <w:rsid w:val="007C0320"/>
    <w:rsid w:val="007C331D"/>
    <w:rsid w:val="007D4D35"/>
    <w:rsid w:val="007D6A3D"/>
    <w:rsid w:val="007E443B"/>
    <w:rsid w:val="007E4DFE"/>
    <w:rsid w:val="007F18AE"/>
    <w:rsid w:val="007F2014"/>
    <w:rsid w:val="007F357D"/>
    <w:rsid w:val="00802105"/>
    <w:rsid w:val="00804D43"/>
    <w:rsid w:val="00837272"/>
    <w:rsid w:val="00860B71"/>
    <w:rsid w:val="00867DA4"/>
    <w:rsid w:val="008700DA"/>
    <w:rsid w:val="00870862"/>
    <w:rsid w:val="00874CA9"/>
    <w:rsid w:val="00882997"/>
    <w:rsid w:val="00893713"/>
    <w:rsid w:val="00894264"/>
    <w:rsid w:val="008A1FA4"/>
    <w:rsid w:val="008C2BB5"/>
    <w:rsid w:val="008D7FFC"/>
    <w:rsid w:val="008E5C73"/>
    <w:rsid w:val="008F12F1"/>
    <w:rsid w:val="00911C75"/>
    <w:rsid w:val="009225F4"/>
    <w:rsid w:val="00963957"/>
    <w:rsid w:val="00971724"/>
    <w:rsid w:val="009A256E"/>
    <w:rsid w:val="009A715F"/>
    <w:rsid w:val="009B19C4"/>
    <w:rsid w:val="009C0A04"/>
    <w:rsid w:val="009C599B"/>
    <w:rsid w:val="009C5A56"/>
    <w:rsid w:val="009D5837"/>
    <w:rsid w:val="009F0A7D"/>
    <w:rsid w:val="009F1167"/>
    <w:rsid w:val="00A14293"/>
    <w:rsid w:val="00A155CE"/>
    <w:rsid w:val="00A2622B"/>
    <w:rsid w:val="00A37DC8"/>
    <w:rsid w:val="00A62C0F"/>
    <w:rsid w:val="00A762BF"/>
    <w:rsid w:val="00A7736B"/>
    <w:rsid w:val="00A8104D"/>
    <w:rsid w:val="00A813B4"/>
    <w:rsid w:val="00A84505"/>
    <w:rsid w:val="00AB360A"/>
    <w:rsid w:val="00AB5A41"/>
    <w:rsid w:val="00AC60A6"/>
    <w:rsid w:val="00AE7845"/>
    <w:rsid w:val="00AF7D40"/>
    <w:rsid w:val="00B00A18"/>
    <w:rsid w:val="00B037CD"/>
    <w:rsid w:val="00B131F7"/>
    <w:rsid w:val="00B15B38"/>
    <w:rsid w:val="00B23A37"/>
    <w:rsid w:val="00B3250B"/>
    <w:rsid w:val="00B36D38"/>
    <w:rsid w:val="00B52A8A"/>
    <w:rsid w:val="00B53AC1"/>
    <w:rsid w:val="00B70CD5"/>
    <w:rsid w:val="00B74A99"/>
    <w:rsid w:val="00B87E03"/>
    <w:rsid w:val="00B9382B"/>
    <w:rsid w:val="00B96BEA"/>
    <w:rsid w:val="00BB10C3"/>
    <w:rsid w:val="00BB3F72"/>
    <w:rsid w:val="00BE65F2"/>
    <w:rsid w:val="00BF26AD"/>
    <w:rsid w:val="00C14A5D"/>
    <w:rsid w:val="00C16A72"/>
    <w:rsid w:val="00C20778"/>
    <w:rsid w:val="00C20B7C"/>
    <w:rsid w:val="00C23335"/>
    <w:rsid w:val="00C255A6"/>
    <w:rsid w:val="00C42B9E"/>
    <w:rsid w:val="00C53D2E"/>
    <w:rsid w:val="00C669BC"/>
    <w:rsid w:val="00C700E6"/>
    <w:rsid w:val="00C74629"/>
    <w:rsid w:val="00C76605"/>
    <w:rsid w:val="00C81EB9"/>
    <w:rsid w:val="00C9561A"/>
    <w:rsid w:val="00CA2375"/>
    <w:rsid w:val="00CA5BC0"/>
    <w:rsid w:val="00CB2D92"/>
    <w:rsid w:val="00CB3279"/>
    <w:rsid w:val="00CC225F"/>
    <w:rsid w:val="00CC5059"/>
    <w:rsid w:val="00CC78A1"/>
    <w:rsid w:val="00CD0227"/>
    <w:rsid w:val="00CE0638"/>
    <w:rsid w:val="00CF2DE5"/>
    <w:rsid w:val="00CF6E0A"/>
    <w:rsid w:val="00D01EB0"/>
    <w:rsid w:val="00D04C53"/>
    <w:rsid w:val="00D13C7F"/>
    <w:rsid w:val="00D22616"/>
    <w:rsid w:val="00D2275C"/>
    <w:rsid w:val="00D5557D"/>
    <w:rsid w:val="00D67B1A"/>
    <w:rsid w:val="00D7759F"/>
    <w:rsid w:val="00D86B8C"/>
    <w:rsid w:val="00DB74BF"/>
    <w:rsid w:val="00DC02D5"/>
    <w:rsid w:val="00DC671B"/>
    <w:rsid w:val="00DD5120"/>
    <w:rsid w:val="00DF02EE"/>
    <w:rsid w:val="00DF1132"/>
    <w:rsid w:val="00DF56FC"/>
    <w:rsid w:val="00E03A6E"/>
    <w:rsid w:val="00E05921"/>
    <w:rsid w:val="00E12232"/>
    <w:rsid w:val="00E12D87"/>
    <w:rsid w:val="00E15375"/>
    <w:rsid w:val="00E162B5"/>
    <w:rsid w:val="00E166D3"/>
    <w:rsid w:val="00E26F24"/>
    <w:rsid w:val="00E31713"/>
    <w:rsid w:val="00E32971"/>
    <w:rsid w:val="00E45C25"/>
    <w:rsid w:val="00E53D05"/>
    <w:rsid w:val="00E53DA6"/>
    <w:rsid w:val="00E5549A"/>
    <w:rsid w:val="00E65753"/>
    <w:rsid w:val="00E65CE9"/>
    <w:rsid w:val="00E70FD4"/>
    <w:rsid w:val="00E72C20"/>
    <w:rsid w:val="00E7508F"/>
    <w:rsid w:val="00E85668"/>
    <w:rsid w:val="00E86728"/>
    <w:rsid w:val="00E93157"/>
    <w:rsid w:val="00EA2D45"/>
    <w:rsid w:val="00EB27C1"/>
    <w:rsid w:val="00EB7453"/>
    <w:rsid w:val="00EC02B6"/>
    <w:rsid w:val="00EC1451"/>
    <w:rsid w:val="00EC146D"/>
    <w:rsid w:val="00ED6359"/>
    <w:rsid w:val="00ED7190"/>
    <w:rsid w:val="00EE68B9"/>
    <w:rsid w:val="00EE730E"/>
    <w:rsid w:val="00EF3BD8"/>
    <w:rsid w:val="00F07CEE"/>
    <w:rsid w:val="00F13D00"/>
    <w:rsid w:val="00F30B9D"/>
    <w:rsid w:val="00F420AF"/>
    <w:rsid w:val="00F425F9"/>
    <w:rsid w:val="00F56388"/>
    <w:rsid w:val="00F70ABB"/>
    <w:rsid w:val="00F80F11"/>
    <w:rsid w:val="00F84E4D"/>
    <w:rsid w:val="00F85AC3"/>
    <w:rsid w:val="00F92B42"/>
    <w:rsid w:val="00FB3092"/>
    <w:rsid w:val="00FC2939"/>
    <w:rsid w:val="00FC2D0A"/>
    <w:rsid w:val="00FD1CFE"/>
    <w:rsid w:val="00FD378B"/>
    <w:rsid w:val="00FD6176"/>
    <w:rsid w:val="00FE298A"/>
    <w:rsid w:val="00FE64B1"/>
    <w:rsid w:val="00FF1AB3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er" w:uiPriority="99"/>
    <w:lsdException w:name="footer" w:uiPriority="99"/>
    <w:lsdException w:name="caption" w:uiPriority="35" w:qFormat="1"/>
    <w:lsdException w:name="Balloon Text" w:uiPriority="99"/>
    <w:lsdException w:name="List Paragraph" w:uiPriority="34" w:qFormat="1"/>
  </w:latentStyles>
  <w:style w:type="paragraph" w:default="1" w:styleId="Normal">
    <w:name w:val="Normal"/>
    <w:qFormat/>
    <w:rsid w:val="006362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39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957"/>
  </w:style>
  <w:style w:type="paragraph" w:styleId="Footer">
    <w:name w:val="footer"/>
    <w:basedOn w:val="Normal"/>
    <w:link w:val="FooterChar"/>
    <w:uiPriority w:val="99"/>
    <w:semiHidden/>
    <w:unhideWhenUsed/>
    <w:rsid w:val="009639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957"/>
  </w:style>
  <w:style w:type="paragraph" w:styleId="ListParagraph">
    <w:name w:val="List Paragraph"/>
    <w:basedOn w:val="Normal"/>
    <w:uiPriority w:val="34"/>
    <w:qFormat/>
    <w:rsid w:val="00F80F1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2077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yperlink1">
    <w:name w:val="Hyperlink1"/>
    <w:uiPriority w:val="99"/>
    <w:rsid w:val="004305FB"/>
    <w:rPr>
      <w:color w:val="0000FF"/>
      <w:u w:val="single"/>
    </w:rPr>
  </w:style>
  <w:style w:type="character" w:styleId="PageNumber">
    <w:name w:val="page number"/>
    <w:basedOn w:val="DefaultParagraphFont"/>
    <w:rsid w:val="00092126"/>
  </w:style>
  <w:style w:type="table" w:styleId="TableGrid">
    <w:name w:val="Table Grid"/>
    <w:basedOn w:val="TableNormal"/>
    <w:rsid w:val="00E12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F11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219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32.png"/><Relationship Id="rId47" Type="http://schemas.openxmlformats.org/officeDocument/2006/relationships/image" Target="media/image33.pict"/><Relationship Id="rId48" Type="http://schemas.openxmlformats.org/officeDocument/2006/relationships/hyperlink" Target="http://www.doh.gov.za/list.php?type=HIV%20and%20AIDS&amp;year=2007" TargetMode="External"/><Relationship Id="rId49" Type="http://schemas.openxmlformats.org/officeDocument/2006/relationships/hyperlink" Target="http://www.doh.gov.za/docs/reports/2011/hiv_aids_survey.pdf" TargetMode="External"/><Relationship Id="rId20" Type="http://schemas.openxmlformats.org/officeDocument/2006/relationships/image" Target="media/image9.wmf"/><Relationship Id="rId21" Type="http://schemas.openxmlformats.org/officeDocument/2006/relationships/image" Target="media/image10.png"/><Relationship Id="rId22" Type="http://schemas.openxmlformats.org/officeDocument/2006/relationships/image" Target="media/image11.pict"/><Relationship Id="rId23" Type="http://schemas.openxmlformats.org/officeDocument/2006/relationships/image" Target="media/image12.wmf"/><Relationship Id="rId24" Type="http://schemas.openxmlformats.org/officeDocument/2006/relationships/image" Target="media/image13.wmf"/><Relationship Id="rId25" Type="http://schemas.openxmlformats.org/officeDocument/2006/relationships/image" Target="media/image14.wmf"/><Relationship Id="rId26" Type="http://schemas.openxmlformats.org/officeDocument/2006/relationships/image" Target="media/image15.wmf"/><Relationship Id="rId27" Type="http://schemas.openxmlformats.org/officeDocument/2006/relationships/image" Target="media/image16.png"/><Relationship Id="rId28" Type="http://schemas.openxmlformats.org/officeDocument/2006/relationships/image" Target="media/image17.pict"/><Relationship Id="rId29" Type="http://schemas.openxmlformats.org/officeDocument/2006/relationships/oleObject" Target="embeddings/oleObject3.bin"/><Relationship Id="rId50" Type="http://schemas.openxmlformats.org/officeDocument/2006/relationships/fontTable" Target="fontTable.xml"/><Relationship Id="rId5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media/image18.png"/><Relationship Id="rId31" Type="http://schemas.openxmlformats.org/officeDocument/2006/relationships/image" Target="media/image19.pict"/><Relationship Id="rId32" Type="http://schemas.openxmlformats.org/officeDocument/2006/relationships/image" Target="media/image20.png"/><Relationship Id="rId9" Type="http://schemas.openxmlformats.org/officeDocument/2006/relationships/footer" Target="footer2.xml"/><Relationship Id="rId6" Type="http://schemas.openxmlformats.org/officeDocument/2006/relationships/endnotes" Target="endnotes.xml"/><Relationship Id="rId7" Type="http://schemas.openxmlformats.org/officeDocument/2006/relationships/hyperlink" Target="mailto:sblower@mednet.ucla.edu" TargetMode="External"/><Relationship Id="rId8" Type="http://schemas.openxmlformats.org/officeDocument/2006/relationships/footer" Target="footer1.xml"/><Relationship Id="rId33" Type="http://schemas.openxmlformats.org/officeDocument/2006/relationships/image" Target="media/image21.pict"/><Relationship Id="rId34" Type="http://schemas.openxmlformats.org/officeDocument/2006/relationships/oleObject" Target="embeddings/oleObject4.bin"/><Relationship Id="rId35" Type="http://schemas.openxmlformats.org/officeDocument/2006/relationships/image" Target="media/image22.png"/><Relationship Id="rId36" Type="http://schemas.openxmlformats.org/officeDocument/2006/relationships/image" Target="media/image23.pict"/><Relationship Id="rId10" Type="http://schemas.openxmlformats.org/officeDocument/2006/relationships/image" Target="media/image1.png"/><Relationship Id="rId11" Type="http://schemas.openxmlformats.org/officeDocument/2006/relationships/image" Target="media/image2.pict"/><Relationship Id="rId12" Type="http://schemas.openxmlformats.org/officeDocument/2006/relationships/oleObject" Target="embeddings/oleObject1.bin"/><Relationship Id="rId13" Type="http://schemas.openxmlformats.org/officeDocument/2006/relationships/image" Target="media/image3.png"/><Relationship Id="rId14" Type="http://schemas.openxmlformats.org/officeDocument/2006/relationships/image" Target="media/image4.pict"/><Relationship Id="rId15" Type="http://schemas.openxmlformats.org/officeDocument/2006/relationships/image" Target="media/image5.png"/><Relationship Id="rId16" Type="http://schemas.openxmlformats.org/officeDocument/2006/relationships/image" Target="media/image6.pict"/><Relationship Id="rId17" Type="http://schemas.openxmlformats.org/officeDocument/2006/relationships/oleObject" Target="embeddings/oleObject2.bin"/><Relationship Id="rId18" Type="http://schemas.openxmlformats.org/officeDocument/2006/relationships/image" Target="media/image7.png"/><Relationship Id="rId19" Type="http://schemas.openxmlformats.org/officeDocument/2006/relationships/image" Target="media/image8.pict"/><Relationship Id="rId37" Type="http://schemas.openxmlformats.org/officeDocument/2006/relationships/oleObject" Target="embeddings/oleObject5.bin"/><Relationship Id="rId38" Type="http://schemas.openxmlformats.org/officeDocument/2006/relationships/image" Target="media/image24.wmf"/><Relationship Id="rId39" Type="http://schemas.openxmlformats.org/officeDocument/2006/relationships/image" Target="media/image25.wmf"/><Relationship Id="rId40" Type="http://schemas.openxmlformats.org/officeDocument/2006/relationships/image" Target="media/image26.png"/><Relationship Id="rId41" Type="http://schemas.openxmlformats.org/officeDocument/2006/relationships/image" Target="media/image27.pict"/><Relationship Id="rId42" Type="http://schemas.openxmlformats.org/officeDocument/2006/relationships/image" Target="media/image28.png"/><Relationship Id="rId43" Type="http://schemas.openxmlformats.org/officeDocument/2006/relationships/image" Target="media/image29.pict"/><Relationship Id="rId44" Type="http://schemas.openxmlformats.org/officeDocument/2006/relationships/image" Target="media/image30.png"/><Relationship Id="rId45" Type="http://schemas.openxmlformats.org/officeDocument/2006/relationships/image" Target="media/image31.pic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1239</Words>
  <Characters>7064</Characters>
  <Application>Microsoft Word 12.1.0</Application>
  <DocSecurity>0</DocSecurity>
  <Lines>58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8675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cp:lastModifiedBy>Bradley Wagner</cp:lastModifiedBy>
  <cp:revision>2</cp:revision>
  <cp:lastPrinted>2012-05-22T23:23:00Z</cp:lastPrinted>
  <dcterms:created xsi:type="dcterms:W3CDTF">2012-08-13T17:24:00Z</dcterms:created>
  <dcterms:modified xsi:type="dcterms:W3CDTF">2012-08-13T17:24:00Z</dcterms:modified>
</cp:coreProperties>
</file>