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8" w:rsidRPr="00B80B01" w:rsidRDefault="00FC43E8" w:rsidP="00FC43E8">
      <w:pPr>
        <w:jc w:val="both"/>
        <w:rPr>
          <w:rFonts w:ascii="Calibri" w:eastAsia="宋体" w:hAnsi="Calibri" w:cs="Calibri"/>
          <w:sz w:val="28"/>
          <w:szCs w:val="28"/>
          <w:lang w:eastAsia="zh-CN"/>
        </w:rPr>
      </w:pPr>
      <w:r w:rsidRPr="00C0371A">
        <w:rPr>
          <w:rFonts w:ascii="Calibri" w:eastAsia="宋体" w:hAnsi="Calibri" w:cs="Calibri"/>
          <w:b/>
          <w:sz w:val="28"/>
          <w:szCs w:val="28"/>
          <w:lang w:eastAsia="zh-CN"/>
        </w:rPr>
        <w:t xml:space="preserve">Table </w:t>
      </w:r>
      <w:r w:rsidRPr="00C0371A">
        <w:rPr>
          <w:rFonts w:ascii="Calibri" w:eastAsia="宋体" w:hAnsi="Calibri" w:cs="Calibri" w:hint="eastAsia"/>
          <w:b/>
          <w:sz w:val="28"/>
          <w:szCs w:val="28"/>
          <w:lang w:eastAsia="zh-CN"/>
        </w:rPr>
        <w:t>S</w:t>
      </w:r>
      <w:r w:rsidRPr="00C0371A">
        <w:rPr>
          <w:rFonts w:ascii="Calibri" w:eastAsia="宋体" w:hAnsi="Calibri" w:cs="Calibri"/>
          <w:b/>
          <w:sz w:val="28"/>
          <w:szCs w:val="28"/>
          <w:lang w:eastAsia="zh-CN"/>
        </w:rPr>
        <w:t>1</w:t>
      </w:r>
      <w:r w:rsidRPr="00B80B01">
        <w:rPr>
          <w:rFonts w:ascii="Calibri" w:eastAsia="宋体" w:hAnsi="Calibri" w:cs="Calibri"/>
          <w:sz w:val="28"/>
          <w:szCs w:val="28"/>
          <w:lang w:eastAsia="zh-CN"/>
        </w:rPr>
        <w:t xml:space="preserve"> Characteristics of widely used EBC collectors </w:t>
      </w: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27"/>
        <w:gridCol w:w="1187"/>
        <w:gridCol w:w="992"/>
        <w:gridCol w:w="1560"/>
        <w:gridCol w:w="1559"/>
      </w:tblGrid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Commercial 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EBC</w:t>
            </w:r>
          </w:p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devices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Materials</w:t>
            </w: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Size (mm; length X width X height)</w:t>
            </w: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Weights</w:t>
            </w: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Collection temperatures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Physical collection efficiencies</w:t>
            </w: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Rtube</w:t>
            </w:r>
            <w:proofErr w:type="spellEnd"/>
            <w:r w:rsidRPr="00CA45C8">
              <w:rPr>
                <w:rFonts w:ascii="Calibri" w:hAnsi="Calibri" w:cs="Lucida Sans Unicode"/>
                <w:color w:val="403838"/>
                <w:sz w:val="21"/>
                <w:szCs w:val="21"/>
              </w:rPr>
              <w:t>®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Polyethylene;</w:t>
            </w:r>
          </w:p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O-Ring by PTFE (Teflon)</w:t>
            </w: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290 X  35 X 100 </w:t>
            </w: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442 g</w:t>
            </w: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hAnsi="Calibri"/>
                <w:color w:val="000000"/>
                <w:sz w:val="21"/>
                <w:szCs w:val="21"/>
              </w:rPr>
              <w:t>-20</w:t>
            </w: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°C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1,000 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/7 min for adult;</w:t>
            </w:r>
          </w:p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 xml:space="preserve">700 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/10min for child (from manufacture)</w:t>
            </w: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EcoScreen</w:t>
            </w:r>
            <w:proofErr w:type="spellEnd"/>
            <w:r w:rsidRPr="00CA45C8">
              <w:rPr>
                <w:rFonts w:ascii="Calibri" w:hAnsi="Calibri" w:cs="Lucida Sans Unicode"/>
                <w:color w:val="403838"/>
                <w:sz w:val="21"/>
                <w:szCs w:val="21"/>
              </w:rPr>
              <w:t>®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EcoScreen</w:t>
            </w:r>
            <w:proofErr w:type="spellEnd"/>
            <w:r w:rsidRPr="00CA45C8">
              <w:rPr>
                <w:rFonts w:ascii="Calibri" w:hAnsi="Calibri" w:cs="Lucida Sans Unicode"/>
                <w:color w:val="403838"/>
                <w:sz w:val="21"/>
                <w:szCs w:val="21"/>
              </w:rPr>
              <w:t>®</w:t>
            </w: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290X160X200</w:t>
            </w: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23 kg</w:t>
            </w: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-10°C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1,880 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/10 min (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Soyer</w:t>
            </w:r>
            <w:proofErr w:type="spellEnd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 xml:space="preserve"> et al., 2006)</w:t>
            </w:r>
          </w:p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Anacon</w:t>
            </w:r>
            <w:proofErr w:type="spellEnd"/>
            <w:r w:rsidRPr="00CA45C8">
              <w:rPr>
                <w:rFonts w:ascii="Calibri" w:hAnsi="Calibri" w:cs="Lucida Sans Unicode"/>
                <w:color w:val="403838"/>
                <w:sz w:val="21"/>
                <w:szCs w:val="21"/>
              </w:rPr>
              <w:t>®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hAnsi="Calibri" w:cs="Arial"/>
                <w:color w:val="000000"/>
                <w:sz w:val="21"/>
                <w:szCs w:val="21"/>
              </w:rPr>
              <w:t>−20 °C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1,350 </w:t>
            </w: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/10 min (</w:t>
            </w: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Czebe</w:t>
            </w:r>
            <w:proofErr w:type="spellEnd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 et al., 2008)</w:t>
            </w: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TurboDeccs</w:t>
            </w:r>
            <w:proofErr w:type="spellEnd"/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200 X 160 310</w:t>
            </w: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5 kg</w:t>
            </w: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NA</w:t>
            </w: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Closed glass condenser system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Glass</w:t>
            </w: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0°C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465 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/11 min (</w:t>
            </w: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Rosias</w:t>
            </w:r>
            <w:proofErr w:type="spellEnd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 et al., 2010)</w:t>
            </w:r>
          </w:p>
        </w:tc>
      </w:tr>
      <w:tr w:rsidR="00FC43E8" w:rsidRPr="00B80B01" w:rsidTr="0035765B">
        <w:trPr>
          <w:jc w:val="center"/>
        </w:trPr>
        <w:tc>
          <w:tcPr>
            <w:tcW w:w="141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O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ur device</w:t>
            </w:r>
          </w:p>
        </w:tc>
        <w:tc>
          <w:tcPr>
            <w:tcW w:w="152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proofErr w:type="spellStart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polytetrafluoroethylene</w:t>
            </w:r>
            <w:proofErr w:type="spellEnd"/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 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(</w:t>
            </w: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PTFE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)</w:t>
            </w: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 material</w:t>
            </w:r>
          </w:p>
        </w:tc>
        <w:tc>
          <w:tcPr>
            <w:tcW w:w="1187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100 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x</w:t>
            </w: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 xml:space="preserve"> 50 </w:t>
            </w: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 xml:space="preserve">x </w:t>
            </w:r>
            <w:r w:rsidRPr="00CA45C8"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992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105 g</w:t>
            </w:r>
          </w:p>
        </w:tc>
        <w:tc>
          <w:tcPr>
            <w:tcW w:w="1560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>
              <w:rPr>
                <w:rFonts w:ascii="Calibri" w:eastAsia="宋体" w:hAnsi="Calibri" w:cs="Calibri"/>
                <w:sz w:val="21"/>
                <w:szCs w:val="21"/>
                <w:lang w:eastAsia="zh-CN"/>
              </w:rPr>
              <w:t>F</w:t>
            </w:r>
            <w:r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ilm treated by -70</w:t>
            </w:r>
            <w:r w:rsidRPr="00E55BE3">
              <w:rPr>
                <w:rFonts w:ascii="Calibri" w:eastAsia="宋体" w:hAnsi="Calibri" w:cs="Calibri" w:hint="eastAsia"/>
                <w:sz w:val="21"/>
                <w:szCs w:val="21"/>
                <w:vertAlign w:val="superscript"/>
                <w:lang w:eastAsia="zh-CN"/>
              </w:rPr>
              <w:t>o</w:t>
            </w:r>
            <w:r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559" w:type="dxa"/>
          </w:tcPr>
          <w:p w:rsidR="00FC43E8" w:rsidRPr="00CA45C8" w:rsidRDefault="00FC43E8" w:rsidP="0035765B">
            <w:pPr>
              <w:jc w:val="both"/>
              <w:rPr>
                <w:rFonts w:ascii="Calibri" w:eastAsia="宋体" w:hAnsi="Calibri" w:cs="Calibri"/>
                <w:sz w:val="21"/>
                <w:szCs w:val="21"/>
                <w:lang w:eastAsia="zh-CN"/>
              </w:rPr>
            </w:pPr>
            <w:r w:rsidRPr="00CA45C8">
              <w:rPr>
                <w:rFonts w:ascii="Calibri" w:eastAsia="宋体" w:hAnsi="Calibri" w:cs="Calibri" w:hint="eastAsia"/>
                <w:sz w:val="21"/>
                <w:szCs w:val="21"/>
                <w:lang w:eastAsia="zh-CN"/>
              </w:rPr>
              <w:t xml:space="preserve">100 </w:t>
            </w:r>
            <w:proofErr w:type="spellStart"/>
            <w:r w:rsidRPr="00CA45C8">
              <w:rPr>
                <w:rFonts w:ascii="Calibri" w:eastAsia="宋体" w:hAnsi="Calibri"/>
                <w:sz w:val="21"/>
                <w:szCs w:val="21"/>
                <w:lang w:eastAsia="zh-CN"/>
              </w:rPr>
              <w:t>μL</w:t>
            </w:r>
            <w:proofErr w:type="spellEnd"/>
            <w:r w:rsidRPr="00CA45C8">
              <w:rPr>
                <w:rFonts w:ascii="Calibri" w:eastAsia="宋体" w:hAnsi="Calibri" w:hint="eastAsia"/>
                <w:sz w:val="21"/>
                <w:szCs w:val="21"/>
                <w:lang w:eastAsia="zh-CN"/>
              </w:rPr>
              <w:t>/min</w:t>
            </w:r>
          </w:p>
        </w:tc>
      </w:tr>
    </w:tbl>
    <w:p w:rsidR="00FC43E8" w:rsidRDefault="00FC43E8" w:rsidP="00FC43E8">
      <w:pPr>
        <w:jc w:val="both"/>
        <w:rPr>
          <w:rFonts w:ascii="Calibri" w:eastAsia="宋体" w:hAnsi="Calibri" w:cs="Calibri"/>
          <w:sz w:val="28"/>
          <w:szCs w:val="28"/>
          <w:lang w:eastAsia="zh-CN"/>
        </w:rPr>
      </w:pP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b/>
          <w:sz w:val="28"/>
          <w:szCs w:val="28"/>
          <w:lang w:eastAsia="zh-CN"/>
        </w:rPr>
      </w:pPr>
      <w:r w:rsidRPr="00F978BB">
        <w:rPr>
          <w:rFonts w:ascii="Calibri" w:eastAsia="宋体" w:hAnsi="Calibri"/>
          <w:b/>
          <w:sz w:val="28"/>
          <w:szCs w:val="28"/>
          <w:lang w:eastAsia="zh-CN"/>
        </w:rPr>
        <w:t>References</w:t>
      </w:r>
    </w:p>
    <w:p w:rsidR="009F24A4" w:rsidRPr="003E1D93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Czebe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K,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Barta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I,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Antus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B,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Valyon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M,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Horváth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I, et al. (2008) Influence of condensing equipment and temperature on exhaled breath condensate pH, total protein and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leukotriene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concentrations.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Respir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Med 102: 720-725.</w:t>
      </w: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Rosias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PPR,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Robroeks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CM, Van De Kant KD,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Rijkers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GT, Zimmermann LJ, et al. (2010) Feasibility of a new method to collect exhaled breath condensate in pre-school children.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Pediatr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Allergy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Immu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21: e235-e244.</w:t>
      </w: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</w:p>
    <w:p w:rsidR="009F24A4" w:rsidRPr="00F978BB" w:rsidRDefault="009F24A4" w:rsidP="009F24A4">
      <w:pPr>
        <w:adjustRightInd w:val="0"/>
        <w:snapToGrid w:val="0"/>
        <w:jc w:val="both"/>
        <w:rPr>
          <w:rFonts w:ascii="Calibri" w:eastAsia="宋体" w:hAnsi="Calibri"/>
          <w:sz w:val="28"/>
          <w:szCs w:val="28"/>
          <w:lang w:eastAsia="zh-CN"/>
        </w:rPr>
      </w:pPr>
    </w:p>
    <w:p w:rsidR="008161C4" w:rsidRDefault="009F24A4" w:rsidP="009F24A4">
      <w:pPr>
        <w:adjustRightInd w:val="0"/>
        <w:snapToGrid w:val="0"/>
        <w:jc w:val="both"/>
      </w:pPr>
      <w:proofErr w:type="spellStart"/>
      <w:proofErr w:type="gramStart"/>
      <w:r w:rsidRPr="00F978BB">
        <w:rPr>
          <w:rFonts w:ascii="Calibri" w:eastAsia="宋体" w:hAnsi="Calibri"/>
          <w:sz w:val="28"/>
          <w:szCs w:val="28"/>
          <w:lang w:eastAsia="zh-CN"/>
        </w:rPr>
        <w:t>Soyer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O,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Dizdar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E,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Keskin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O, Lilly C, </w:t>
      </w:r>
      <w:proofErr w:type="spellStart"/>
      <w:r w:rsidRPr="00F978BB">
        <w:rPr>
          <w:rFonts w:ascii="Calibri" w:eastAsia="宋体" w:hAnsi="Calibri"/>
          <w:sz w:val="28"/>
          <w:szCs w:val="28"/>
          <w:lang w:eastAsia="zh-CN"/>
        </w:rPr>
        <w:t>Kalayci</w:t>
      </w:r>
      <w:proofErr w:type="spell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O. (2006) Comparison of two methods for exhaled breath condensate collection.</w:t>
      </w:r>
      <w:proofErr w:type="gramEnd"/>
      <w:r w:rsidRPr="00F978BB">
        <w:rPr>
          <w:rFonts w:ascii="Calibri" w:eastAsia="宋体" w:hAnsi="Calibri"/>
          <w:sz w:val="28"/>
          <w:szCs w:val="28"/>
          <w:lang w:eastAsia="zh-CN"/>
        </w:rPr>
        <w:t xml:space="preserve"> Allergy 61: 1016-1018.</w:t>
      </w:r>
    </w:p>
    <w:sectPr w:rsidR="008161C4" w:rsidSect="0081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3E8"/>
    <w:rsid w:val="00000A9C"/>
    <w:rsid w:val="00017FD8"/>
    <w:rsid w:val="000229D7"/>
    <w:rsid w:val="00024EBA"/>
    <w:rsid w:val="0005387F"/>
    <w:rsid w:val="00054E36"/>
    <w:rsid w:val="00057B44"/>
    <w:rsid w:val="00060966"/>
    <w:rsid w:val="000704CA"/>
    <w:rsid w:val="000775F3"/>
    <w:rsid w:val="00081CAE"/>
    <w:rsid w:val="000859C6"/>
    <w:rsid w:val="000B5C68"/>
    <w:rsid w:val="000C4BE1"/>
    <w:rsid w:val="000E0A7B"/>
    <w:rsid w:val="000F181E"/>
    <w:rsid w:val="001132FB"/>
    <w:rsid w:val="00115CDA"/>
    <w:rsid w:val="00116B1C"/>
    <w:rsid w:val="0017007E"/>
    <w:rsid w:val="00187DEA"/>
    <w:rsid w:val="001B780D"/>
    <w:rsid w:val="00212569"/>
    <w:rsid w:val="00276EA9"/>
    <w:rsid w:val="00280F90"/>
    <w:rsid w:val="002B0AEB"/>
    <w:rsid w:val="002C1363"/>
    <w:rsid w:val="002C258F"/>
    <w:rsid w:val="002E14D0"/>
    <w:rsid w:val="00302503"/>
    <w:rsid w:val="0033428D"/>
    <w:rsid w:val="003414F2"/>
    <w:rsid w:val="00347B78"/>
    <w:rsid w:val="00350771"/>
    <w:rsid w:val="0037341C"/>
    <w:rsid w:val="00381E42"/>
    <w:rsid w:val="003B6E15"/>
    <w:rsid w:val="003C6BFE"/>
    <w:rsid w:val="003F1C66"/>
    <w:rsid w:val="00437DD4"/>
    <w:rsid w:val="004456AE"/>
    <w:rsid w:val="00460878"/>
    <w:rsid w:val="004678E2"/>
    <w:rsid w:val="00496A66"/>
    <w:rsid w:val="004E5D6D"/>
    <w:rsid w:val="00517276"/>
    <w:rsid w:val="00526982"/>
    <w:rsid w:val="005402CE"/>
    <w:rsid w:val="00555096"/>
    <w:rsid w:val="005723D8"/>
    <w:rsid w:val="00573EED"/>
    <w:rsid w:val="005846E4"/>
    <w:rsid w:val="005862AB"/>
    <w:rsid w:val="00593AE9"/>
    <w:rsid w:val="005D29BB"/>
    <w:rsid w:val="006347D7"/>
    <w:rsid w:val="00656960"/>
    <w:rsid w:val="00681CD6"/>
    <w:rsid w:val="007059CE"/>
    <w:rsid w:val="0072051A"/>
    <w:rsid w:val="00721B81"/>
    <w:rsid w:val="007229C5"/>
    <w:rsid w:val="00727B40"/>
    <w:rsid w:val="00783924"/>
    <w:rsid w:val="00790D4E"/>
    <w:rsid w:val="007B2F0B"/>
    <w:rsid w:val="007E3CB6"/>
    <w:rsid w:val="007F19BD"/>
    <w:rsid w:val="00800DAC"/>
    <w:rsid w:val="008161C4"/>
    <w:rsid w:val="0083194A"/>
    <w:rsid w:val="00865FCD"/>
    <w:rsid w:val="008A5A7A"/>
    <w:rsid w:val="008C43F9"/>
    <w:rsid w:val="008E55C5"/>
    <w:rsid w:val="008F2F76"/>
    <w:rsid w:val="00903E3A"/>
    <w:rsid w:val="00906619"/>
    <w:rsid w:val="00925BDB"/>
    <w:rsid w:val="00925E05"/>
    <w:rsid w:val="00937197"/>
    <w:rsid w:val="00983D86"/>
    <w:rsid w:val="009D5DC4"/>
    <w:rsid w:val="009E1C2B"/>
    <w:rsid w:val="009F24A4"/>
    <w:rsid w:val="009F5A20"/>
    <w:rsid w:val="00A206ED"/>
    <w:rsid w:val="00A259C1"/>
    <w:rsid w:val="00A51905"/>
    <w:rsid w:val="00AA2846"/>
    <w:rsid w:val="00AA5903"/>
    <w:rsid w:val="00AD6791"/>
    <w:rsid w:val="00AE12F9"/>
    <w:rsid w:val="00AE36F3"/>
    <w:rsid w:val="00B0750B"/>
    <w:rsid w:val="00B34931"/>
    <w:rsid w:val="00B4777D"/>
    <w:rsid w:val="00B51261"/>
    <w:rsid w:val="00B66142"/>
    <w:rsid w:val="00BA2170"/>
    <w:rsid w:val="00BE3DFD"/>
    <w:rsid w:val="00BF7BF8"/>
    <w:rsid w:val="00C257B9"/>
    <w:rsid w:val="00C53B00"/>
    <w:rsid w:val="00C756BD"/>
    <w:rsid w:val="00C823AC"/>
    <w:rsid w:val="00CB0B9B"/>
    <w:rsid w:val="00CB20EC"/>
    <w:rsid w:val="00CB34AB"/>
    <w:rsid w:val="00CC09D5"/>
    <w:rsid w:val="00CE4AD6"/>
    <w:rsid w:val="00CF79B3"/>
    <w:rsid w:val="00D04427"/>
    <w:rsid w:val="00DB0CF1"/>
    <w:rsid w:val="00DC1F49"/>
    <w:rsid w:val="00E05108"/>
    <w:rsid w:val="00E56652"/>
    <w:rsid w:val="00E74204"/>
    <w:rsid w:val="00E81C31"/>
    <w:rsid w:val="00E95777"/>
    <w:rsid w:val="00EA5B70"/>
    <w:rsid w:val="00EA66AD"/>
    <w:rsid w:val="00EB1CDF"/>
    <w:rsid w:val="00ED11A3"/>
    <w:rsid w:val="00F156E4"/>
    <w:rsid w:val="00F35781"/>
    <w:rsid w:val="00F45D0C"/>
    <w:rsid w:val="00F67731"/>
    <w:rsid w:val="00F82629"/>
    <w:rsid w:val="00FC43E8"/>
    <w:rsid w:val="00FE699E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E8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1080</Characters>
  <Application>Microsoft Office Word</Application>
  <DocSecurity>0</DocSecurity>
  <Lines>31</Lines>
  <Paragraphs>7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2</cp:revision>
  <dcterms:created xsi:type="dcterms:W3CDTF">2012-06-25T03:36:00Z</dcterms:created>
  <dcterms:modified xsi:type="dcterms:W3CDTF">2012-06-28T06:40:00Z</dcterms:modified>
</cp:coreProperties>
</file>