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AAAE" w14:textId="77777777" w:rsidR="00C72D39" w:rsidRPr="00B05CCB" w:rsidRDefault="00A1550A" w:rsidP="00C72D39">
      <w:pPr>
        <w:spacing w:line="480" w:lineRule="auto"/>
        <w:ind w:firstLine="360"/>
        <w:jc w:val="center"/>
        <w:rPr>
          <w:rFonts w:ascii="Times New Roman" w:hAnsi="Times New Roman"/>
          <w:color w:val="548DD4" w:themeColor="text2" w:themeTint="99"/>
          <w:sz w:val="32"/>
          <w:szCs w:val="22"/>
        </w:rPr>
      </w:pPr>
      <w:r>
        <w:rPr>
          <w:rFonts w:ascii="Times New Roman" w:hAnsi="Times New Roman"/>
          <w:color w:val="548DD4" w:themeColor="text2" w:themeTint="99"/>
          <w:sz w:val="32"/>
          <w:szCs w:val="22"/>
        </w:rPr>
        <w:t>Methods S1</w:t>
      </w:r>
    </w:p>
    <w:p w14:paraId="4B48A336" w14:textId="77777777" w:rsidR="00A1550A" w:rsidRDefault="00A1550A" w:rsidP="00A1550A">
      <w:pPr>
        <w:spacing w:line="480" w:lineRule="auto"/>
        <w:rPr>
          <w:rFonts w:ascii="Times New Roman" w:hAnsi="Times New Roman"/>
          <w:b/>
          <w:szCs w:val="22"/>
        </w:rPr>
      </w:pPr>
    </w:p>
    <w:p w14:paraId="3CAA2BD4" w14:textId="77777777" w:rsidR="00C72D39" w:rsidRPr="00FF6A28" w:rsidRDefault="00C72D39" w:rsidP="00A1550A">
      <w:pPr>
        <w:spacing w:line="480" w:lineRule="auto"/>
        <w:jc w:val="center"/>
        <w:rPr>
          <w:rFonts w:ascii="Times New Roman" w:hAnsi="Times New Roman"/>
          <w:b/>
          <w:szCs w:val="22"/>
        </w:rPr>
      </w:pPr>
      <w:r w:rsidRPr="00FF6A28">
        <w:rPr>
          <w:rFonts w:ascii="Times New Roman" w:hAnsi="Times New Roman"/>
          <w:b/>
          <w:szCs w:val="22"/>
        </w:rPr>
        <w:t xml:space="preserve">Whole Genome Regression </w:t>
      </w:r>
      <w:r w:rsidR="009B6BA9">
        <w:rPr>
          <w:rFonts w:ascii="Times New Roman" w:hAnsi="Times New Roman"/>
          <w:b/>
          <w:szCs w:val="22"/>
        </w:rPr>
        <w:t xml:space="preserve">&amp; Prediction </w:t>
      </w:r>
      <w:r w:rsidRPr="00FF6A28">
        <w:rPr>
          <w:rFonts w:ascii="Times New Roman" w:hAnsi="Times New Roman"/>
          <w:b/>
          <w:szCs w:val="22"/>
        </w:rPr>
        <w:t xml:space="preserve">of Censored Traits Using </w:t>
      </w:r>
      <w:r w:rsidR="009B6BA9">
        <w:rPr>
          <w:rFonts w:ascii="Times New Roman" w:hAnsi="Times New Roman"/>
          <w:b/>
          <w:szCs w:val="22"/>
        </w:rPr>
        <w:t>and Extended Version of t</w:t>
      </w:r>
      <w:r w:rsidRPr="00FF6A28">
        <w:rPr>
          <w:rFonts w:ascii="Times New Roman" w:hAnsi="Times New Roman"/>
          <w:b/>
          <w:szCs w:val="22"/>
        </w:rPr>
        <w:t>he Bayesian LASSO</w:t>
      </w:r>
    </w:p>
    <w:p w14:paraId="67603C5B" w14:textId="77777777" w:rsidR="00FF6A28" w:rsidRDefault="00FF6A28" w:rsidP="00FF6A28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1F84ED0" w14:textId="77777777" w:rsidR="00C72D39" w:rsidRPr="00212B86" w:rsidRDefault="00E07968" w:rsidP="00FF6A28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</w:t>
      </w:r>
      <w:r w:rsidR="00C72D39" w:rsidRPr="00212B86">
        <w:rPr>
          <w:rFonts w:ascii="Times New Roman" w:hAnsi="Times New Roman"/>
          <w:sz w:val="22"/>
          <w:szCs w:val="22"/>
        </w:rPr>
        <w:t xml:space="preserve">our WGP model, we describe </w:t>
      </w:r>
      <w:r w:rsidR="00A94B69">
        <w:rPr>
          <w:rFonts w:ascii="Times New Roman" w:hAnsi="Times New Roman"/>
          <w:sz w:val="22"/>
          <w:szCs w:val="22"/>
        </w:rPr>
        <w:t>the conditional expectation function of the response</w:t>
      </w:r>
      <w:r>
        <w:rPr>
          <w:rFonts w:ascii="Times New Roman" w:hAnsi="Times New Roman"/>
          <w:sz w:val="22"/>
          <w:szCs w:val="22"/>
        </w:rPr>
        <w:t xml:space="preserve"> (</w:t>
      </w:r>
      <w:r w:rsidR="00C72D39" w:rsidRPr="00212B86">
        <w:rPr>
          <w:rFonts w:ascii="Times New Roman" w:hAnsi="Times New Roman"/>
          <w:position w:val="-12"/>
          <w:sz w:val="22"/>
          <w:szCs w:val="22"/>
        </w:rPr>
        <w:object w:dxaOrig="260" w:dyaOrig="360" w14:anchorId="5D6A2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9pt" o:ole="">
            <v:imagedata r:id="rId7" o:title=""/>
          </v:shape>
          <o:OLEObject Type="Embed" ProgID="Equation.3" ShapeID="_x0000_i1025" DrawAspect="Content" ObjectID="_1276437757" r:id="rId8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, </w:t>
      </w:r>
      <w:r w:rsidR="00C72D39" w:rsidRPr="00212B86">
        <w:rPr>
          <w:rFonts w:ascii="Times New Roman" w:hAnsi="Times New Roman"/>
          <w:i/>
          <w:sz w:val="22"/>
          <w:szCs w:val="22"/>
        </w:rPr>
        <w:t>i=1,…,n</w:t>
      </w:r>
      <w:r w:rsidR="00C72D39" w:rsidRPr="00212B86">
        <w:rPr>
          <w:rFonts w:ascii="Times New Roman" w:hAnsi="Times New Roman"/>
          <w:sz w:val="22"/>
          <w:szCs w:val="22"/>
        </w:rPr>
        <w:t>) as the sum of individual-specific means (</w:t>
      </w:r>
      <w:r w:rsidR="00C72D39" w:rsidRPr="00212B86">
        <w:rPr>
          <w:rFonts w:ascii="Times New Roman" w:hAnsi="Times New Roman"/>
          <w:position w:val="-12"/>
          <w:sz w:val="22"/>
          <w:szCs w:val="22"/>
        </w:rPr>
        <w:object w:dxaOrig="279" w:dyaOrig="360" w14:anchorId="4CA22DB8">
          <v:shape id="_x0000_i1026" type="#_x0000_t75" style="width:14pt;height:19pt" o:ole="">
            <v:imagedata r:id="rId9" o:title=""/>
          </v:shape>
          <o:OLEObject Type="Embed" ProgID="Equation.3" ShapeID="_x0000_i1026" DrawAspect="Content" ObjectID="_1276437758" r:id="rId10"/>
        </w:object>
      </w:r>
      <w:r w:rsidR="00C72D39" w:rsidRPr="00212B86">
        <w:rPr>
          <w:rFonts w:ascii="Times New Roman" w:hAnsi="Times New Roman"/>
          <w:sz w:val="22"/>
          <w:szCs w:val="22"/>
        </w:rPr>
        <w:t>)</w:t>
      </w:r>
      <w:r w:rsidR="00855929">
        <w:rPr>
          <w:rFonts w:ascii="Times New Roman" w:hAnsi="Times New Roman"/>
          <w:sz w:val="22"/>
          <w:szCs w:val="22"/>
        </w:rPr>
        <w:t xml:space="preserve"> </w:t>
      </w:r>
      <w:r w:rsidR="00C72D39" w:rsidRPr="00212B86">
        <w:rPr>
          <w:rFonts w:ascii="Times New Roman" w:hAnsi="Times New Roman"/>
          <w:sz w:val="22"/>
          <w:szCs w:val="22"/>
        </w:rPr>
        <w:t>and of a model residual</w:t>
      </w:r>
      <w:r w:rsidR="00C72D39">
        <w:rPr>
          <w:rFonts w:ascii="Times New Roman" w:hAnsi="Times New Roman"/>
          <w:sz w:val="22"/>
          <w:szCs w:val="22"/>
        </w:rPr>
        <w:t xml:space="preserve"> </w:t>
      </w:r>
      <w:r w:rsidR="00C72D39" w:rsidRPr="00212B86">
        <w:rPr>
          <w:rFonts w:ascii="Times New Roman" w:hAnsi="Times New Roman"/>
          <w:sz w:val="22"/>
          <w:szCs w:val="22"/>
        </w:rPr>
        <w:t>(</w:t>
      </w:r>
      <w:r w:rsidRPr="00E07968">
        <w:rPr>
          <w:rFonts w:ascii="Times New Roman" w:hAnsi="Times New Roman"/>
          <w:position w:val="-12"/>
          <w:sz w:val="22"/>
          <w:szCs w:val="22"/>
        </w:rPr>
        <w:object w:dxaOrig="240" w:dyaOrig="360" w14:anchorId="04C0C1CA">
          <v:shape id="_x0000_i1027" type="#_x0000_t75" style="width:12pt;height:19pt" o:ole="">
            <v:imagedata r:id="rId11" o:title=""/>
          </v:shape>
          <o:OLEObject Type="Embed" ProgID="Equation.3" ShapeID="_x0000_i1027" DrawAspect="Content" ObjectID="_1276437759" r:id="rId12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) which is assumed to be a normal random variable with mean zero and variance </w:t>
      </w:r>
      <w:r w:rsidR="00A94B69" w:rsidRPr="00A94B69">
        <w:rPr>
          <w:rFonts w:ascii="Times New Roman" w:hAnsi="Times New Roman"/>
          <w:position w:val="-6"/>
          <w:sz w:val="22"/>
          <w:szCs w:val="22"/>
        </w:rPr>
        <w:object w:dxaOrig="320" w:dyaOrig="320" w14:anchorId="71D722F8">
          <v:shape id="_x0000_i1028" type="#_x0000_t75" style="width:16pt;height:16pt" o:ole="">
            <v:imagedata r:id="rId13" o:title=""/>
          </v:shape>
          <o:OLEObject Type="Embed" ProgID="Equation.3" ShapeID="_x0000_i1028" DrawAspect="Content" ObjectID="_1276437760" r:id="rId14"/>
        </w:object>
      </w:r>
      <w:r w:rsidR="00C72D39">
        <w:rPr>
          <w:rFonts w:ascii="Times New Roman" w:hAnsi="Times New Roman"/>
          <w:sz w:val="22"/>
          <w:szCs w:val="22"/>
        </w:rPr>
        <w:t>;</w:t>
      </w:r>
      <w:r w:rsidR="00C72D39" w:rsidRPr="00E07968">
        <w:rPr>
          <w:rFonts w:ascii="Times New Roman" w:hAnsi="Times New Roman"/>
          <w:sz w:val="22"/>
          <w:szCs w:val="22"/>
        </w:rPr>
        <w:t xml:space="preserve"> therefore </w:t>
      </w:r>
      <w:r w:rsidRPr="00E07968">
        <w:rPr>
          <w:rFonts w:ascii="Times New Roman" w:hAnsi="Times New Roman"/>
          <w:position w:val="-12"/>
          <w:sz w:val="22"/>
          <w:szCs w:val="22"/>
        </w:rPr>
        <w:object w:dxaOrig="1120" w:dyaOrig="360" w14:anchorId="656573F6">
          <v:shape id="_x0000_i1029" type="#_x0000_t75" style="width:57pt;height:19pt" o:ole="">
            <v:imagedata r:id="rId15" o:title=""/>
          </v:shape>
          <o:OLEObject Type="Embed" ProgID="Equation.3" ShapeID="_x0000_i1029" DrawAspect="Content" ObjectID="_1276437761" r:id="rId16"/>
        </w:object>
      </w:r>
      <w:r w:rsidR="00855929">
        <w:rPr>
          <w:rFonts w:ascii="Times New Roman" w:hAnsi="Times New Roman"/>
          <w:sz w:val="22"/>
          <w:szCs w:val="22"/>
        </w:rPr>
        <w:t>. Here</w:t>
      </w:r>
      <w:r w:rsidR="00A94B69">
        <w:rPr>
          <w:rFonts w:ascii="Times New Roman" w:hAnsi="Times New Roman"/>
          <w:sz w:val="22"/>
          <w:szCs w:val="22"/>
        </w:rPr>
        <w:t xml:space="preserve">, </w:t>
      </w:r>
    </w:p>
    <w:p w14:paraId="5DF48702" w14:textId="77777777" w:rsidR="00C72D39" w:rsidRPr="00E07968" w:rsidRDefault="00C72D39" w:rsidP="00C72D39">
      <w:pPr>
        <w:spacing w:line="480" w:lineRule="auto"/>
        <w:ind w:firstLine="360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position w:val="-18"/>
          <w:sz w:val="22"/>
          <w:szCs w:val="22"/>
        </w:rPr>
        <w:object w:dxaOrig="3019" w:dyaOrig="480" w14:anchorId="001E858E">
          <v:shape id="_x0000_i1030" type="#_x0000_t75" style="width:151pt;height:24pt" o:ole="">
            <v:imagedata r:id="rId17" o:title=""/>
          </v:shape>
          <o:OLEObject Type="Embed" ProgID="Equation.3" ShapeID="_x0000_i1030" DrawAspect="Content" ObjectID="_1276437762" r:id="rId18"/>
        </w:object>
      </w:r>
      <w:r w:rsidRPr="00212B86">
        <w:rPr>
          <w:rFonts w:ascii="Times New Roman" w:hAnsi="Times New Roman"/>
          <w:sz w:val="22"/>
          <w:szCs w:val="22"/>
        </w:rPr>
        <w:t xml:space="preserve">, </w:t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1E19CF">
        <w:rPr>
          <w:rFonts w:ascii="Times New Roman" w:hAnsi="Times New Roman"/>
          <w:color w:val="FF0000"/>
          <w:sz w:val="22"/>
          <w:szCs w:val="22"/>
        </w:rPr>
        <w:tab/>
      </w:r>
      <w:r w:rsidRPr="00E07968">
        <w:rPr>
          <w:rFonts w:ascii="Times New Roman" w:hAnsi="Times New Roman"/>
          <w:sz w:val="22"/>
          <w:szCs w:val="22"/>
        </w:rPr>
        <w:t>(1)</w:t>
      </w:r>
    </w:p>
    <w:p w14:paraId="08EC44E7" w14:textId="77777777" w:rsidR="00E42F20" w:rsidRPr="00212B86" w:rsidRDefault="00A94B69" w:rsidP="00B05CCB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a linear predictor that has </w:t>
      </w:r>
      <w:r w:rsidR="00C72D39" w:rsidRPr="00212B86">
        <w:rPr>
          <w:rFonts w:ascii="Times New Roman" w:hAnsi="Times New Roman"/>
          <w:sz w:val="22"/>
          <w:szCs w:val="22"/>
        </w:rPr>
        <w:t xml:space="preserve">three components: </w:t>
      </w:r>
      <w:r w:rsidR="00C72D39" w:rsidRPr="00212B86">
        <w:rPr>
          <w:position w:val="-10"/>
          <w:sz w:val="22"/>
          <w:szCs w:val="22"/>
        </w:rPr>
        <w:object w:dxaOrig="240" w:dyaOrig="260" w14:anchorId="2DF63C41">
          <v:shape id="_x0000_i1031" type="#_x0000_t75" style="width:12pt;height:13pt" o:ole="">
            <v:imagedata r:id="rId19" o:title=""/>
          </v:shape>
          <o:OLEObject Type="Embed" ProgID="Equation.3" ShapeID="_x0000_i1031" DrawAspect="Content" ObjectID="_1276437763" r:id="rId20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, an effect common to all subjects; </w:t>
      </w:r>
      <w:r w:rsidR="00C72D39" w:rsidRPr="00212B86">
        <w:rPr>
          <w:rFonts w:ascii="Times New Roman" w:hAnsi="Times New Roman"/>
          <w:position w:val="-18"/>
          <w:sz w:val="22"/>
          <w:szCs w:val="22"/>
        </w:rPr>
        <w:object w:dxaOrig="1060" w:dyaOrig="480" w14:anchorId="5A724EC6">
          <v:shape id="_x0000_i1032" type="#_x0000_t75" style="width:54pt;height:24pt" o:ole="">
            <v:imagedata r:id="rId21" o:title=""/>
          </v:shape>
          <o:OLEObject Type="Embed" ProgID="Equation.3" ShapeID="_x0000_i1032" DrawAspect="Content" ObjectID="_1276437764" r:id="rId22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, a regression component accounting for the effects of non genetic covariates (sex, smoking and BMI covariates in our application) ; and </w:t>
      </w:r>
      <w:r w:rsidR="00C72D39" w:rsidRPr="00212B86">
        <w:rPr>
          <w:rFonts w:ascii="Times New Roman" w:hAnsi="Times New Roman"/>
          <w:position w:val="-16"/>
          <w:sz w:val="22"/>
          <w:szCs w:val="22"/>
        </w:rPr>
        <w:object w:dxaOrig="980" w:dyaOrig="460" w14:anchorId="6E44DCE4">
          <v:shape id="_x0000_i1033" type="#_x0000_t75" style="width:49pt;height:22pt" o:ole="">
            <v:imagedata r:id="rId23" o:title=""/>
          </v:shape>
          <o:OLEObject Type="Embed" ProgID="Equation.3" ShapeID="_x0000_i1033" DrawAspect="Content" ObjectID="_1276437765" r:id="rId24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, a regression on SNP genotypes </w:t>
      </w:r>
      <w:r w:rsidR="00C72D39" w:rsidRPr="00212B86">
        <w:rPr>
          <w:rFonts w:ascii="Times New Roman" w:hAnsi="Times New Roman"/>
          <w:position w:val="-14"/>
          <w:sz w:val="22"/>
          <w:szCs w:val="22"/>
        </w:rPr>
        <w:object w:dxaOrig="440" w:dyaOrig="380" w14:anchorId="62DB044C">
          <v:shape id="_x0000_i1034" type="#_x0000_t75" style="width:22pt;height:17pt" o:ole="">
            <v:imagedata r:id="rId25" o:title=""/>
          </v:shape>
          <o:OLEObject Type="Embed" ProgID="Equation.3" ShapeID="_x0000_i1034" DrawAspect="Content" ObjectID="_1276437766" r:id="rId26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 where </w:t>
      </w:r>
      <w:r w:rsidR="00C72D39" w:rsidRPr="00212B86">
        <w:rPr>
          <w:rFonts w:ascii="Times New Roman" w:hAnsi="Times New Roman"/>
          <w:position w:val="-14"/>
          <w:sz w:val="22"/>
          <w:szCs w:val="22"/>
        </w:rPr>
        <w:object w:dxaOrig="1140" w:dyaOrig="380" w14:anchorId="0740BFFD">
          <v:shape id="_x0000_i1035" type="#_x0000_t75" style="width:57pt;height:17pt" o:ole="">
            <v:imagedata r:id="rId27" o:title=""/>
          </v:shape>
          <o:OLEObject Type="Embed" ProgID="Equation.3" ShapeID="_x0000_i1035" DrawAspect="Content" ObjectID="_1276437767" r:id="rId28"/>
        </w:object>
      </w:r>
      <w:r w:rsidR="00C72D39" w:rsidRPr="00212B86">
        <w:rPr>
          <w:rFonts w:ascii="Times New Roman" w:hAnsi="Times New Roman"/>
          <w:sz w:val="22"/>
          <w:szCs w:val="22"/>
        </w:rPr>
        <w:t xml:space="preserve"> counts the number of copies of the least frequent allele at the </w:t>
      </w:r>
      <w:r w:rsidR="00C72D39" w:rsidRPr="00212B86">
        <w:rPr>
          <w:rFonts w:ascii="Times New Roman" w:hAnsi="Times New Roman"/>
          <w:i/>
          <w:sz w:val="22"/>
          <w:szCs w:val="22"/>
        </w:rPr>
        <w:t>j</w:t>
      </w:r>
      <w:r w:rsidR="00C72D39" w:rsidRPr="00212B86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C72D39" w:rsidRPr="00212B86">
        <w:rPr>
          <w:rFonts w:ascii="Times New Roman" w:hAnsi="Times New Roman"/>
          <w:sz w:val="22"/>
          <w:szCs w:val="22"/>
        </w:rPr>
        <w:t xml:space="preserve"> SNP.</w:t>
      </w:r>
      <w:r w:rsidR="00C72D39" w:rsidRPr="00212B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72D3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05CCB">
        <w:rPr>
          <w:rFonts w:ascii="Times New Roman" w:hAnsi="Times New Roman"/>
          <w:sz w:val="22"/>
          <w:szCs w:val="22"/>
        </w:rPr>
        <w:t>Combining the above-described assumptions we</w:t>
      </w:r>
      <w:r w:rsidR="00855929">
        <w:rPr>
          <w:rFonts w:ascii="Times New Roman" w:hAnsi="Times New Roman"/>
          <w:sz w:val="22"/>
          <w:szCs w:val="22"/>
        </w:rPr>
        <w:t xml:space="preserve"> obtain the </w:t>
      </w:r>
      <w:r w:rsidR="00B05CCB">
        <w:rPr>
          <w:rFonts w:ascii="Times New Roman" w:hAnsi="Times New Roman"/>
          <w:sz w:val="22"/>
          <w:szCs w:val="22"/>
        </w:rPr>
        <w:t xml:space="preserve">likelihood function </w:t>
      </w:r>
      <w:r w:rsidR="00E42F20" w:rsidRPr="00212B86">
        <w:rPr>
          <w:rFonts w:ascii="Times New Roman" w:hAnsi="Times New Roman"/>
          <w:sz w:val="22"/>
          <w:szCs w:val="22"/>
        </w:rPr>
        <w:t>un-censored data point</w:t>
      </w:r>
      <w:r w:rsidR="00855929">
        <w:rPr>
          <w:rFonts w:ascii="Times New Roman" w:hAnsi="Times New Roman"/>
          <w:sz w:val="22"/>
          <w:szCs w:val="22"/>
        </w:rPr>
        <w:t>s</w:t>
      </w:r>
    </w:p>
    <w:p w14:paraId="6B1BF7FB" w14:textId="77777777" w:rsidR="00E42F20" w:rsidRPr="00212B86" w:rsidRDefault="00E42F20" w:rsidP="00E42F20">
      <w:pPr>
        <w:spacing w:line="480" w:lineRule="auto"/>
        <w:ind w:firstLine="709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position w:val="-34"/>
          <w:sz w:val="22"/>
          <w:szCs w:val="22"/>
        </w:rPr>
        <w:object w:dxaOrig="4120" w:dyaOrig="800" w14:anchorId="5A12015C">
          <v:shape id="_x0000_i1036" type="#_x0000_t75" style="width:206pt;height:41pt" o:ole="">
            <v:imagedata r:id="rId29" o:title=""/>
          </v:shape>
          <o:OLEObject Type="Embed" ProgID="Equation.3" ShapeID="_x0000_i1036" DrawAspect="Content" ObjectID="_1276437768" r:id="rId30"/>
        </w:object>
      </w:r>
      <w:r w:rsidRPr="00212B86">
        <w:rPr>
          <w:rFonts w:ascii="Times New Roman" w:hAnsi="Times New Roman"/>
          <w:position w:val="-34"/>
          <w:sz w:val="22"/>
          <w:szCs w:val="22"/>
        </w:rPr>
        <w:tab/>
      </w:r>
      <w:r w:rsidRPr="00212B86">
        <w:rPr>
          <w:rFonts w:ascii="Times New Roman" w:hAnsi="Times New Roman"/>
          <w:position w:val="-34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 xml:space="preserve"> . </w:t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  <w:t>(</w:t>
      </w:r>
      <w:r w:rsidR="00B05CCB">
        <w:rPr>
          <w:rFonts w:ascii="Times New Roman" w:hAnsi="Times New Roman"/>
          <w:sz w:val="22"/>
          <w:szCs w:val="22"/>
        </w:rPr>
        <w:t>2</w:t>
      </w:r>
      <w:r w:rsidRPr="00212B86">
        <w:rPr>
          <w:rFonts w:ascii="Times New Roman" w:hAnsi="Times New Roman"/>
          <w:sz w:val="22"/>
          <w:szCs w:val="22"/>
        </w:rPr>
        <w:t>)</w:t>
      </w:r>
    </w:p>
    <w:p w14:paraId="2B053C84" w14:textId="77777777" w:rsidR="00E42F20" w:rsidRPr="00212B86" w:rsidRDefault="00855929" w:rsidP="00E42F20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 </w:t>
      </w:r>
      <w:r w:rsidR="009631B6">
        <w:rPr>
          <w:rFonts w:ascii="Times New Roman" w:hAnsi="Times New Roman"/>
          <w:sz w:val="22"/>
          <w:szCs w:val="22"/>
        </w:rPr>
        <w:t xml:space="preserve">that </w:t>
      </w:r>
      <w:r>
        <w:rPr>
          <w:rFonts w:ascii="Times New Roman" w:hAnsi="Times New Roman"/>
          <w:sz w:val="22"/>
          <w:szCs w:val="22"/>
        </w:rPr>
        <w:t xml:space="preserve">of </w:t>
      </w:r>
      <w:r w:rsidR="00E42F20" w:rsidRPr="00212B86">
        <w:rPr>
          <w:rFonts w:ascii="Times New Roman" w:hAnsi="Times New Roman"/>
          <w:sz w:val="22"/>
          <w:szCs w:val="22"/>
        </w:rPr>
        <w:t>surviving subjects</w:t>
      </w:r>
    </w:p>
    <w:p w14:paraId="02EF4FD3" w14:textId="77777777" w:rsidR="00E42F20" w:rsidRPr="00212B86" w:rsidRDefault="00E42F20" w:rsidP="00E42F20">
      <w:pPr>
        <w:spacing w:line="480" w:lineRule="auto"/>
        <w:ind w:firstLine="709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 xml:space="preserve"> </w:t>
      </w:r>
      <w:r w:rsidR="00855929" w:rsidRPr="00212B86">
        <w:rPr>
          <w:rFonts w:ascii="Times New Roman" w:hAnsi="Times New Roman"/>
          <w:position w:val="-34"/>
          <w:sz w:val="22"/>
          <w:szCs w:val="22"/>
        </w:rPr>
        <w:object w:dxaOrig="6039" w:dyaOrig="800" w14:anchorId="7FCB05F4">
          <v:shape id="_x0000_i1037" type="#_x0000_t75" style="width:301pt;height:41pt" o:ole="">
            <v:imagedata r:id="rId31" o:title=""/>
          </v:shape>
          <o:OLEObject Type="Embed" ProgID="Equation.3" ShapeID="_x0000_i1037" DrawAspect="Content" ObjectID="_1276437769" r:id="rId32"/>
        </w:object>
      </w:r>
      <w:r w:rsidRPr="00212B86">
        <w:rPr>
          <w:rFonts w:ascii="Times New Roman" w:hAnsi="Times New Roman"/>
          <w:sz w:val="22"/>
          <w:szCs w:val="22"/>
        </w:rPr>
        <w:t xml:space="preserve">, </w:t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ab/>
      </w:r>
      <w:r w:rsidR="00B05CCB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sz w:val="22"/>
          <w:szCs w:val="22"/>
        </w:rPr>
        <w:t>(</w:t>
      </w:r>
      <w:r w:rsidR="00B05CCB">
        <w:rPr>
          <w:rFonts w:ascii="Times New Roman" w:hAnsi="Times New Roman"/>
          <w:sz w:val="22"/>
          <w:szCs w:val="22"/>
        </w:rPr>
        <w:t>3</w:t>
      </w:r>
      <w:r w:rsidRPr="00212B86">
        <w:rPr>
          <w:rFonts w:ascii="Times New Roman" w:hAnsi="Times New Roman"/>
          <w:sz w:val="22"/>
          <w:szCs w:val="22"/>
        </w:rPr>
        <w:t>)</w:t>
      </w:r>
    </w:p>
    <w:p w14:paraId="31D60A26" w14:textId="77777777" w:rsidR="00E42F20" w:rsidRPr="00212B86" w:rsidRDefault="00E42F20" w:rsidP="00E42F20">
      <w:pPr>
        <w:spacing w:line="480" w:lineRule="auto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 xml:space="preserve">where </w:t>
      </w:r>
      <w:r w:rsidR="00855929" w:rsidRPr="0061089A">
        <w:rPr>
          <w:position w:val="-12"/>
        </w:rPr>
        <w:object w:dxaOrig="180" w:dyaOrig="360" w14:anchorId="2AB0522F">
          <v:shape id="_x0000_i1038" type="#_x0000_t75" style="width:9pt;height:19pt" o:ole="">
            <v:imagedata r:id="rId33" o:title=""/>
          </v:shape>
          <o:OLEObject Type="Embed" ProgID="Equation.3" ShapeID="_x0000_i1038" DrawAspect="Content" ObjectID="_1276437770" r:id="rId34"/>
        </w:object>
      </w:r>
      <w:r w:rsidR="00855929">
        <w:t xml:space="preserve"> </w:t>
      </w:r>
      <w:r w:rsidR="00855929" w:rsidRPr="00855929">
        <w:rPr>
          <w:rFonts w:ascii="Times New Roman" w:hAnsi="Times New Roman"/>
          <w:sz w:val="22"/>
          <w:szCs w:val="22"/>
        </w:rPr>
        <w:t xml:space="preserve">represent age at censoring of the </w:t>
      </w:r>
      <w:r w:rsidR="00855929" w:rsidRPr="009631B6">
        <w:rPr>
          <w:rFonts w:ascii="Times New Roman" w:hAnsi="Times New Roman"/>
          <w:i/>
          <w:sz w:val="22"/>
          <w:szCs w:val="22"/>
        </w:rPr>
        <w:t>i</w:t>
      </w:r>
      <w:r w:rsidR="00855929" w:rsidRPr="009631B6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855929" w:rsidRPr="00855929">
        <w:rPr>
          <w:rFonts w:ascii="Times New Roman" w:hAnsi="Times New Roman"/>
          <w:sz w:val="22"/>
          <w:szCs w:val="22"/>
        </w:rPr>
        <w:t xml:space="preserve"> individual and </w:t>
      </w:r>
      <w:r w:rsidRPr="00212B86">
        <w:rPr>
          <w:rFonts w:ascii="Times New Roman" w:hAnsi="Times New Roman"/>
          <w:position w:val="-10"/>
          <w:sz w:val="22"/>
          <w:szCs w:val="22"/>
        </w:rPr>
        <w:object w:dxaOrig="440" w:dyaOrig="340" w14:anchorId="494DA852">
          <v:shape id="_x0000_i1039" type="#_x0000_t75" style="width:23pt;height:18pt" o:ole="">
            <v:imagedata r:id="rId35" o:title=""/>
          </v:shape>
          <o:OLEObject Type="Embed" ProgID="Equation.3" ShapeID="_x0000_i1039" DrawAspect="Content" ObjectID="_1276437771" r:id="rId36"/>
        </w:object>
      </w:r>
      <w:r w:rsidRPr="00212B86">
        <w:rPr>
          <w:rFonts w:ascii="Times New Roman" w:hAnsi="Times New Roman"/>
          <w:sz w:val="22"/>
          <w:szCs w:val="22"/>
        </w:rPr>
        <w:t xml:space="preserve"> is the cumulative distribution function of a standard normal random variable. Expression (</w:t>
      </w:r>
      <w:r w:rsidR="00B05CCB">
        <w:rPr>
          <w:rFonts w:ascii="Times New Roman" w:hAnsi="Times New Roman"/>
          <w:sz w:val="22"/>
          <w:szCs w:val="22"/>
        </w:rPr>
        <w:t>3</w:t>
      </w:r>
      <w:r w:rsidRPr="00212B86">
        <w:rPr>
          <w:rFonts w:ascii="Times New Roman" w:hAnsi="Times New Roman"/>
          <w:sz w:val="22"/>
          <w:szCs w:val="22"/>
        </w:rPr>
        <w:t xml:space="preserve">) represents the likelihood function of a right-censored observation. Similar expression can be derived for left and interval censored observations; </w:t>
      </w:r>
      <w:r w:rsidRPr="00212B86">
        <w:rPr>
          <w:rFonts w:ascii="Times New Roman" w:hAnsi="Times New Roman"/>
          <w:sz w:val="22"/>
          <w:szCs w:val="22"/>
        </w:rPr>
        <w:lastRenderedPageBreak/>
        <w:t>herein we focus on right-censored observation only.</w:t>
      </w:r>
    </w:p>
    <w:p w14:paraId="7B502BFF" w14:textId="77777777" w:rsidR="00E42F20" w:rsidRPr="00212B86" w:rsidRDefault="00E42F20" w:rsidP="00E42F20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>Combining equations (1)</w:t>
      </w:r>
      <w:r w:rsidR="00B05CCB">
        <w:rPr>
          <w:rFonts w:ascii="Times New Roman" w:hAnsi="Times New Roman"/>
          <w:sz w:val="22"/>
          <w:szCs w:val="22"/>
        </w:rPr>
        <w:t>-</w:t>
      </w:r>
      <w:r w:rsidRPr="00212B86">
        <w:rPr>
          <w:rFonts w:ascii="Times New Roman" w:hAnsi="Times New Roman"/>
          <w:sz w:val="22"/>
          <w:szCs w:val="22"/>
        </w:rPr>
        <w:t>(3)</w:t>
      </w:r>
      <w:r w:rsidR="009B6BA9">
        <w:rPr>
          <w:rFonts w:ascii="Times New Roman" w:hAnsi="Times New Roman"/>
          <w:sz w:val="22"/>
          <w:szCs w:val="22"/>
        </w:rPr>
        <w:t xml:space="preserve"> and under conditional independence, </w:t>
      </w:r>
      <w:r w:rsidRPr="00212B86">
        <w:rPr>
          <w:rFonts w:ascii="Times New Roman" w:hAnsi="Times New Roman"/>
          <w:sz w:val="22"/>
          <w:szCs w:val="22"/>
        </w:rPr>
        <w:t>we obtain the conditional density of the data given effects and the residual variance: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1"/>
        <w:gridCol w:w="8105"/>
      </w:tblGrid>
      <w:tr w:rsidR="00E42F20" w:rsidRPr="00212B86" w14:paraId="10A6394E" w14:textId="77777777" w:rsidTr="000D7AB1">
        <w:tc>
          <w:tcPr>
            <w:tcW w:w="1548" w:type="dxa"/>
          </w:tcPr>
          <w:p w14:paraId="4DB4BE76" w14:textId="77777777" w:rsidR="00E42F20" w:rsidRPr="00212B86" w:rsidRDefault="00E42F20" w:rsidP="000D7AB1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14:paraId="29FB9334" w14:textId="77777777" w:rsidR="00E42F20" w:rsidRPr="00212B86" w:rsidRDefault="00E42F20" w:rsidP="000D7AB1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14:paraId="334AFFAB" w14:textId="77777777" w:rsidR="00E42F20" w:rsidRPr="00212B86" w:rsidRDefault="00E42F20" w:rsidP="000D7AB1">
            <w:pPr>
              <w:spacing w:line="48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12B86">
              <w:rPr>
                <w:rFonts w:ascii="Times New Roman" w:hAnsi="Times New Roman"/>
                <w:b/>
                <w:i/>
                <w:sz w:val="22"/>
                <w:szCs w:val="22"/>
              </w:rPr>
              <w:t>Likelihood:</w:t>
            </w:r>
          </w:p>
        </w:tc>
        <w:tc>
          <w:tcPr>
            <w:tcW w:w="8928" w:type="dxa"/>
          </w:tcPr>
          <w:p w14:paraId="5F3F0B6D" w14:textId="77777777" w:rsidR="00E42F20" w:rsidRPr="00212B86" w:rsidRDefault="009631B6" w:rsidP="000D7AB1">
            <w:pPr>
              <w:spacing w:line="480" w:lineRule="auto"/>
              <w:ind w:firstLine="720"/>
              <w:jc w:val="both"/>
              <w:rPr>
                <w:rFonts w:ascii="Times New Roman" w:hAnsi="Times New Roman"/>
              </w:rPr>
            </w:pPr>
            <w:r w:rsidRPr="00212B86">
              <w:rPr>
                <w:rFonts w:ascii="Times New Roman" w:hAnsi="Times New Roman"/>
                <w:position w:val="-82"/>
                <w:sz w:val="22"/>
                <w:szCs w:val="22"/>
              </w:rPr>
              <w:object w:dxaOrig="5720" w:dyaOrig="1760" w14:anchorId="433F240F">
                <v:shape id="_x0000_i1040" type="#_x0000_t75" style="width:287pt;height:87pt" o:ole="">
                  <v:imagedata r:id="rId37" o:title=""/>
                </v:shape>
                <o:OLEObject Type="Embed" ProgID="Equation.3" ShapeID="_x0000_i1040" DrawAspect="Content" ObjectID="_1276437772" r:id="rId38"/>
              </w:object>
            </w:r>
            <w:r w:rsidR="00E42F20" w:rsidRPr="00212B86">
              <w:rPr>
                <w:rFonts w:ascii="Times New Roman" w:hAnsi="Times New Roman"/>
                <w:position w:val="-34"/>
                <w:sz w:val="22"/>
                <w:szCs w:val="22"/>
              </w:rPr>
              <w:tab/>
              <w:t>(4)</w:t>
            </w:r>
          </w:p>
        </w:tc>
      </w:tr>
    </w:tbl>
    <w:p w14:paraId="53F11D9B" w14:textId="77777777" w:rsidR="00E42F20" w:rsidRPr="00212B86" w:rsidRDefault="00E42F20" w:rsidP="00E42F2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6409ACF5" w14:textId="77777777" w:rsidR="00E42F20" w:rsidRPr="00212B86" w:rsidRDefault="00E42F20" w:rsidP="00E42F2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 xml:space="preserve">where </w:t>
      </w:r>
      <w:r w:rsidR="009631B6" w:rsidRPr="00212B86">
        <w:rPr>
          <w:rFonts w:ascii="Times New Roman" w:hAnsi="Times New Roman"/>
          <w:position w:val="-12"/>
          <w:sz w:val="22"/>
          <w:szCs w:val="22"/>
        </w:rPr>
        <w:object w:dxaOrig="800" w:dyaOrig="360" w14:anchorId="68573E38">
          <v:shape id="_x0000_i1041" type="#_x0000_t75" style="width:41pt;height:19pt" o:ole="">
            <v:imagedata r:id="rId39" o:title=""/>
          </v:shape>
          <o:OLEObject Type="Embed" ProgID="Equation.3" ShapeID="_x0000_i1041" DrawAspect="Content" ObjectID="_1276437773" r:id="rId40"/>
        </w:object>
      </w:r>
      <w:r w:rsidRPr="00212B86">
        <w:rPr>
          <w:rFonts w:ascii="Times New Roman" w:hAnsi="Times New Roman"/>
          <w:sz w:val="22"/>
          <w:szCs w:val="22"/>
        </w:rPr>
        <w:t xml:space="preserve">, </w:t>
      </w:r>
      <w:r w:rsidRPr="00212B86">
        <w:rPr>
          <w:rFonts w:ascii="Times New Roman" w:hAnsi="Times New Roman"/>
          <w:position w:val="-14"/>
          <w:sz w:val="22"/>
          <w:szCs w:val="22"/>
        </w:rPr>
        <w:object w:dxaOrig="800" w:dyaOrig="380" w14:anchorId="75FAE453">
          <v:shape id="_x0000_i1042" type="#_x0000_t75" style="width:41pt;height:19pt" o:ole="">
            <v:imagedata r:id="rId41" o:title=""/>
          </v:shape>
          <o:OLEObject Type="Embed" ProgID="Equation.3" ShapeID="_x0000_i1042" DrawAspect="Content" ObjectID="_1276437774" r:id="rId42"/>
        </w:object>
      </w:r>
      <w:r w:rsidRPr="00212B86">
        <w:rPr>
          <w:rFonts w:ascii="Times New Roman" w:hAnsi="Times New Roman"/>
          <w:sz w:val="22"/>
          <w:szCs w:val="22"/>
        </w:rPr>
        <w:t xml:space="preserve"> </w:t>
      </w:r>
      <w:r w:rsidR="009631B6">
        <w:rPr>
          <w:rFonts w:ascii="Times New Roman" w:hAnsi="Times New Roman"/>
          <w:sz w:val="22"/>
          <w:szCs w:val="22"/>
        </w:rPr>
        <w:t>,</w:t>
      </w:r>
      <w:r w:rsidRPr="00212B86">
        <w:rPr>
          <w:rFonts w:ascii="Times New Roman" w:hAnsi="Times New Roman"/>
          <w:sz w:val="22"/>
          <w:szCs w:val="22"/>
        </w:rPr>
        <w:t xml:space="preserve"> </w:t>
      </w:r>
      <w:r w:rsidR="009631B6" w:rsidRPr="00212B86">
        <w:rPr>
          <w:rFonts w:ascii="Times New Roman" w:hAnsi="Times New Roman"/>
          <w:position w:val="-12"/>
          <w:sz w:val="22"/>
          <w:szCs w:val="22"/>
        </w:rPr>
        <w:object w:dxaOrig="820" w:dyaOrig="360" w14:anchorId="35163944">
          <v:shape id="_x0000_i1043" type="#_x0000_t75" style="width:41pt;height:19pt" o:ole="">
            <v:imagedata r:id="rId43" o:title=""/>
          </v:shape>
          <o:OLEObject Type="Embed" ProgID="Equation.3" ShapeID="_x0000_i1043" DrawAspect="Content" ObjectID="_1276437775" r:id="rId44"/>
        </w:object>
      </w:r>
      <w:r w:rsidR="009631B6">
        <w:rPr>
          <w:rFonts w:ascii="Times New Roman" w:hAnsi="Times New Roman"/>
          <w:sz w:val="22"/>
          <w:szCs w:val="22"/>
        </w:rPr>
        <w:t xml:space="preserve"> and </w:t>
      </w:r>
      <w:r w:rsidR="005958BF" w:rsidRPr="009631B6">
        <w:rPr>
          <w:position w:val="-12"/>
        </w:rPr>
        <w:object w:dxaOrig="680" w:dyaOrig="360" w14:anchorId="309FBBF2">
          <v:shape id="_x0000_i1044" type="#_x0000_t75" style="width:34pt;height:19pt" o:ole="">
            <v:imagedata r:id="rId45" o:title=""/>
          </v:shape>
          <o:OLEObject Type="Embed" ProgID="Equation.3" ShapeID="_x0000_i1044" DrawAspect="Content" ObjectID="_1276437776" r:id="rId46"/>
        </w:object>
      </w:r>
      <w:r w:rsidR="009631B6">
        <w:t xml:space="preserve"> </w:t>
      </w:r>
      <w:r w:rsidR="009631B6">
        <w:rPr>
          <w:rFonts w:ascii="Times New Roman" w:hAnsi="Times New Roman"/>
          <w:sz w:val="22"/>
          <w:szCs w:val="22"/>
        </w:rPr>
        <w:t>ar</w:t>
      </w:r>
      <w:r w:rsidRPr="00212B86">
        <w:rPr>
          <w:rFonts w:ascii="Times New Roman" w:hAnsi="Times New Roman"/>
          <w:sz w:val="22"/>
          <w:szCs w:val="22"/>
        </w:rPr>
        <w:t>e vectors of data effects</w:t>
      </w:r>
      <w:r w:rsidR="009631B6">
        <w:rPr>
          <w:rFonts w:ascii="Times New Roman" w:hAnsi="Times New Roman"/>
          <w:sz w:val="22"/>
          <w:szCs w:val="22"/>
        </w:rPr>
        <w:t xml:space="preserve"> and age at censoring</w:t>
      </w:r>
      <w:r w:rsidRPr="00212B86">
        <w:rPr>
          <w:rFonts w:ascii="Times New Roman" w:hAnsi="Times New Roman"/>
          <w:sz w:val="22"/>
          <w:szCs w:val="22"/>
        </w:rPr>
        <w:t xml:space="preserve">, respectively, and </w:t>
      </w:r>
      <w:r w:rsidRPr="00212B86">
        <w:rPr>
          <w:rFonts w:ascii="Times New Roman" w:hAnsi="Times New Roman"/>
          <w:position w:val="-6"/>
          <w:sz w:val="22"/>
          <w:szCs w:val="22"/>
        </w:rPr>
        <w:object w:dxaOrig="560" w:dyaOrig="279" w14:anchorId="7AFA0F5F">
          <v:shape id="_x0000_i1045" type="#_x0000_t75" style="width:29pt;height:14pt" o:ole="">
            <v:imagedata r:id="rId47" o:title=""/>
          </v:shape>
          <o:OLEObject Type="Embed" ProgID="Equation.3" ShapeID="_x0000_i1045" DrawAspect="Content" ObjectID="_1276437777" r:id="rId48"/>
        </w:object>
      </w:r>
      <w:r w:rsidRPr="00212B86">
        <w:rPr>
          <w:rFonts w:ascii="Times New Roman" w:hAnsi="Times New Roman"/>
          <w:sz w:val="22"/>
          <w:szCs w:val="22"/>
        </w:rPr>
        <w:t xml:space="preserve">and </w:t>
      </w:r>
      <w:r w:rsidRPr="00212B86">
        <w:rPr>
          <w:rFonts w:ascii="Times New Roman" w:hAnsi="Times New Roman"/>
          <w:position w:val="-6"/>
          <w:sz w:val="22"/>
          <w:szCs w:val="22"/>
        </w:rPr>
        <w:object w:dxaOrig="560" w:dyaOrig="279" w14:anchorId="662CB542">
          <v:shape id="_x0000_i1046" type="#_x0000_t75" style="width:29pt;height:14pt" o:ole="">
            <v:imagedata r:id="rId49" o:title=""/>
          </v:shape>
          <o:OLEObject Type="Embed" ProgID="Equation.3" ShapeID="_x0000_i1046" DrawAspect="Content" ObjectID="_1276437778" r:id="rId50"/>
        </w:object>
      </w:r>
      <w:r w:rsidRPr="00212B86">
        <w:rPr>
          <w:rFonts w:ascii="Times New Roman" w:hAnsi="Times New Roman"/>
          <w:sz w:val="22"/>
          <w:szCs w:val="22"/>
        </w:rPr>
        <w:t xml:space="preserve"> indicate that the product runs over the set of un-censored and censored records, respectively.</w:t>
      </w:r>
    </w:p>
    <w:p w14:paraId="623D1130" w14:textId="77777777" w:rsidR="00E42F20" w:rsidRPr="00363BBF" w:rsidRDefault="00E42F20" w:rsidP="00363BBF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 xml:space="preserve">Bayesian inference is based on the posterior density of the unknowns </w:t>
      </w:r>
      <w:r w:rsidRPr="00212B86">
        <w:rPr>
          <w:rFonts w:ascii="Times New Roman" w:hAnsi="Times New Roman"/>
          <w:position w:val="-10"/>
          <w:sz w:val="22"/>
          <w:szCs w:val="22"/>
        </w:rPr>
        <w:object w:dxaOrig="1160" w:dyaOrig="340" w14:anchorId="5C3287A8">
          <v:shape id="_x0000_i1047" type="#_x0000_t75" style="width:59pt;height:17pt" o:ole="">
            <v:imagedata r:id="rId51" o:title=""/>
          </v:shape>
          <o:OLEObject Type="Embed" ProgID="Equation.3" ShapeID="_x0000_i1047" DrawAspect="Content" ObjectID="_1276437779" r:id="rId52"/>
        </w:object>
      </w:r>
      <w:r w:rsidRPr="00212B86">
        <w:rPr>
          <w:rFonts w:ascii="Times New Roman" w:hAnsi="Times New Roman"/>
          <w:sz w:val="22"/>
          <w:szCs w:val="22"/>
        </w:rPr>
        <w:t xml:space="preserve"> given the data. Following Bayes</w:t>
      </w:r>
      <w:r w:rsidR="009631B6">
        <w:rPr>
          <w:rFonts w:ascii="Times New Roman" w:hAnsi="Times New Roman"/>
          <w:sz w:val="22"/>
          <w:szCs w:val="22"/>
        </w:rPr>
        <w:t>’</w:t>
      </w:r>
      <w:r w:rsidRPr="00212B86">
        <w:rPr>
          <w:rFonts w:ascii="Times New Roman" w:hAnsi="Times New Roman"/>
          <w:sz w:val="22"/>
          <w:szCs w:val="22"/>
        </w:rPr>
        <w:t xml:space="preserve"> theorem, this is proportional to the conditional density of the data, given by (4), times the prior density of model unknowns. Here, we structure the prior density using a modified version of the Bayesian LASSO 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begin"/>
      </w:r>
      <w:r w:rsidR="00084CC4">
        <w:rPr>
          <w:rFonts w:ascii="Times New Roman" w:hAnsi="Times New Roman"/>
          <w:sz w:val="22"/>
          <w:szCs w:val="22"/>
          <w:vertAlign w:val="superscript"/>
        </w:rPr>
        <w:instrText xml:space="preserve"> ADDIN ZOTERO_ITEM CSL_CITATION {"citationID":"2194k9g58u","properties":{"formattedCitation":"[1]","plainCitation":"[1]"},"citationItems":[{"id":45,"uris":["http://zotero.org/users/450951/items/X8KZF2E6"],"uri":["http://zotero.org/users/450951/items/X8KZF2E6"],"itemData":{"id":45,"type":"article-journal","title":"The bayesian lasso","container-title":"Journal of the American Statistical Association","page":"681–686","volume":"103","issue":"482","author":[{"family":"Park","given":"T."},{"family":"Casella","given":"G."}],"issued":{"year":2008},"page-first":"681–686"}}],"schema":"https://github.com/citation-style-language/schema/raw/master/csl-citation.json"} </w:instrTex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separate"/>
      </w:r>
      <w:r w:rsidR="00084CC4" w:rsidRPr="00084CC4">
        <w:rPr>
          <w:rFonts w:ascii="Times New Roman" w:hAnsi="Times New Roman"/>
          <w:sz w:val="22"/>
        </w:rPr>
        <w:t>[1]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end"/>
      </w:r>
      <w:r w:rsidRPr="00212B86">
        <w:rPr>
          <w:rFonts w:ascii="Times New Roman" w:hAnsi="Times New Roman"/>
          <w:sz w:val="22"/>
          <w:szCs w:val="22"/>
        </w:rPr>
        <w:t>. We extend this model to accommodate censoring, according to (4), as well as effects other than those of markers.</w:t>
      </w:r>
      <w:r w:rsidR="005958BF">
        <w:rPr>
          <w:rFonts w:ascii="Times New Roman" w:hAnsi="Times New Roman"/>
          <w:sz w:val="22"/>
          <w:szCs w:val="22"/>
        </w:rPr>
        <w:t xml:space="preserve"> Specifically, w</w:t>
      </w:r>
      <w:r w:rsidR="00855929">
        <w:rPr>
          <w:rFonts w:ascii="Times New Roman" w:hAnsi="Times New Roman"/>
          <w:sz w:val="22"/>
          <w:szCs w:val="22"/>
        </w:rPr>
        <w:t>e assign</w:t>
      </w:r>
      <w:r w:rsidRPr="00212B86">
        <w:rPr>
          <w:rFonts w:ascii="Times New Roman" w:hAnsi="Times New Roman"/>
          <w:sz w:val="22"/>
          <w:szCs w:val="22"/>
        </w:rPr>
        <w:t xml:space="preserve"> independent vague prior densities to the intercept (</w:t>
      </w:r>
      <w:r w:rsidRPr="00212B86">
        <w:rPr>
          <w:rFonts w:ascii="Times New Roman" w:hAnsi="Times New Roman"/>
          <w:position w:val="-10"/>
          <w:sz w:val="22"/>
          <w:szCs w:val="22"/>
        </w:rPr>
        <w:object w:dxaOrig="240" w:dyaOrig="260" w14:anchorId="198B1A57">
          <v:shape id="_x0000_i1048" type="#_x0000_t75" style="width:12pt;height:13pt" o:ole="">
            <v:imagedata r:id="rId53" o:title=""/>
          </v:shape>
          <o:OLEObject Type="Embed" ProgID="Equation.3" ShapeID="_x0000_i1048" DrawAspect="Content" ObjectID="_1276437780" r:id="rId54"/>
        </w:object>
      </w:r>
      <w:r w:rsidRPr="00212B86">
        <w:rPr>
          <w:rFonts w:ascii="Times New Roman" w:hAnsi="Times New Roman"/>
          <w:sz w:val="22"/>
          <w:szCs w:val="22"/>
        </w:rPr>
        <w:t>) and to the effects of sex, smoking and BMI (</w:t>
      </w:r>
      <w:r w:rsidRPr="00212B86">
        <w:rPr>
          <w:rFonts w:ascii="Times New Roman" w:hAnsi="Times New Roman"/>
          <w:position w:val="-10"/>
          <w:sz w:val="22"/>
          <w:szCs w:val="22"/>
        </w:rPr>
        <w:object w:dxaOrig="200" w:dyaOrig="260" w14:anchorId="087E3B13">
          <v:shape id="_x0000_i1049" type="#_x0000_t75" style="width:11pt;height:13pt" o:ole="">
            <v:imagedata r:id="rId55" o:title=""/>
          </v:shape>
          <o:OLEObject Type="Embed" ProgID="Equation.3" ShapeID="_x0000_i1049" DrawAspect="Content" ObjectID="_1276437781" r:id="rId56"/>
        </w:object>
      </w:r>
      <w:r w:rsidRPr="00212B86">
        <w:rPr>
          <w:rFonts w:ascii="Times New Roman" w:hAnsi="Times New Roman"/>
          <w:sz w:val="22"/>
          <w:szCs w:val="22"/>
        </w:rPr>
        <w:t xml:space="preserve">). This treatment yields estimates of the effects of these non-genetic factors that are </w:t>
      </w:r>
      <w:r w:rsidR="00A5263D">
        <w:rPr>
          <w:rFonts w:ascii="Times New Roman" w:hAnsi="Times New Roman"/>
          <w:sz w:val="22"/>
          <w:szCs w:val="22"/>
        </w:rPr>
        <w:t>comparable</w:t>
      </w:r>
      <w:r w:rsidRPr="00212B86">
        <w:rPr>
          <w:rFonts w:ascii="Times New Roman" w:hAnsi="Times New Roman"/>
          <w:sz w:val="22"/>
          <w:szCs w:val="22"/>
        </w:rPr>
        <w:t xml:space="preserve"> to those obtained with likelihood-based methods. Following standard assumptions of Bayesian regression models, the residual variance is assigned a scaled-inverse Chi-square density, </w:t>
      </w:r>
      <w:r w:rsidRPr="00212B86">
        <w:rPr>
          <w:position w:val="-14"/>
          <w:sz w:val="22"/>
          <w:szCs w:val="22"/>
        </w:rPr>
        <w:object w:dxaOrig="1340" w:dyaOrig="400" w14:anchorId="6DACF59B">
          <v:shape id="_x0000_i1050" type="#_x0000_t75" style="width:67pt;height:20pt" o:ole="">
            <v:imagedata r:id="rId57" o:title=""/>
          </v:shape>
          <o:OLEObject Type="Embed" ProgID="Equation.3" ShapeID="_x0000_i1050" DrawAspect="Content" ObjectID="_1276437782" r:id="rId58"/>
        </w:object>
      </w:r>
      <w:r w:rsidRPr="00212B86">
        <w:rPr>
          <w:sz w:val="22"/>
          <w:szCs w:val="22"/>
        </w:rPr>
        <w:t xml:space="preserve">, </w:t>
      </w:r>
      <w:r w:rsidRPr="00212B86">
        <w:rPr>
          <w:rFonts w:ascii="Times New Roman" w:hAnsi="Times New Roman"/>
          <w:sz w:val="22"/>
          <w:szCs w:val="22"/>
        </w:rPr>
        <w:t xml:space="preserve">with degree of freedom and scale parameter </w:t>
      </w:r>
      <w:r w:rsidRPr="00212B86">
        <w:rPr>
          <w:position w:val="-10"/>
          <w:sz w:val="22"/>
          <w:szCs w:val="22"/>
        </w:rPr>
        <w:object w:dxaOrig="320" w:dyaOrig="320" w14:anchorId="1F5733DF">
          <v:shape id="_x0000_i1051" type="#_x0000_t75" style="width:16pt;height:16pt" o:ole="">
            <v:imagedata r:id="rId59" o:title=""/>
          </v:shape>
          <o:OLEObject Type="Embed" ProgID="Equation.3" ShapeID="_x0000_i1051" DrawAspect="Content" ObjectID="_1276437783" r:id="rId60"/>
        </w:object>
      </w:r>
      <w:r w:rsidRPr="00212B86">
        <w:rPr>
          <w:rFonts w:ascii="Times New Roman" w:hAnsi="Times New Roman"/>
          <w:sz w:val="22"/>
          <w:szCs w:val="22"/>
        </w:rPr>
        <w:t xml:space="preserve"> and  </w:t>
      </w:r>
      <w:r w:rsidRPr="00212B86">
        <w:rPr>
          <w:position w:val="-6"/>
          <w:sz w:val="22"/>
          <w:szCs w:val="22"/>
        </w:rPr>
        <w:object w:dxaOrig="220" w:dyaOrig="279" w14:anchorId="6F6DAF86">
          <v:shape id="_x0000_i1052" type="#_x0000_t75" style="width:11pt;height:14pt" o:ole="">
            <v:imagedata r:id="rId61" o:title=""/>
          </v:shape>
          <o:OLEObject Type="Embed" ProgID="Equation.3" ShapeID="_x0000_i1052" DrawAspect="Content" ObjectID="_1276437784" r:id="rId62"/>
        </w:object>
      </w:r>
      <w:r w:rsidRPr="00212B86">
        <w:rPr>
          <w:sz w:val="22"/>
          <w:szCs w:val="22"/>
        </w:rPr>
        <w:t xml:space="preserve">, </w:t>
      </w:r>
      <w:r w:rsidRPr="00212B86">
        <w:rPr>
          <w:rFonts w:ascii="Times New Roman" w:hAnsi="Times New Roman"/>
          <w:sz w:val="22"/>
          <w:szCs w:val="22"/>
        </w:rPr>
        <w:t xml:space="preserve">respectively. The prior density of marker effects </w:t>
      </w:r>
      <w:r w:rsidR="00A5263D">
        <w:rPr>
          <w:rFonts w:ascii="Times New Roman" w:hAnsi="Times New Roman"/>
          <w:sz w:val="22"/>
          <w:szCs w:val="22"/>
        </w:rPr>
        <w:t xml:space="preserve">is </w:t>
      </w:r>
      <w:r w:rsidRPr="00212B86">
        <w:rPr>
          <w:rFonts w:ascii="Times New Roman" w:hAnsi="Times New Roman"/>
          <w:sz w:val="22"/>
          <w:szCs w:val="22"/>
        </w:rPr>
        <w:t xml:space="preserve">structured using the </w:t>
      </w:r>
      <w:r w:rsidR="00A5263D">
        <w:rPr>
          <w:rFonts w:ascii="Times New Roman" w:hAnsi="Times New Roman"/>
          <w:sz w:val="22"/>
          <w:szCs w:val="22"/>
        </w:rPr>
        <w:t xml:space="preserve">specification used in the </w:t>
      </w:r>
      <w:r w:rsidRPr="00212B86">
        <w:rPr>
          <w:rFonts w:ascii="Times New Roman" w:hAnsi="Times New Roman"/>
          <w:sz w:val="22"/>
          <w:szCs w:val="22"/>
        </w:rPr>
        <w:t xml:space="preserve">Bayesian LASSO of Park and Casella 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begin"/>
      </w:r>
      <w:r w:rsidR="00084CC4">
        <w:rPr>
          <w:rFonts w:ascii="Times New Roman" w:hAnsi="Times New Roman"/>
          <w:sz w:val="22"/>
          <w:szCs w:val="22"/>
          <w:vertAlign w:val="superscript"/>
        </w:rPr>
        <w:instrText xml:space="preserve"> ADDIN ZOTERO_ITEM CSL_CITATION {"citationID":"fq4jic6sc","properties":{"formattedCitation":"[1]","plainCitation":"[1]"},"citationItems":[{"id":45,"uris":["http://zotero.org/users/450951/items/X8KZF2E6"],"uri":["http://zotero.org/users/450951/items/X8KZF2E6"],"itemData":{"id":45,"type":"article-journal","title":"The bayesian lasso","container-title":"Journal of the American Statistical Association","page":"681–686","volume":"103","issue":"482","author":[{"family":"Park","given":"T."},{"family":"Casella","given":"G."}],"issued":{"year":2008},"page-first":"681–686"}}],"schema":"https://github.com/citation-style-language/schema/raw/master/csl-citation.json"} </w:instrTex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separate"/>
      </w:r>
      <w:r w:rsidR="00084CC4" w:rsidRPr="00084CC4">
        <w:rPr>
          <w:rFonts w:ascii="Times New Roman" w:hAnsi="Times New Roman"/>
          <w:sz w:val="22"/>
        </w:rPr>
        <w:t>[1]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end"/>
      </w:r>
      <w:r w:rsidRPr="00212B86">
        <w:rPr>
          <w:rFonts w:ascii="Times New Roman" w:hAnsi="Times New Roman"/>
          <w:sz w:val="22"/>
          <w:szCs w:val="22"/>
        </w:rPr>
        <w:t>, here,</w:t>
      </w:r>
    </w:p>
    <w:p w14:paraId="5BC944A3" w14:textId="77777777" w:rsidR="00E42F20" w:rsidRPr="00212B86" w:rsidRDefault="00E42F20" w:rsidP="00E42F20">
      <w:pPr>
        <w:spacing w:line="480" w:lineRule="auto"/>
        <w:ind w:left="360"/>
        <w:jc w:val="both"/>
        <w:rPr>
          <w:sz w:val="22"/>
          <w:szCs w:val="22"/>
        </w:rPr>
      </w:pPr>
      <w:r w:rsidRPr="00212B86">
        <w:rPr>
          <w:position w:val="-16"/>
          <w:sz w:val="22"/>
          <w:szCs w:val="22"/>
        </w:rPr>
        <w:object w:dxaOrig="8540" w:dyaOrig="460" w14:anchorId="5DF3ACC0">
          <v:shape id="_x0000_i1053" type="#_x0000_t75" style="width:427pt;height:22pt" o:ole="">
            <v:imagedata r:id="rId63" o:title=""/>
          </v:shape>
          <o:OLEObject Type="Embed" ProgID="Equation.3" ShapeID="_x0000_i1053" DrawAspect="Content" ObjectID="_1276437785" r:id="rId64"/>
        </w:object>
      </w:r>
      <w:r w:rsidRPr="00212B86">
        <w:rPr>
          <w:sz w:val="22"/>
          <w:szCs w:val="22"/>
        </w:rPr>
        <w:t xml:space="preserve">, </w:t>
      </w:r>
    </w:p>
    <w:p w14:paraId="535B1820" w14:textId="77777777" w:rsidR="00E42F20" w:rsidRPr="00212B86" w:rsidRDefault="00E42F20" w:rsidP="00E42F2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>were:</w:t>
      </w:r>
      <w:r w:rsidRPr="00212B86">
        <w:rPr>
          <w:sz w:val="22"/>
          <w:szCs w:val="22"/>
        </w:rPr>
        <w:t xml:space="preserve"> </w:t>
      </w:r>
      <w:r w:rsidRPr="00212B86">
        <w:rPr>
          <w:position w:val="-14"/>
          <w:sz w:val="22"/>
          <w:szCs w:val="22"/>
        </w:rPr>
        <w:object w:dxaOrig="1320" w:dyaOrig="400" w14:anchorId="6837325D">
          <v:shape id="_x0000_i1054" type="#_x0000_t75" style="width:66pt;height:20pt" o:ole="">
            <v:imagedata r:id="rId65" o:title=""/>
          </v:shape>
          <o:OLEObject Type="Embed" ProgID="Equation.3" ShapeID="_x0000_i1054" DrawAspect="Content" ObjectID="_1276437786" r:id="rId66"/>
        </w:object>
      </w:r>
      <w:r w:rsidRPr="00212B86">
        <w:rPr>
          <w:sz w:val="22"/>
          <w:szCs w:val="22"/>
        </w:rPr>
        <w:t xml:space="preserve"> </w:t>
      </w:r>
      <w:r w:rsidRPr="00212B86">
        <w:rPr>
          <w:rFonts w:ascii="Times New Roman" w:hAnsi="Times New Roman"/>
          <w:sz w:val="22"/>
          <w:szCs w:val="22"/>
        </w:rPr>
        <w:t xml:space="preserve">is a normal density assigned to the effect of the </w:t>
      </w:r>
      <w:r w:rsidRPr="00212B86">
        <w:rPr>
          <w:rFonts w:ascii="Times New Roman" w:hAnsi="Times New Roman"/>
          <w:i/>
          <w:sz w:val="22"/>
          <w:szCs w:val="22"/>
        </w:rPr>
        <w:t>l</w:t>
      </w:r>
      <w:r w:rsidRPr="00212B86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212B86">
        <w:rPr>
          <w:rFonts w:ascii="Times New Roman" w:hAnsi="Times New Roman"/>
          <w:sz w:val="22"/>
          <w:szCs w:val="22"/>
        </w:rPr>
        <w:t xml:space="preserve"> marker, centered at zero and with marker-specific prior variance </w:t>
      </w:r>
      <w:r w:rsidRPr="00212B86">
        <w:rPr>
          <w:position w:val="-12"/>
          <w:sz w:val="22"/>
          <w:szCs w:val="22"/>
        </w:rPr>
        <w:object w:dxaOrig="520" w:dyaOrig="380" w14:anchorId="28941A37">
          <v:shape id="_x0000_i1055" type="#_x0000_t75" style="width:25pt;height:19pt" o:ole="">
            <v:imagedata r:id="rId67" o:title=""/>
          </v:shape>
          <o:OLEObject Type="Embed" ProgID="Equation.3" ShapeID="_x0000_i1055" DrawAspect="Content" ObjectID="_1276437787" r:id="rId68"/>
        </w:object>
      </w:r>
      <w:r w:rsidRPr="00212B86">
        <w:rPr>
          <w:sz w:val="22"/>
          <w:szCs w:val="22"/>
        </w:rPr>
        <w:t xml:space="preserve">. </w:t>
      </w:r>
      <w:r w:rsidRPr="00212B86">
        <w:rPr>
          <w:rFonts w:ascii="Times New Roman" w:hAnsi="Times New Roman"/>
          <w:sz w:val="22"/>
          <w:szCs w:val="22"/>
        </w:rPr>
        <w:t xml:space="preserve">In the next level of the hierarchy, the prior variance of marker effects are assigned IID exponential priors, </w:t>
      </w:r>
      <w:r w:rsidRPr="00212B86">
        <w:rPr>
          <w:rFonts w:ascii="Times New Roman" w:hAnsi="Times New Roman"/>
          <w:position w:val="-16"/>
          <w:sz w:val="22"/>
          <w:szCs w:val="22"/>
        </w:rPr>
        <w:object w:dxaOrig="1060" w:dyaOrig="440" w14:anchorId="54BE7031">
          <v:shape id="_x0000_i1056" type="#_x0000_t75" style="width:53pt;height:23pt" o:ole="">
            <v:imagedata r:id="rId69" o:title=""/>
          </v:shape>
          <o:OLEObject Type="Embed" ProgID="Equation.3" ShapeID="_x0000_i1056" DrawAspect="Content" ObjectID="_1276437788" r:id="rId70"/>
        </w:object>
      </w:r>
      <w:r w:rsidR="005958BF">
        <w:rPr>
          <w:rFonts w:ascii="Times New Roman" w:hAnsi="Times New Roman"/>
          <w:sz w:val="22"/>
          <w:szCs w:val="22"/>
        </w:rPr>
        <w:t xml:space="preserve">, </w:t>
      </w:r>
      <w:r w:rsidRPr="00212B86">
        <w:rPr>
          <w:rFonts w:ascii="Times New Roman" w:hAnsi="Times New Roman"/>
          <w:sz w:val="22"/>
          <w:szCs w:val="22"/>
        </w:rPr>
        <w:t xml:space="preserve">each indexed by a regularization parameter,  </w:t>
      </w:r>
      <w:r w:rsidRPr="00212B86">
        <w:rPr>
          <w:rFonts w:ascii="Times New Roman" w:hAnsi="Times New Roman"/>
          <w:position w:val="-6"/>
          <w:sz w:val="22"/>
          <w:szCs w:val="22"/>
        </w:rPr>
        <w:object w:dxaOrig="279" w:dyaOrig="320" w14:anchorId="28E2FB31">
          <v:shape id="_x0000_i1057" type="#_x0000_t75" style="width:14pt;height:16pt" o:ole="">
            <v:imagedata r:id="rId71" o:title=""/>
          </v:shape>
          <o:OLEObject Type="Embed" ProgID="Equation.3" ShapeID="_x0000_i1057" DrawAspect="Content" ObjectID="_1276437789" r:id="rId72"/>
        </w:object>
      </w:r>
      <w:r w:rsidRPr="00212B86">
        <w:rPr>
          <w:rFonts w:ascii="Times New Roman" w:hAnsi="Times New Roman"/>
          <w:sz w:val="22"/>
          <w:szCs w:val="22"/>
        </w:rPr>
        <w:t>, which controls the shape of this prior and</w:t>
      </w:r>
      <w:r w:rsidR="00A5263D">
        <w:rPr>
          <w:rFonts w:ascii="Times New Roman" w:hAnsi="Times New Roman"/>
          <w:sz w:val="22"/>
          <w:szCs w:val="22"/>
        </w:rPr>
        <w:t>,</w:t>
      </w:r>
      <w:r w:rsidRPr="00212B86">
        <w:rPr>
          <w:rFonts w:ascii="Times New Roman" w:hAnsi="Times New Roman"/>
          <w:sz w:val="22"/>
          <w:szCs w:val="22"/>
        </w:rPr>
        <w:t xml:space="preserve"> </w:t>
      </w:r>
      <w:r w:rsidR="00A5263D">
        <w:rPr>
          <w:rFonts w:ascii="Times New Roman" w:hAnsi="Times New Roman"/>
          <w:sz w:val="22"/>
          <w:szCs w:val="22"/>
        </w:rPr>
        <w:t xml:space="preserve">with this, </w:t>
      </w:r>
      <w:r w:rsidRPr="00212B86">
        <w:rPr>
          <w:rFonts w:ascii="Times New Roman" w:hAnsi="Times New Roman"/>
          <w:sz w:val="22"/>
          <w:szCs w:val="22"/>
        </w:rPr>
        <w:t>the amount of shrinkage of estimates of marker effects. In the last level of the hierarchy the regularization parameter is assigned a Gamma prior density. Such treatment allows inferring this important parameter from the data. Collecting the assumptions above described, the joint prior density becomes:</w:t>
      </w:r>
    </w:p>
    <w:p w14:paraId="68B96794" w14:textId="77777777" w:rsidR="00E42F20" w:rsidRPr="00212B86" w:rsidRDefault="00E42F20" w:rsidP="00E42F20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b/>
          <w:i/>
          <w:sz w:val="22"/>
          <w:szCs w:val="22"/>
        </w:rPr>
        <w:t>Prior</w:t>
      </w:r>
      <w:r w:rsidRPr="00212B86">
        <w:rPr>
          <w:rFonts w:ascii="Times New Roman" w:hAnsi="Times New Roman"/>
          <w:sz w:val="22"/>
          <w:szCs w:val="22"/>
        </w:rPr>
        <w:t xml:space="preserve">: </w:t>
      </w:r>
      <w:r w:rsidRPr="00212B86">
        <w:rPr>
          <w:rFonts w:ascii="Times New Roman" w:hAnsi="Times New Roman"/>
          <w:sz w:val="22"/>
          <w:szCs w:val="22"/>
        </w:rPr>
        <w:tab/>
      </w:r>
      <w:r w:rsidRPr="00212B86">
        <w:rPr>
          <w:rFonts w:ascii="Times New Roman" w:hAnsi="Times New Roman"/>
          <w:position w:val="-16"/>
          <w:sz w:val="22"/>
          <w:szCs w:val="22"/>
        </w:rPr>
        <w:object w:dxaOrig="7360" w:dyaOrig="460" w14:anchorId="26CB5627">
          <v:shape id="_x0000_i1058" type="#_x0000_t75" style="width:368pt;height:22pt" o:ole="">
            <v:imagedata r:id="rId73" o:title=""/>
          </v:shape>
          <o:OLEObject Type="Embed" ProgID="Equation.3" ShapeID="_x0000_i1058" DrawAspect="Content" ObjectID="_1276437790" r:id="rId74"/>
        </w:object>
      </w:r>
      <w:r w:rsidR="00B05CCB">
        <w:rPr>
          <w:rFonts w:ascii="Times New Roman" w:hAnsi="Times New Roman"/>
          <w:sz w:val="22"/>
          <w:szCs w:val="22"/>
        </w:rPr>
        <w:t xml:space="preserve">  </w:t>
      </w:r>
      <w:r w:rsidRPr="00212B86">
        <w:rPr>
          <w:rFonts w:ascii="Times New Roman" w:hAnsi="Times New Roman"/>
          <w:sz w:val="22"/>
          <w:szCs w:val="22"/>
        </w:rPr>
        <w:t>(5)</w:t>
      </w:r>
    </w:p>
    <w:p w14:paraId="2BC77E72" w14:textId="77777777" w:rsidR="00E42F20" w:rsidRDefault="00E42F20" w:rsidP="00E42F20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212B86">
        <w:rPr>
          <w:rFonts w:ascii="Times New Roman" w:hAnsi="Times New Roman"/>
          <w:sz w:val="22"/>
          <w:szCs w:val="22"/>
        </w:rPr>
        <w:t xml:space="preserve">Expression </w:t>
      </w:r>
      <w:r w:rsidR="005958BF">
        <w:rPr>
          <w:rFonts w:ascii="Times New Roman" w:hAnsi="Times New Roman"/>
          <w:sz w:val="22"/>
          <w:szCs w:val="22"/>
        </w:rPr>
        <w:t xml:space="preserve">(5) </w:t>
      </w:r>
      <w:r w:rsidRPr="00212B86">
        <w:rPr>
          <w:rFonts w:ascii="Times New Roman" w:hAnsi="Times New Roman"/>
          <w:sz w:val="22"/>
          <w:szCs w:val="22"/>
        </w:rPr>
        <w:t>is indexed by a set of four hyper-parameters</w:t>
      </w:r>
      <w:r w:rsidRPr="00212B86">
        <w:rPr>
          <w:rFonts w:ascii="Times New Roman" w:hAnsi="Times New Roman"/>
          <w:position w:val="-10"/>
          <w:sz w:val="22"/>
          <w:szCs w:val="22"/>
        </w:rPr>
        <w:object w:dxaOrig="1600" w:dyaOrig="340" w14:anchorId="61B4D75B">
          <v:shape id="_x0000_i1059" type="#_x0000_t75" style="width:80pt;height:17pt" o:ole="">
            <v:imagedata r:id="rId75" o:title=""/>
          </v:shape>
          <o:OLEObject Type="Embed" ProgID="Equation.3" ShapeID="_x0000_i1059" DrawAspect="Content" ObjectID="_1276437791" r:id="rId76"/>
        </w:object>
      </w:r>
      <w:r w:rsidRPr="00212B86">
        <w:rPr>
          <w:rFonts w:ascii="Times New Roman" w:hAnsi="Times New Roman"/>
          <w:sz w:val="22"/>
          <w:szCs w:val="22"/>
        </w:rPr>
        <w:t>, a discussion of how these can be chosen is given in Perez et al.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begin"/>
      </w:r>
      <w:r w:rsidR="00084CC4">
        <w:rPr>
          <w:rFonts w:ascii="Times New Roman" w:hAnsi="Times New Roman"/>
          <w:sz w:val="22"/>
          <w:szCs w:val="22"/>
          <w:vertAlign w:val="superscript"/>
        </w:rPr>
        <w:instrText xml:space="preserve"> ADDIN ZOTERO_ITEM CSL_CITATION {"citationID":"nikdsrf95","properties":{"formattedCitation":"[2]","plainCitation":"[2]"},"citationItems":[{"id":49,"uris":["http://zotero.org/users/450951/items/T6PJ5PJM"],"uri":["http://zotero.org/users/450951/items/T6PJ5PJM"],"itemData":{"id":49,"type":"article-journal","title":"Genomic-Enabled Prediction Based on Molecular Markers and Pedigree Using the Bayesian Linear Regression Package in R","container-title":"The Plant Genome Journal","page":"106-116","volume":"3","issue":"2","DOI":"10.3835/plantgenome2010.04.0005","author":[{"family":"Pérez","given":"Paulino"},{"family":"de los Campos","given":"Gustavo"},{"family":"Crossa","given":"José"},{"family":"Gianola","given":"Daniel"}],"issued":{"year":2010},"accessed":{"year":2011,"month":3,"day":15},"page-first":"106"}}],"schema":"https://github.com/citation-style-language/schema/raw/master/csl-citation.json"} </w:instrTex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separate"/>
      </w:r>
      <w:r w:rsidR="00084CC4" w:rsidRPr="00084CC4">
        <w:rPr>
          <w:rFonts w:ascii="Times New Roman" w:hAnsi="Times New Roman"/>
          <w:sz w:val="22"/>
        </w:rPr>
        <w:t>[2]</w:t>
      </w:r>
      <w:r w:rsidR="007F5CF1" w:rsidRPr="00212B86">
        <w:rPr>
          <w:rFonts w:ascii="Times New Roman" w:hAnsi="Times New Roman"/>
          <w:sz w:val="22"/>
          <w:szCs w:val="22"/>
          <w:vertAlign w:val="superscript"/>
        </w:rPr>
        <w:fldChar w:fldCharType="end"/>
      </w:r>
      <w:r w:rsidRPr="00212B86">
        <w:rPr>
          <w:rFonts w:ascii="Times New Roman" w:hAnsi="Times New Roman"/>
          <w:sz w:val="22"/>
          <w:szCs w:val="22"/>
        </w:rPr>
        <w:t xml:space="preserve">.  </w:t>
      </w:r>
    </w:p>
    <w:p w14:paraId="1F4AA18D" w14:textId="77777777" w:rsidR="00363BBF" w:rsidRDefault="00363BBF" w:rsidP="00E42F20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Following Bayes’ theorem the posterior density is proportional to the product of the conditional density of</w:t>
      </w:r>
      <w:r w:rsidR="005958BF">
        <w:rPr>
          <w:rFonts w:ascii="Times New Roman" w:hAnsi="Times New Roman"/>
          <w:sz w:val="22"/>
          <w:szCs w:val="22"/>
        </w:rPr>
        <w:t xml:space="preserve"> the data (4) and the prior (5);</w:t>
      </w:r>
      <w:r>
        <w:rPr>
          <w:rFonts w:ascii="Times New Roman" w:hAnsi="Times New Roman"/>
          <w:sz w:val="22"/>
          <w:szCs w:val="22"/>
        </w:rPr>
        <w:t xml:space="preserve"> therefore,</w:t>
      </w:r>
    </w:p>
    <w:p w14:paraId="0D24524D" w14:textId="77777777" w:rsidR="00363BBF" w:rsidRDefault="00063EF6" w:rsidP="00E42F20">
      <w:pPr>
        <w:spacing w:line="480" w:lineRule="auto"/>
        <w:ind w:firstLine="360"/>
        <w:jc w:val="both"/>
        <w:rPr>
          <w:rFonts w:ascii="Times New Roman" w:hAnsi="Times New Roman"/>
          <w:position w:val="-16"/>
          <w:sz w:val="22"/>
          <w:szCs w:val="22"/>
        </w:rPr>
      </w:pPr>
      <w:r w:rsidRPr="00363BBF">
        <w:rPr>
          <w:rFonts w:ascii="Times New Roman" w:hAnsi="Times New Roman"/>
          <w:position w:val="-94"/>
          <w:sz w:val="22"/>
          <w:szCs w:val="22"/>
        </w:rPr>
        <w:object w:dxaOrig="8120" w:dyaOrig="2260" w14:anchorId="71B698F2">
          <v:shape id="_x0000_i1060" type="#_x0000_t75" style="width:406pt;height:111pt" o:ole="">
            <v:imagedata r:id="rId77" o:title=""/>
          </v:shape>
          <o:OLEObject Type="Embed" ProgID="Equation.3" ShapeID="_x0000_i1060" DrawAspect="Content" ObjectID="_1276437792" r:id="rId78"/>
        </w:object>
      </w:r>
    </w:p>
    <w:p w14:paraId="457610AA" w14:textId="77777777" w:rsidR="00FF6A28" w:rsidRDefault="00A5263D" w:rsidP="00E42F20">
      <w:pPr>
        <w:spacing w:line="480" w:lineRule="auto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posterior density does not have closed form; however, using data-</w:t>
      </w:r>
      <w:r w:rsidR="00063EF6">
        <w:rPr>
          <w:rFonts w:ascii="Times New Roman" w:hAnsi="Times New Roman"/>
          <w:sz w:val="22"/>
          <w:szCs w:val="22"/>
        </w:rPr>
        <w:t>augmentation</w:t>
      </w:r>
      <w:r w:rsidR="00084CC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063EF6">
        <w:rPr>
          <w:rFonts w:ascii="Times New Roman" w:hAnsi="Times New Roman"/>
          <w:sz w:val="22"/>
          <w:szCs w:val="22"/>
        </w:rPr>
        <w:t>we can draw samples from the posterior density using a Gibbs sampler. A modified version of the BLR package</w:t>
      </w:r>
      <w:r w:rsidR="00084CC4">
        <w:rPr>
          <w:rFonts w:ascii="Times New Roman" w:hAnsi="Times New Roman"/>
          <w:sz w:val="22"/>
          <w:szCs w:val="22"/>
        </w:rPr>
        <w:t xml:space="preserve"> </w:t>
      </w:r>
      <w:r w:rsidR="000A4018">
        <w:rPr>
          <w:rFonts w:ascii="Times New Roman" w:hAnsi="Times New Roman"/>
          <w:sz w:val="22"/>
          <w:szCs w:val="22"/>
        </w:rPr>
        <w:t>[27]</w:t>
      </w:r>
      <w:r w:rsidR="00063EF6">
        <w:rPr>
          <w:rFonts w:ascii="Times New Roman" w:hAnsi="Times New Roman"/>
          <w:sz w:val="22"/>
          <w:szCs w:val="22"/>
        </w:rPr>
        <w:t xml:space="preserve"> that handles </w:t>
      </w:r>
      <w:r w:rsidR="00084CC4">
        <w:rPr>
          <w:rFonts w:ascii="Times New Roman" w:hAnsi="Times New Roman"/>
          <w:sz w:val="22"/>
          <w:szCs w:val="22"/>
        </w:rPr>
        <w:t>right, left and interval censored was developed and it is available upon request to the corresponding author.</w:t>
      </w:r>
    </w:p>
    <w:sectPr w:rsidR="00FF6A28" w:rsidSect="00B544E3">
      <w:foot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F25A0" w14:textId="77777777" w:rsidR="002F3B56" w:rsidRDefault="002F3B56" w:rsidP="00FF6A28">
      <w:r>
        <w:separator/>
      </w:r>
    </w:p>
  </w:endnote>
  <w:endnote w:type="continuationSeparator" w:id="0">
    <w:p w14:paraId="6AA61232" w14:textId="77777777" w:rsidR="002F3B56" w:rsidRDefault="002F3B56" w:rsidP="00F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0021"/>
      <w:docPartObj>
        <w:docPartGallery w:val="Page Numbers (Bottom of Page)"/>
        <w:docPartUnique/>
      </w:docPartObj>
    </w:sdtPr>
    <w:sdtEndPr/>
    <w:sdtContent>
      <w:p w14:paraId="3DDE3EA3" w14:textId="77777777" w:rsidR="00FF6A28" w:rsidRDefault="00FF6A28">
        <w:pPr>
          <w:pStyle w:val="Footer"/>
          <w:jc w:val="right"/>
        </w:pPr>
        <w:r>
          <w:t xml:space="preserve">Page | </w:t>
        </w:r>
        <w:r w:rsidR="00AD1DDE">
          <w:fldChar w:fldCharType="begin"/>
        </w:r>
        <w:r w:rsidR="00AD1DDE">
          <w:instrText xml:space="preserve"> PAGE   \* MERGEFORMAT </w:instrText>
        </w:r>
        <w:r w:rsidR="00AD1DDE">
          <w:fldChar w:fldCharType="separate"/>
        </w:r>
        <w:r w:rsidR="00AD1DDE">
          <w:rPr>
            <w:noProof/>
          </w:rPr>
          <w:t>1</w:t>
        </w:r>
        <w:r w:rsidR="00AD1DDE">
          <w:rPr>
            <w:noProof/>
          </w:rPr>
          <w:fldChar w:fldCharType="end"/>
        </w:r>
        <w:r>
          <w:t xml:space="preserve"> </w:t>
        </w:r>
      </w:p>
    </w:sdtContent>
  </w:sdt>
  <w:p w14:paraId="1215C843" w14:textId="77777777" w:rsidR="00FF6A28" w:rsidRDefault="00FF6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626B" w14:textId="77777777" w:rsidR="002F3B56" w:rsidRDefault="002F3B56" w:rsidP="00FF6A28">
      <w:r>
        <w:separator/>
      </w:r>
    </w:p>
  </w:footnote>
  <w:footnote w:type="continuationSeparator" w:id="0">
    <w:p w14:paraId="5E2845EE" w14:textId="77777777" w:rsidR="002F3B56" w:rsidRDefault="002F3B56" w:rsidP="00FF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F20"/>
    <w:rsid w:val="00063EF6"/>
    <w:rsid w:val="00084CC4"/>
    <w:rsid w:val="000A4018"/>
    <w:rsid w:val="001B09E2"/>
    <w:rsid w:val="002F3B56"/>
    <w:rsid w:val="00363BBF"/>
    <w:rsid w:val="00412226"/>
    <w:rsid w:val="005958BF"/>
    <w:rsid w:val="007F5CF1"/>
    <w:rsid w:val="00855929"/>
    <w:rsid w:val="009631B6"/>
    <w:rsid w:val="009B6BA9"/>
    <w:rsid w:val="00A1550A"/>
    <w:rsid w:val="00A5263D"/>
    <w:rsid w:val="00A94B69"/>
    <w:rsid w:val="00AD1DDE"/>
    <w:rsid w:val="00B05CCB"/>
    <w:rsid w:val="00B544E3"/>
    <w:rsid w:val="00C72D39"/>
    <w:rsid w:val="00CF056D"/>
    <w:rsid w:val="00D02CEF"/>
    <w:rsid w:val="00E07968"/>
    <w:rsid w:val="00E42F20"/>
    <w:rsid w:val="00E80B56"/>
    <w:rsid w:val="00F11EBA"/>
    <w:rsid w:val="00F4355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ocId w14:val="526C8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20"/>
    <w:pPr>
      <w:widowControl w:val="0"/>
      <w:suppressAutoHyphens/>
      <w:spacing w:after="0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A28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28"/>
    <w:rPr>
      <w:rFonts w:ascii="Nimbus Roman No9 L" w:eastAsia="DejaVu Sans" w:hAnsi="Nimbus Roman No9 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Relationship Id="rId63" Type="http://schemas.openxmlformats.org/officeDocument/2006/relationships/image" Target="media/image29.wmf"/><Relationship Id="rId64" Type="http://schemas.openxmlformats.org/officeDocument/2006/relationships/oleObject" Target="embeddings/Microsoft_Equation29.bin"/><Relationship Id="rId65" Type="http://schemas.openxmlformats.org/officeDocument/2006/relationships/image" Target="media/image30.wmf"/><Relationship Id="rId66" Type="http://schemas.openxmlformats.org/officeDocument/2006/relationships/oleObject" Target="embeddings/Microsoft_Equation30.bin"/><Relationship Id="rId67" Type="http://schemas.openxmlformats.org/officeDocument/2006/relationships/image" Target="media/image31.wmf"/><Relationship Id="rId68" Type="http://schemas.openxmlformats.org/officeDocument/2006/relationships/oleObject" Target="embeddings/Microsoft_Equation31.bin"/><Relationship Id="rId69" Type="http://schemas.openxmlformats.org/officeDocument/2006/relationships/image" Target="media/image32.wmf"/><Relationship Id="rId50" Type="http://schemas.openxmlformats.org/officeDocument/2006/relationships/oleObject" Target="embeddings/Microsoft_Equation22.bin"/><Relationship Id="rId51" Type="http://schemas.openxmlformats.org/officeDocument/2006/relationships/image" Target="media/image23.wmf"/><Relationship Id="rId52" Type="http://schemas.openxmlformats.org/officeDocument/2006/relationships/oleObject" Target="embeddings/Microsoft_Equation23.bin"/><Relationship Id="rId53" Type="http://schemas.openxmlformats.org/officeDocument/2006/relationships/image" Target="media/image24.wmf"/><Relationship Id="rId54" Type="http://schemas.openxmlformats.org/officeDocument/2006/relationships/oleObject" Target="embeddings/Microsoft_Equation24.bin"/><Relationship Id="rId55" Type="http://schemas.openxmlformats.org/officeDocument/2006/relationships/image" Target="media/image25.wmf"/><Relationship Id="rId56" Type="http://schemas.openxmlformats.org/officeDocument/2006/relationships/oleObject" Target="embeddings/Microsoft_Equation25.bin"/><Relationship Id="rId57" Type="http://schemas.openxmlformats.org/officeDocument/2006/relationships/image" Target="media/image26.wmf"/><Relationship Id="rId58" Type="http://schemas.openxmlformats.org/officeDocument/2006/relationships/oleObject" Target="embeddings/Microsoft_Equation26.bin"/><Relationship Id="rId59" Type="http://schemas.openxmlformats.org/officeDocument/2006/relationships/image" Target="media/image27.wmf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8.w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19.wmf"/><Relationship Id="rId44" Type="http://schemas.openxmlformats.org/officeDocument/2006/relationships/oleObject" Target="embeddings/Microsoft_Equation19.bin"/><Relationship Id="rId45" Type="http://schemas.openxmlformats.org/officeDocument/2006/relationships/image" Target="media/image20.wmf"/><Relationship Id="rId46" Type="http://schemas.openxmlformats.org/officeDocument/2006/relationships/oleObject" Target="embeddings/Microsoft_Equation20.bin"/><Relationship Id="rId47" Type="http://schemas.openxmlformats.org/officeDocument/2006/relationships/image" Target="media/image21.wmf"/><Relationship Id="rId48" Type="http://schemas.openxmlformats.org/officeDocument/2006/relationships/oleObject" Target="embeddings/Microsoft_Equation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w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4.w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w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6.w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7.wmf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oleObject" Target="embeddings/Microsoft_Equation32.bin"/><Relationship Id="rId71" Type="http://schemas.openxmlformats.org/officeDocument/2006/relationships/image" Target="media/image33.wmf"/><Relationship Id="rId72" Type="http://schemas.openxmlformats.org/officeDocument/2006/relationships/oleObject" Target="embeddings/Microsoft_Equation33.bin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wmf"/><Relationship Id="rId73" Type="http://schemas.openxmlformats.org/officeDocument/2006/relationships/image" Target="media/image34.wmf"/><Relationship Id="rId74" Type="http://schemas.openxmlformats.org/officeDocument/2006/relationships/oleObject" Target="embeddings/Microsoft_Equation34.bin"/><Relationship Id="rId75" Type="http://schemas.openxmlformats.org/officeDocument/2006/relationships/image" Target="media/image35.wmf"/><Relationship Id="rId76" Type="http://schemas.openxmlformats.org/officeDocument/2006/relationships/oleObject" Target="embeddings/Microsoft_Equation35.bin"/><Relationship Id="rId77" Type="http://schemas.openxmlformats.org/officeDocument/2006/relationships/image" Target="media/image36.wmf"/><Relationship Id="rId78" Type="http://schemas.openxmlformats.org/officeDocument/2006/relationships/oleObject" Target="embeddings/Microsoft_Equation36.bin"/><Relationship Id="rId79" Type="http://schemas.openxmlformats.org/officeDocument/2006/relationships/footer" Target="footer1.xml"/><Relationship Id="rId60" Type="http://schemas.openxmlformats.org/officeDocument/2006/relationships/oleObject" Target="embeddings/Microsoft_Equation27.bin"/><Relationship Id="rId61" Type="http://schemas.openxmlformats.org/officeDocument/2006/relationships/image" Target="media/image28.wmf"/><Relationship Id="rId62" Type="http://schemas.openxmlformats.org/officeDocument/2006/relationships/oleObject" Target="embeddings/Microsoft_Equation28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de los Campos</dc:creator>
  <cp:lastModifiedBy>Gustavo de los Campos</cp:lastModifiedBy>
  <cp:revision>3</cp:revision>
  <dcterms:created xsi:type="dcterms:W3CDTF">2012-06-29T20:23:00Z</dcterms:created>
  <dcterms:modified xsi:type="dcterms:W3CDTF">2012-06-30T22:15:00Z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zotero-version="3.0.7"&gt;&lt;session id="yNdb66Rm"/&gt;&lt;style id="http://www.zotero.org/styles/plos-genetics" hasBibliography="1" bibliographyStyleHasBeenSet="0"/&gt;&lt;prefs&gt;&lt;pref name="fieldType" value="Field"/&gt;&lt;pref name="storeReferences" val</vt:lpwstr>
  </property>
  <property fmtid="{D5CDD505-2E9C-101B-9397-08002B2CF9AE}" pid="3" name="ZOTERO_PREF_2">
    <vt:lpwstr>ue="true"/&gt;&lt;pref name="noteType" value="0"/&gt;&lt;/prefs&gt;&lt;/data&gt;</vt:lpwstr>
  </property>
</Properties>
</file>