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9C" w:rsidRPr="00A54F84" w:rsidRDefault="0054379C" w:rsidP="0054379C">
      <w:r>
        <w:rPr>
          <w:b/>
        </w:rPr>
        <w:t>Table S2:</w:t>
      </w:r>
      <w:r>
        <w:t xml:space="preserve"> Results of voxel-wise regressions</w:t>
      </w:r>
    </w:p>
    <w:p w:rsidR="0054379C" w:rsidRDefault="0054379C" w:rsidP="0054379C">
      <w:pPr>
        <w:ind w:left="-180" w:right="-270"/>
      </w:pPr>
    </w:p>
    <w:tbl>
      <w:tblPr>
        <w:tblpPr w:leftFromText="180" w:rightFromText="180" w:vertAnchor="page" w:horzAnchor="page" w:tblpX="1729" w:tblpY="216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42"/>
        <w:gridCol w:w="1826"/>
        <w:gridCol w:w="1383"/>
        <w:gridCol w:w="1461"/>
        <w:gridCol w:w="1703"/>
        <w:gridCol w:w="1194"/>
      </w:tblGrid>
      <w:tr w:rsidR="0054379C" w:rsidTr="00F96555">
        <w:trPr>
          <w:trHeight w:val="757"/>
        </w:trPr>
        <w:tc>
          <w:tcPr>
            <w:tcW w:w="16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379C" w:rsidRPr="00006DE2" w:rsidRDefault="0054379C" w:rsidP="00F96555">
            <w:pPr>
              <w:jc w:val="center"/>
              <w:rPr>
                <w:b/>
                <w:sz w:val="22"/>
                <w:szCs w:val="22"/>
              </w:rPr>
            </w:pPr>
            <w:r w:rsidRPr="00006DE2">
              <w:rPr>
                <w:b/>
                <w:sz w:val="22"/>
                <w:szCs w:val="22"/>
              </w:rPr>
              <w:t>Region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379C" w:rsidRPr="00006DE2" w:rsidRDefault="0054379C" w:rsidP="00F96555">
            <w:pPr>
              <w:jc w:val="center"/>
              <w:rPr>
                <w:b/>
                <w:sz w:val="22"/>
                <w:szCs w:val="22"/>
              </w:rPr>
            </w:pPr>
            <w:r w:rsidRPr="00006DE2">
              <w:rPr>
                <w:b/>
                <w:sz w:val="22"/>
                <w:szCs w:val="22"/>
              </w:rPr>
              <w:t>Voxel-wise correlation with</w:t>
            </w:r>
          </w:p>
        </w:tc>
        <w:tc>
          <w:tcPr>
            <w:tcW w:w="13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379C" w:rsidRPr="00006DE2" w:rsidRDefault="0054379C" w:rsidP="00F96555">
            <w:pPr>
              <w:jc w:val="center"/>
              <w:rPr>
                <w:b/>
                <w:sz w:val="22"/>
                <w:szCs w:val="22"/>
              </w:rPr>
            </w:pPr>
            <w:r w:rsidRPr="00006DE2">
              <w:rPr>
                <w:b/>
                <w:sz w:val="22"/>
                <w:szCs w:val="22"/>
              </w:rPr>
              <w:t>Cluster volume (mm</w:t>
            </w:r>
            <w:r w:rsidRPr="00006DE2">
              <w:rPr>
                <w:b/>
                <w:sz w:val="22"/>
                <w:szCs w:val="22"/>
                <w:vertAlign w:val="superscript"/>
              </w:rPr>
              <w:t>3</w:t>
            </w:r>
            <w:r w:rsidRPr="00006DE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379C" w:rsidRPr="00006DE2" w:rsidRDefault="0054379C" w:rsidP="00F96555">
            <w:pPr>
              <w:jc w:val="center"/>
              <w:rPr>
                <w:b/>
                <w:sz w:val="22"/>
                <w:szCs w:val="22"/>
              </w:rPr>
            </w:pPr>
            <w:r w:rsidRPr="00006DE2">
              <w:rPr>
                <w:b/>
                <w:sz w:val="22"/>
                <w:szCs w:val="22"/>
              </w:rPr>
              <w:t>Cluster p-value (corrected)</w:t>
            </w:r>
          </w:p>
        </w:tc>
        <w:tc>
          <w:tcPr>
            <w:tcW w:w="17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379C" w:rsidRPr="00006DE2" w:rsidRDefault="0054379C" w:rsidP="00F96555">
            <w:pPr>
              <w:jc w:val="center"/>
              <w:rPr>
                <w:b/>
                <w:sz w:val="22"/>
                <w:szCs w:val="22"/>
              </w:rPr>
            </w:pPr>
            <w:r w:rsidRPr="00006DE2">
              <w:rPr>
                <w:b/>
                <w:sz w:val="22"/>
                <w:szCs w:val="22"/>
              </w:rPr>
              <w:t>Coordinates of cluster peak</w:t>
            </w:r>
          </w:p>
        </w:tc>
        <w:tc>
          <w:tcPr>
            <w:tcW w:w="11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4379C" w:rsidRPr="00006DE2" w:rsidRDefault="0054379C" w:rsidP="00F96555">
            <w:pPr>
              <w:jc w:val="center"/>
              <w:rPr>
                <w:b/>
                <w:sz w:val="22"/>
                <w:szCs w:val="22"/>
              </w:rPr>
            </w:pPr>
            <w:r w:rsidRPr="00006DE2">
              <w:rPr>
                <w:b/>
                <w:sz w:val="22"/>
                <w:szCs w:val="22"/>
              </w:rPr>
              <w:t>Peak voxel t-value</w:t>
            </w:r>
          </w:p>
        </w:tc>
      </w:tr>
      <w:tr w:rsidR="0054379C" w:rsidTr="00F96555">
        <w:trPr>
          <w:trHeight w:val="757"/>
        </w:trPr>
        <w:tc>
          <w:tcPr>
            <w:tcW w:w="1642" w:type="dxa"/>
            <w:tcBorders>
              <w:top w:val="double" w:sz="4" w:space="0" w:color="auto"/>
            </w:tcBorders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proofErr w:type="gramStart"/>
            <w:r w:rsidRPr="00006DE2">
              <w:rPr>
                <w:sz w:val="22"/>
                <w:szCs w:val="22"/>
              </w:rPr>
              <w:t>anterior</w:t>
            </w:r>
            <w:proofErr w:type="gramEnd"/>
            <w:r w:rsidRPr="00006DE2">
              <w:rPr>
                <w:sz w:val="22"/>
                <w:szCs w:val="22"/>
              </w:rPr>
              <w:t xml:space="preserve"> insula/superior temporal </w:t>
            </w:r>
            <w:proofErr w:type="spellStart"/>
            <w:r w:rsidRPr="00006DE2">
              <w:rPr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826" w:type="dxa"/>
            <w:tcBorders>
              <w:top w:val="double" w:sz="4" w:space="0" w:color="auto"/>
            </w:tcBorders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Ag-Meth EOS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1896</w:t>
            </w:r>
          </w:p>
        </w:tc>
        <w:tc>
          <w:tcPr>
            <w:tcW w:w="1461" w:type="dxa"/>
            <w:tcBorders>
              <w:top w:val="double" w:sz="4" w:space="0" w:color="auto"/>
            </w:tcBorders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&lt; .001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006D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Pr="00006DE2">
              <w:rPr>
                <w:sz w:val="22"/>
                <w:szCs w:val="22"/>
              </w:rPr>
              <w:t>, -12</w:t>
            </w:r>
          </w:p>
        </w:tc>
        <w:tc>
          <w:tcPr>
            <w:tcW w:w="1194" w:type="dxa"/>
            <w:tcBorders>
              <w:top w:val="double" w:sz="4" w:space="0" w:color="auto"/>
            </w:tcBorders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4.01</w:t>
            </w:r>
          </w:p>
        </w:tc>
      </w:tr>
      <w:tr w:rsidR="0054379C" w:rsidTr="00F96555">
        <w:trPr>
          <w:trHeight w:val="242"/>
        </w:trPr>
        <w:tc>
          <w:tcPr>
            <w:tcW w:w="1642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proofErr w:type="gramStart"/>
            <w:r w:rsidRPr="00006DE2">
              <w:rPr>
                <w:sz w:val="22"/>
                <w:szCs w:val="22"/>
              </w:rPr>
              <w:t>posterior</w:t>
            </w:r>
            <w:proofErr w:type="gramEnd"/>
            <w:r w:rsidRPr="00006DE2">
              <w:rPr>
                <w:sz w:val="22"/>
                <w:szCs w:val="22"/>
              </w:rPr>
              <w:t xml:space="preserve"> insula</w:t>
            </w:r>
          </w:p>
        </w:tc>
        <w:tc>
          <w:tcPr>
            <w:tcW w:w="1826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Ag-Meth EOS</w:t>
            </w:r>
          </w:p>
        </w:tc>
        <w:tc>
          <w:tcPr>
            <w:tcW w:w="1383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432</w:t>
            </w:r>
          </w:p>
        </w:tc>
        <w:tc>
          <w:tcPr>
            <w:tcW w:w="1461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.001</w:t>
            </w:r>
          </w:p>
        </w:tc>
        <w:tc>
          <w:tcPr>
            <w:tcW w:w="1703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51 -28 16</w:t>
            </w:r>
          </w:p>
        </w:tc>
        <w:tc>
          <w:tcPr>
            <w:tcW w:w="1194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3.37</w:t>
            </w:r>
          </w:p>
        </w:tc>
      </w:tr>
      <w:tr w:rsidR="0054379C" w:rsidTr="00F96555">
        <w:trPr>
          <w:trHeight w:val="242"/>
        </w:trPr>
        <w:tc>
          <w:tcPr>
            <w:tcW w:w="1642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proofErr w:type="gramStart"/>
            <w:r w:rsidRPr="00006DE2">
              <w:rPr>
                <w:sz w:val="22"/>
                <w:szCs w:val="22"/>
              </w:rPr>
              <w:t>mid</w:t>
            </w:r>
            <w:proofErr w:type="gramEnd"/>
            <w:r w:rsidRPr="00006DE2">
              <w:rPr>
                <w:sz w:val="22"/>
                <w:szCs w:val="22"/>
              </w:rPr>
              <w:t>-insula</w:t>
            </w:r>
          </w:p>
        </w:tc>
        <w:tc>
          <w:tcPr>
            <w:tcW w:w="1826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Ag-Meth FEV</w:t>
            </w:r>
          </w:p>
        </w:tc>
        <w:tc>
          <w:tcPr>
            <w:tcW w:w="1383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560</w:t>
            </w:r>
          </w:p>
        </w:tc>
        <w:tc>
          <w:tcPr>
            <w:tcW w:w="1461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&lt; .001</w:t>
            </w:r>
          </w:p>
        </w:tc>
        <w:tc>
          <w:tcPr>
            <w:tcW w:w="1703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 -7</w:t>
            </w:r>
            <w:r w:rsidRPr="00006D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94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-3.43*</w:t>
            </w:r>
          </w:p>
        </w:tc>
      </w:tr>
      <w:tr w:rsidR="0054379C" w:rsidTr="00F96555">
        <w:trPr>
          <w:trHeight w:val="257"/>
        </w:trPr>
        <w:tc>
          <w:tcPr>
            <w:tcW w:w="1642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proofErr w:type="gramStart"/>
            <w:r w:rsidRPr="00006DE2">
              <w:rPr>
                <w:sz w:val="22"/>
                <w:szCs w:val="22"/>
              </w:rPr>
              <w:t>mid</w:t>
            </w:r>
            <w:proofErr w:type="gramEnd"/>
            <w:r w:rsidRPr="00006DE2">
              <w:rPr>
                <w:sz w:val="22"/>
                <w:szCs w:val="22"/>
              </w:rPr>
              <w:t>- to posterior insula</w:t>
            </w:r>
          </w:p>
        </w:tc>
        <w:tc>
          <w:tcPr>
            <w:tcW w:w="1826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proofErr w:type="gramStart"/>
            <w:r w:rsidRPr="00006DE2">
              <w:rPr>
                <w:sz w:val="22"/>
                <w:szCs w:val="22"/>
              </w:rPr>
              <w:t>Ag(</w:t>
            </w:r>
            <w:proofErr w:type="gramEnd"/>
            <w:r w:rsidRPr="00006DE2">
              <w:rPr>
                <w:sz w:val="22"/>
                <w:szCs w:val="22"/>
              </w:rPr>
              <w:t>As-Ng)-Meth(As-Ng) RT</w:t>
            </w:r>
          </w:p>
        </w:tc>
        <w:tc>
          <w:tcPr>
            <w:tcW w:w="1383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4472</w:t>
            </w:r>
          </w:p>
        </w:tc>
        <w:tc>
          <w:tcPr>
            <w:tcW w:w="1461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&lt; .001</w:t>
            </w:r>
          </w:p>
        </w:tc>
        <w:tc>
          <w:tcPr>
            <w:tcW w:w="1703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40, -2, 19</w:t>
            </w:r>
          </w:p>
        </w:tc>
        <w:tc>
          <w:tcPr>
            <w:tcW w:w="1194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4.33</w:t>
            </w:r>
          </w:p>
        </w:tc>
      </w:tr>
      <w:tr w:rsidR="0054379C" w:rsidTr="00F96555">
        <w:trPr>
          <w:trHeight w:val="257"/>
        </w:trPr>
        <w:tc>
          <w:tcPr>
            <w:tcW w:w="1642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proofErr w:type="gramStart"/>
            <w:r w:rsidRPr="00006DE2">
              <w:rPr>
                <w:sz w:val="22"/>
                <w:szCs w:val="22"/>
              </w:rPr>
              <w:t>medial</w:t>
            </w:r>
            <w:proofErr w:type="gramEnd"/>
            <w:r w:rsidRPr="00006DE2">
              <w:rPr>
                <w:sz w:val="22"/>
                <w:szCs w:val="22"/>
              </w:rPr>
              <w:t xml:space="preserve"> frontal </w:t>
            </w:r>
            <w:proofErr w:type="spellStart"/>
            <w:r w:rsidRPr="00006DE2">
              <w:rPr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826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Ag-Meth EOS</w:t>
            </w:r>
          </w:p>
        </w:tc>
        <w:tc>
          <w:tcPr>
            <w:tcW w:w="1383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1336</w:t>
            </w:r>
          </w:p>
        </w:tc>
        <w:tc>
          <w:tcPr>
            <w:tcW w:w="1461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&lt; .001</w:t>
            </w:r>
          </w:p>
        </w:tc>
        <w:tc>
          <w:tcPr>
            <w:tcW w:w="1703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 -19, 58</w:t>
            </w:r>
          </w:p>
        </w:tc>
        <w:tc>
          <w:tcPr>
            <w:tcW w:w="1194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5.52</w:t>
            </w:r>
          </w:p>
        </w:tc>
      </w:tr>
      <w:tr w:rsidR="0054379C" w:rsidTr="00F96555">
        <w:trPr>
          <w:trHeight w:val="257"/>
        </w:trPr>
        <w:tc>
          <w:tcPr>
            <w:tcW w:w="1642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06DE2">
              <w:rPr>
                <w:sz w:val="22"/>
                <w:szCs w:val="22"/>
              </w:rPr>
              <w:t>postcentral</w:t>
            </w:r>
            <w:proofErr w:type="spellEnd"/>
            <w:proofErr w:type="gramEnd"/>
            <w:r w:rsidRPr="00006DE2">
              <w:rPr>
                <w:sz w:val="22"/>
                <w:szCs w:val="22"/>
              </w:rPr>
              <w:t xml:space="preserve"> </w:t>
            </w:r>
            <w:proofErr w:type="spellStart"/>
            <w:r w:rsidRPr="00006DE2">
              <w:rPr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826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Ag-Meth EOS</w:t>
            </w:r>
          </w:p>
        </w:tc>
        <w:tc>
          <w:tcPr>
            <w:tcW w:w="1383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2192</w:t>
            </w:r>
          </w:p>
        </w:tc>
        <w:tc>
          <w:tcPr>
            <w:tcW w:w="1461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&lt; .001</w:t>
            </w:r>
          </w:p>
        </w:tc>
        <w:tc>
          <w:tcPr>
            <w:tcW w:w="1703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 -17, 14</w:t>
            </w:r>
          </w:p>
        </w:tc>
        <w:tc>
          <w:tcPr>
            <w:tcW w:w="1194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4.90</w:t>
            </w:r>
          </w:p>
        </w:tc>
      </w:tr>
      <w:tr w:rsidR="0054379C" w:rsidTr="00F96555">
        <w:trPr>
          <w:trHeight w:val="242"/>
        </w:trPr>
        <w:tc>
          <w:tcPr>
            <w:tcW w:w="1642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06DE2">
              <w:rPr>
                <w:sz w:val="22"/>
                <w:szCs w:val="22"/>
              </w:rPr>
              <w:t>precuneus</w:t>
            </w:r>
            <w:proofErr w:type="spellEnd"/>
            <w:proofErr w:type="gramEnd"/>
          </w:p>
        </w:tc>
        <w:tc>
          <w:tcPr>
            <w:tcW w:w="1826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Ag-Meth EOS</w:t>
            </w:r>
          </w:p>
        </w:tc>
        <w:tc>
          <w:tcPr>
            <w:tcW w:w="1383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5368</w:t>
            </w:r>
          </w:p>
        </w:tc>
        <w:tc>
          <w:tcPr>
            <w:tcW w:w="1461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&lt; .001</w:t>
            </w:r>
          </w:p>
        </w:tc>
        <w:tc>
          <w:tcPr>
            <w:tcW w:w="1703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-70</w:t>
            </w:r>
            <w:r w:rsidRPr="00006D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194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4.97</w:t>
            </w:r>
          </w:p>
        </w:tc>
      </w:tr>
      <w:tr w:rsidR="0054379C" w:rsidTr="00F96555">
        <w:trPr>
          <w:trHeight w:val="242"/>
        </w:trPr>
        <w:tc>
          <w:tcPr>
            <w:tcW w:w="1642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proofErr w:type="gramStart"/>
            <w:r w:rsidRPr="00006DE2">
              <w:rPr>
                <w:sz w:val="22"/>
                <w:szCs w:val="22"/>
              </w:rPr>
              <w:t>superior</w:t>
            </w:r>
            <w:proofErr w:type="gramEnd"/>
            <w:r w:rsidRPr="00006DE2">
              <w:rPr>
                <w:sz w:val="22"/>
                <w:szCs w:val="22"/>
              </w:rPr>
              <w:t xml:space="preserve"> frontal </w:t>
            </w:r>
            <w:proofErr w:type="spellStart"/>
            <w:r w:rsidRPr="00006DE2">
              <w:rPr>
                <w:sz w:val="22"/>
                <w:szCs w:val="22"/>
              </w:rPr>
              <w:t>gyrus</w:t>
            </w:r>
            <w:proofErr w:type="spellEnd"/>
          </w:p>
        </w:tc>
        <w:tc>
          <w:tcPr>
            <w:tcW w:w="1826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proofErr w:type="gramStart"/>
            <w:r w:rsidRPr="00006DE2">
              <w:rPr>
                <w:sz w:val="22"/>
                <w:szCs w:val="22"/>
              </w:rPr>
              <w:t>Ag(</w:t>
            </w:r>
            <w:proofErr w:type="gramEnd"/>
            <w:r w:rsidRPr="00006DE2">
              <w:rPr>
                <w:sz w:val="22"/>
                <w:szCs w:val="22"/>
              </w:rPr>
              <w:t>As-Ng)-Meth(As-Ng) RT</w:t>
            </w:r>
          </w:p>
        </w:tc>
        <w:tc>
          <w:tcPr>
            <w:tcW w:w="1383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1536</w:t>
            </w:r>
          </w:p>
        </w:tc>
        <w:tc>
          <w:tcPr>
            <w:tcW w:w="1461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 w:rsidRPr="00006DE2">
              <w:rPr>
                <w:sz w:val="22"/>
                <w:szCs w:val="22"/>
              </w:rPr>
              <w:t>&lt; .001</w:t>
            </w:r>
          </w:p>
        </w:tc>
        <w:tc>
          <w:tcPr>
            <w:tcW w:w="1703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14, 43, 57</w:t>
            </w:r>
          </w:p>
        </w:tc>
        <w:tc>
          <w:tcPr>
            <w:tcW w:w="1194" w:type="dxa"/>
            <w:vAlign w:val="center"/>
          </w:tcPr>
          <w:p w:rsidR="0054379C" w:rsidRPr="00006DE2" w:rsidRDefault="0054379C" w:rsidP="00F96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-4.58</w:t>
            </w:r>
          </w:p>
        </w:tc>
      </w:tr>
    </w:tbl>
    <w:p w:rsidR="0054379C" w:rsidRDefault="0054379C" w:rsidP="0054379C">
      <w:pPr>
        <w:ind w:right="-270"/>
      </w:pPr>
    </w:p>
    <w:p w:rsidR="0054379C" w:rsidRDefault="0054379C" w:rsidP="0054379C">
      <w:pPr>
        <w:ind w:right="-270"/>
      </w:pPr>
      <w:r>
        <w:t xml:space="preserve">These clusters were identified using whole-brain voxel-wise regressions, where percent signal change in response to asthma words, relative to negative words, during antigen, compared to </w:t>
      </w:r>
      <w:proofErr w:type="spellStart"/>
      <w:r>
        <w:t>methacholine</w:t>
      </w:r>
      <w:proofErr w:type="spellEnd"/>
      <w:r>
        <w:t xml:space="preserve"> challenge (</w:t>
      </w:r>
      <w:proofErr w:type="gramStart"/>
      <w:r>
        <w:t>Ag(</w:t>
      </w:r>
      <w:proofErr w:type="gramEnd"/>
      <w:r>
        <w:t>As-Ng) – Meth(As-Ng)) was used to predict the metric of peripheral biology or behavior indicated. A</w:t>
      </w:r>
      <w:r w:rsidRPr="0070161B">
        <w:t xml:space="preserve"> voxel-wise threshold of p ≤ 0.0</w:t>
      </w:r>
      <w:r>
        <w:t xml:space="preserve">1 </w:t>
      </w:r>
      <w:r w:rsidRPr="0070161B">
        <w:t xml:space="preserve">uncorrected </w:t>
      </w:r>
      <w:r>
        <w:t>was used</w:t>
      </w:r>
      <w:r w:rsidRPr="0070161B">
        <w:t xml:space="preserve">, when </w:t>
      </w:r>
      <w:r>
        <w:t>identifying</w:t>
      </w:r>
      <w:r w:rsidRPr="0070161B">
        <w:t xml:space="preserve"> clusters </w:t>
      </w:r>
      <w:r>
        <w:t>throughout the brain</w:t>
      </w:r>
      <w:r w:rsidRPr="0070161B">
        <w:t>.</w:t>
      </w:r>
      <w:r>
        <w:t xml:space="preserve"> </w:t>
      </w:r>
      <w:r w:rsidRPr="0070161B">
        <w:t xml:space="preserve">After clusters were identified at the given thresholds, Monte Carlo simulation was used </w:t>
      </w:r>
      <w:r>
        <w:t>to correct for multiple comparisons. Coordinates are reported in Montreal Neurological Institute (MNI) Space.</w:t>
      </w:r>
    </w:p>
    <w:p w:rsidR="0054379C" w:rsidRDefault="0054379C" w:rsidP="0054379C">
      <w:r>
        <w:t xml:space="preserve">* Note that the peak voxel in this cluster is most likely located in the </w:t>
      </w:r>
      <w:proofErr w:type="spellStart"/>
      <w:r>
        <w:t>precentral</w:t>
      </w:r>
      <w:proofErr w:type="spellEnd"/>
      <w:r>
        <w:t xml:space="preserve"> </w:t>
      </w:r>
      <w:proofErr w:type="spellStart"/>
      <w:r>
        <w:t>gyrus</w:t>
      </w:r>
      <w:proofErr w:type="spellEnd"/>
      <w:r>
        <w:t>, though the majority of the cluster is located in the insula, with a second peak at (40, -3, 15).</w:t>
      </w:r>
    </w:p>
    <w:p w:rsidR="00F41ABE" w:rsidRDefault="00F41ABE">
      <w:bookmarkStart w:id="0" w:name="_GoBack"/>
      <w:bookmarkEnd w:id="0"/>
    </w:p>
    <w:sectPr w:rsidR="00F41ABE" w:rsidSect="00F41A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9C"/>
    <w:rsid w:val="0054379C"/>
    <w:rsid w:val="00F41A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C46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9C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9C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Macintosh Word</Application>
  <DocSecurity>0</DocSecurity>
  <Lines>10</Lines>
  <Paragraphs>2</Paragraphs>
  <ScaleCrop>false</ScaleCrop>
  <Company>The University of Wisconsin - Madison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1</cp:revision>
  <dcterms:created xsi:type="dcterms:W3CDTF">2012-07-10T17:21:00Z</dcterms:created>
  <dcterms:modified xsi:type="dcterms:W3CDTF">2012-07-10T17:21:00Z</dcterms:modified>
</cp:coreProperties>
</file>