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A" w:rsidRDefault="003B43E3" w:rsidP="00A14B9A">
      <w:pPr>
        <w:spacing w:line="480" w:lineRule="auto"/>
        <w:contextualSpacing/>
        <w:rPr>
          <w:rFonts w:ascii="Times New Roman" w:hAnsi="Times New Roman"/>
          <w:lang w:val="en-US"/>
        </w:rPr>
      </w:pPr>
      <w:r w:rsidRPr="00A14B9A">
        <w:rPr>
          <w:rFonts w:ascii="Times New Roman" w:hAnsi="Times New Roman"/>
          <w:b/>
          <w:lang w:val="en-US"/>
        </w:rPr>
        <w:t>Table S1 Results of the Principal Components Analysis (PCA) of the proximal ulna.</w:t>
      </w:r>
      <w:r w:rsidRPr="00A14B9A">
        <w:rPr>
          <w:rFonts w:ascii="Times New Roman" w:hAnsi="Times New Roman"/>
          <w:lang w:val="en-US"/>
        </w:rPr>
        <w:t xml:space="preserve"> This PCA analysis is based on eight </w:t>
      </w:r>
      <w:proofErr w:type="spellStart"/>
      <w:r w:rsidRPr="00A14B9A">
        <w:rPr>
          <w:rFonts w:ascii="Times New Roman" w:hAnsi="Times New Roman"/>
          <w:lang w:val="en-US"/>
        </w:rPr>
        <w:t>Mosimann</w:t>
      </w:r>
      <w:proofErr w:type="spellEnd"/>
      <w:r w:rsidRPr="00A14B9A">
        <w:rPr>
          <w:rFonts w:ascii="Times New Roman" w:hAnsi="Times New Roman"/>
          <w:lang w:val="en-US"/>
        </w:rPr>
        <w:t xml:space="preserve"> shape variables, computed from the mean values for the following eight linear measurements [42], by dividing them by their geometric mean (GM) and applying logarithms (</w:t>
      </w:r>
      <w:proofErr w:type="spellStart"/>
      <w:r w:rsidRPr="00A14B9A">
        <w:rPr>
          <w:rFonts w:ascii="Times New Roman" w:hAnsi="Times New Roman"/>
          <w:lang w:val="en-US"/>
        </w:rPr>
        <w:t>ln</w:t>
      </w:r>
      <w:proofErr w:type="spellEnd"/>
      <w:r w:rsidRPr="00A14B9A">
        <w:rPr>
          <w:rFonts w:ascii="Times New Roman" w:hAnsi="Times New Roman"/>
          <w:lang w:val="en-US"/>
        </w:rPr>
        <w:t>): PAP, proximal shaft height (</w:t>
      </w:r>
      <w:proofErr w:type="spellStart"/>
      <w:r w:rsidRPr="00A14B9A">
        <w:rPr>
          <w:rFonts w:ascii="Times New Roman" w:hAnsi="Times New Roman"/>
          <w:lang w:val="en-US"/>
        </w:rPr>
        <w:t>anteroposterior</w:t>
      </w:r>
      <w:proofErr w:type="spellEnd"/>
      <w:r w:rsidRPr="00A14B9A">
        <w:rPr>
          <w:rFonts w:ascii="Times New Roman" w:hAnsi="Times New Roman"/>
          <w:lang w:val="en-US"/>
        </w:rPr>
        <w:t xml:space="preserve">); PSML, proximal shaft </w:t>
      </w:r>
      <w:proofErr w:type="spellStart"/>
      <w:r w:rsidRPr="00A14B9A">
        <w:rPr>
          <w:rFonts w:ascii="Times New Roman" w:hAnsi="Times New Roman"/>
          <w:lang w:val="en-US"/>
        </w:rPr>
        <w:t>mediolateral</w:t>
      </w:r>
      <w:proofErr w:type="spellEnd"/>
      <w:r w:rsidRPr="00A14B9A">
        <w:rPr>
          <w:rFonts w:ascii="Times New Roman" w:hAnsi="Times New Roman"/>
          <w:lang w:val="en-US"/>
        </w:rPr>
        <w:t xml:space="preserve"> diameter; PAB, proximal </w:t>
      </w:r>
      <w:proofErr w:type="spellStart"/>
      <w:r w:rsidRPr="00A14B9A">
        <w:rPr>
          <w:rFonts w:ascii="Times New Roman" w:hAnsi="Times New Roman"/>
          <w:lang w:val="en-US"/>
        </w:rPr>
        <w:t>articular</w:t>
      </w:r>
      <w:proofErr w:type="spellEnd"/>
      <w:r w:rsidRPr="00A14B9A">
        <w:rPr>
          <w:rFonts w:ascii="Times New Roman" w:hAnsi="Times New Roman"/>
          <w:lang w:val="en-US"/>
        </w:rPr>
        <w:t xml:space="preserve"> breadth; TAB, </w:t>
      </w:r>
      <w:proofErr w:type="spellStart"/>
      <w:r w:rsidRPr="00A14B9A">
        <w:rPr>
          <w:rFonts w:ascii="Times New Roman" w:hAnsi="Times New Roman"/>
          <w:lang w:val="en-US"/>
        </w:rPr>
        <w:t>trochlear</w:t>
      </w:r>
      <w:proofErr w:type="spellEnd"/>
      <w:r w:rsidRPr="00A14B9A">
        <w:rPr>
          <w:rFonts w:ascii="Times New Roman" w:hAnsi="Times New Roman"/>
          <w:lang w:val="en-US"/>
        </w:rPr>
        <w:t xml:space="preserve"> </w:t>
      </w:r>
      <w:proofErr w:type="spellStart"/>
      <w:r w:rsidRPr="00A14B9A">
        <w:rPr>
          <w:rFonts w:ascii="Times New Roman" w:hAnsi="Times New Roman"/>
          <w:lang w:val="en-US"/>
        </w:rPr>
        <w:t>articular</w:t>
      </w:r>
      <w:proofErr w:type="spellEnd"/>
      <w:r w:rsidRPr="00A14B9A">
        <w:rPr>
          <w:rFonts w:ascii="Times New Roman" w:hAnsi="Times New Roman"/>
          <w:lang w:val="en-US"/>
        </w:rPr>
        <w:t xml:space="preserve"> breadth; RAP; radial notch </w:t>
      </w:r>
      <w:proofErr w:type="spellStart"/>
      <w:r w:rsidRPr="00A14B9A">
        <w:rPr>
          <w:rFonts w:ascii="Times New Roman" w:hAnsi="Times New Roman"/>
          <w:lang w:val="en-US"/>
        </w:rPr>
        <w:t>anteroposterior</w:t>
      </w:r>
      <w:proofErr w:type="spellEnd"/>
      <w:r w:rsidRPr="00A14B9A">
        <w:rPr>
          <w:rFonts w:ascii="Times New Roman" w:hAnsi="Times New Roman"/>
          <w:lang w:val="en-US"/>
        </w:rPr>
        <w:t xml:space="preserve"> diameter; RPD, radial notch </w:t>
      </w:r>
      <w:proofErr w:type="spellStart"/>
      <w:r w:rsidRPr="00A14B9A">
        <w:rPr>
          <w:rFonts w:ascii="Times New Roman" w:hAnsi="Times New Roman"/>
          <w:lang w:val="en-US"/>
        </w:rPr>
        <w:t>proximodistal</w:t>
      </w:r>
      <w:proofErr w:type="spellEnd"/>
      <w:r w:rsidRPr="00A14B9A">
        <w:rPr>
          <w:rFonts w:ascii="Times New Roman" w:hAnsi="Times New Roman"/>
          <w:lang w:val="en-US"/>
        </w:rPr>
        <w:t xml:space="preserve"> diameter; PAAD, proximal </w:t>
      </w:r>
      <w:proofErr w:type="spellStart"/>
      <w:r w:rsidRPr="00A14B9A">
        <w:rPr>
          <w:rFonts w:ascii="Times New Roman" w:hAnsi="Times New Roman"/>
          <w:lang w:val="en-US"/>
        </w:rPr>
        <w:t>articular</w:t>
      </w:r>
      <w:proofErr w:type="spellEnd"/>
      <w:r w:rsidRPr="00A14B9A">
        <w:rPr>
          <w:rFonts w:ascii="Times New Roman" w:hAnsi="Times New Roman"/>
          <w:lang w:val="en-US"/>
        </w:rPr>
        <w:t xml:space="preserve"> </w:t>
      </w:r>
      <w:proofErr w:type="spellStart"/>
      <w:r w:rsidRPr="00A14B9A">
        <w:rPr>
          <w:rFonts w:ascii="Times New Roman" w:hAnsi="Times New Roman"/>
          <w:lang w:val="en-US"/>
        </w:rPr>
        <w:t>anteroposterior</w:t>
      </w:r>
      <w:proofErr w:type="spellEnd"/>
      <w:r w:rsidRPr="00A14B9A">
        <w:rPr>
          <w:rFonts w:ascii="Times New Roman" w:hAnsi="Times New Roman"/>
          <w:lang w:val="en-US"/>
        </w:rPr>
        <w:t xml:space="preserve"> diameter; SND, sigmoid notch depth. </w:t>
      </w:r>
      <w:r w:rsidR="00A14B9A">
        <w:rPr>
          <w:rFonts w:ascii="Times New Roman" w:hAnsi="Times New Roman"/>
          <w:lang w:val="en-US"/>
        </w:rPr>
        <w:t xml:space="preserve">Only those PCs explaining more than 1% of variance have been depicted. </w:t>
      </w:r>
      <w:r w:rsidRPr="00A14B9A">
        <w:rPr>
          <w:rFonts w:ascii="Times New Roman" w:hAnsi="Times New Roman"/>
          <w:lang w:val="en-US"/>
        </w:rPr>
        <w:t>The first (PC1) and second (PC2) principal components (see Figure 11) explain more than 85% of the variance</w:t>
      </w:r>
      <w:r w:rsidRPr="00A14B9A">
        <w:rPr>
          <w:rFonts w:ascii="Times New Roman" w:hAnsi="Times New Roman"/>
          <w:lang w:val="en-US"/>
        </w:rPr>
        <w:t>. S</w:t>
      </w:r>
      <w:r w:rsidRPr="00A14B9A">
        <w:rPr>
          <w:rFonts w:ascii="Times New Roman" w:hAnsi="Times New Roman"/>
          <w:lang w:val="en-US"/>
        </w:rPr>
        <w:t xml:space="preserve">ee main text for a </w:t>
      </w:r>
      <w:proofErr w:type="spellStart"/>
      <w:r w:rsidRPr="00A14B9A">
        <w:rPr>
          <w:rFonts w:ascii="Times New Roman" w:hAnsi="Times New Roman"/>
          <w:lang w:val="en-US"/>
        </w:rPr>
        <w:t>morphofunctional</w:t>
      </w:r>
      <w:proofErr w:type="spellEnd"/>
      <w:r w:rsidRPr="00A14B9A">
        <w:rPr>
          <w:rFonts w:ascii="Times New Roman" w:hAnsi="Times New Roman"/>
          <w:lang w:val="en-US"/>
        </w:rPr>
        <w:t xml:space="preserve"> interpretation.</w:t>
      </w:r>
    </w:p>
    <w:p w:rsidR="00A14B9A" w:rsidRDefault="00A14B9A" w:rsidP="00A14B9A">
      <w:pPr>
        <w:spacing w:line="480" w:lineRule="auto"/>
        <w:contextualSpacing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00"/>
        <w:gridCol w:w="1343"/>
        <w:gridCol w:w="1343"/>
        <w:gridCol w:w="1343"/>
        <w:gridCol w:w="1343"/>
        <w:gridCol w:w="1344"/>
      </w:tblGrid>
      <w:tr w:rsidR="00D2340C" w:rsidTr="00D2340C"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PC1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PC2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PC3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PC4</w:t>
            </w:r>
          </w:p>
        </w:tc>
        <w:tc>
          <w:tcPr>
            <w:tcW w:w="13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PC5</w:t>
            </w:r>
          </w:p>
        </w:tc>
      </w:tr>
      <w:tr w:rsidR="00D2340C" w:rsidTr="00D2340C">
        <w:tc>
          <w:tcPr>
            <w:tcW w:w="1800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lang w:val="en-US" w:eastAsia="es-ES_tradnl"/>
              </w:rPr>
            </w:pPr>
            <w:proofErr w:type="spellStart"/>
            <w:r w:rsidRPr="00A14B9A">
              <w:rPr>
                <w:rFonts w:ascii="Times New Roman" w:hAnsi="Times New Roman"/>
                <w:b/>
                <w:bCs/>
                <w:color w:val="000000"/>
                <w:lang w:val="en-US" w:eastAsia="es-ES_tradnl"/>
              </w:rPr>
              <w:t>Eigenvalue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0.10164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0.05555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0.01472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0.00878</w:t>
            </w:r>
          </w:p>
        </w:tc>
        <w:tc>
          <w:tcPr>
            <w:tcW w:w="1344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0.0018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8</w:t>
            </w:r>
          </w:p>
        </w:tc>
      </w:tr>
      <w:tr w:rsidR="00D2340C" w:rsidTr="00D2340C"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bCs/>
                <w:color w:val="000000"/>
                <w:lang w:val="en-US" w:eastAsia="es-ES_tradnl"/>
              </w:rPr>
              <w:t xml:space="preserve">% </w:t>
            </w:r>
            <w:proofErr w:type="gramStart"/>
            <w:r w:rsidRPr="00A14B9A">
              <w:rPr>
                <w:rFonts w:ascii="Times New Roman" w:hAnsi="Times New Roman"/>
                <w:b/>
                <w:bCs/>
                <w:color w:val="000000"/>
                <w:lang w:val="en-US" w:eastAsia="es-ES_tradnl"/>
              </w:rPr>
              <w:t>variance</w:t>
            </w:r>
            <w:proofErr w:type="gramEnd"/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55.557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30.364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8.045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4.802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1.027</w:t>
            </w:r>
          </w:p>
        </w:tc>
      </w:tr>
      <w:tr w:rsidR="00D2340C" w:rsidTr="00D2340C">
        <w:tc>
          <w:tcPr>
            <w:tcW w:w="1800" w:type="dxa"/>
            <w:tcBorders>
              <w:top w:val="single" w:sz="4" w:space="0" w:color="000000" w:themeColor="text1"/>
            </w:tcBorders>
            <w:vAlign w:val="center"/>
          </w:tcPr>
          <w:p w:rsidR="00D2340C" w:rsidRDefault="00D2340C" w:rsidP="00D2340C">
            <w:pPr>
              <w:spacing w:line="48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Default="00D2340C" w:rsidP="00D2340C">
            <w:pPr>
              <w:spacing w:line="48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PCA loadings</w:t>
            </w:r>
          </w:p>
        </w:tc>
      </w:tr>
      <w:tr w:rsidR="00D2340C" w:rsidTr="00D2340C"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bCs/>
                <w:color w:val="000000"/>
                <w:lang w:val="en-US" w:eastAsia="es-ES_tradnl"/>
              </w:rPr>
              <w:t>Shape variable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PC1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PC2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PC3</w:t>
            </w:r>
          </w:p>
        </w:tc>
        <w:tc>
          <w:tcPr>
            <w:tcW w:w="1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PC4</w:t>
            </w:r>
          </w:p>
        </w:tc>
        <w:tc>
          <w:tcPr>
            <w:tcW w:w="13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b/>
                <w:color w:val="000000"/>
                <w:lang w:val="en-US" w:eastAsia="es-ES_tradnl"/>
              </w:rPr>
              <w:t>PC5</w:t>
            </w:r>
          </w:p>
        </w:tc>
      </w:tr>
      <w:tr w:rsidR="00D2340C" w:rsidTr="00D2340C">
        <w:tc>
          <w:tcPr>
            <w:tcW w:w="1800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PAP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0.4674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-0.35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00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0.3529</w:t>
            </w:r>
          </w:p>
        </w:tc>
        <w:tc>
          <w:tcPr>
            <w:tcW w:w="1343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-0.0479</w:t>
            </w:r>
          </w:p>
        </w:tc>
        <w:tc>
          <w:tcPr>
            <w:tcW w:w="1344" w:type="dxa"/>
            <w:tcBorders>
              <w:top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0.0361</w:t>
            </w:r>
          </w:p>
        </w:tc>
      </w:tr>
      <w:tr w:rsidR="00D2340C" w:rsidTr="00D2340C">
        <w:tc>
          <w:tcPr>
            <w:tcW w:w="1800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PSML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-0.3232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0.0158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-0.2142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-0.8432</w:t>
            </w:r>
          </w:p>
        </w:tc>
        <w:tc>
          <w:tcPr>
            <w:tcW w:w="1344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0.0471</w:t>
            </w:r>
          </w:p>
        </w:tc>
      </w:tr>
      <w:tr w:rsidR="00D2340C" w:rsidTr="00D2340C">
        <w:tc>
          <w:tcPr>
            <w:tcW w:w="1800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PAB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-0.266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0.348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0.2823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0.1956</w:t>
            </w:r>
          </w:p>
        </w:tc>
        <w:tc>
          <w:tcPr>
            <w:tcW w:w="1344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0.4765</w:t>
            </w:r>
          </w:p>
        </w:tc>
      </w:tr>
      <w:tr w:rsidR="00D2340C" w:rsidTr="00D2340C">
        <w:tc>
          <w:tcPr>
            <w:tcW w:w="1800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TAB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-0.6106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-0.0981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-0.1331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0.449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1344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-0.2572</w:t>
            </w:r>
          </w:p>
        </w:tc>
      </w:tr>
      <w:tr w:rsidR="00D2340C" w:rsidTr="00D2340C">
        <w:tc>
          <w:tcPr>
            <w:tcW w:w="1800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PAAP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0.0401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-0.3243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0.07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20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0.0099</w:t>
            </w:r>
          </w:p>
        </w:tc>
        <w:tc>
          <w:tcPr>
            <w:tcW w:w="1344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-0.6095</w:t>
            </w:r>
          </w:p>
        </w:tc>
      </w:tr>
      <w:tr w:rsidR="00D2340C" w:rsidTr="00D2340C">
        <w:tc>
          <w:tcPr>
            <w:tcW w:w="1800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SND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0.0164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-0.325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0.262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0.0407</w:t>
            </w:r>
          </w:p>
        </w:tc>
        <w:tc>
          <w:tcPr>
            <w:tcW w:w="1344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0.4132</w:t>
            </w:r>
          </w:p>
        </w:tc>
      </w:tr>
      <w:tr w:rsidR="00D2340C" w:rsidTr="00D2340C">
        <w:tc>
          <w:tcPr>
            <w:tcW w:w="1800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RAP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0.2993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0.732</w:t>
            </w: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0.1713</w:t>
            </w:r>
          </w:p>
        </w:tc>
        <w:tc>
          <w:tcPr>
            <w:tcW w:w="1343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-0.0157</w:t>
            </w:r>
          </w:p>
        </w:tc>
        <w:tc>
          <w:tcPr>
            <w:tcW w:w="1344" w:type="dxa"/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-0.3318</w:t>
            </w:r>
          </w:p>
        </w:tc>
      </w:tr>
      <w:tr w:rsidR="00D2340C" w:rsidTr="00D2340C"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</w:pPr>
            <w:proofErr w:type="spellStart"/>
            <w:proofErr w:type="gramStart"/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ln</w:t>
            </w:r>
            <w:proofErr w:type="spellEnd"/>
            <w:proofErr w:type="gramEnd"/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 xml:space="preserve"> (</w:t>
            </w:r>
            <w:r w:rsidRPr="00A14B9A">
              <w:rPr>
                <w:rFonts w:ascii="Times New Roman" w:eastAsia="Cambria" w:hAnsi="Times New Roman" w:cs="Times New Roman"/>
                <w:bCs/>
                <w:color w:val="000000"/>
                <w:lang w:val="en-US" w:eastAsia="es-ES_tradnl"/>
              </w:rPr>
              <w:t>RPD</w:t>
            </w:r>
            <w:r w:rsidRPr="00A14B9A">
              <w:rPr>
                <w:rFonts w:ascii="Times New Roman" w:hAnsi="Times New Roman"/>
                <w:bCs/>
                <w:color w:val="000000"/>
                <w:lang w:val="en-US" w:eastAsia="es-ES_tradnl"/>
              </w:rPr>
              <w:t>/GM)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0.3767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hAnsi="Times New Roman"/>
                <w:color w:val="000000"/>
                <w:lang w:val="en-US" w:eastAsia="es-ES_tradnl"/>
              </w:rPr>
              <w:t>0.0017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-0.7931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0.2116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:rsidR="00D2340C" w:rsidRPr="00A14B9A" w:rsidRDefault="00D2340C" w:rsidP="00D2340C">
            <w:pPr>
              <w:spacing w:line="48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</w:pPr>
            <w:r w:rsidRPr="00A14B9A">
              <w:rPr>
                <w:rFonts w:ascii="Times New Roman" w:eastAsia="Cambria" w:hAnsi="Times New Roman" w:cs="Times New Roman"/>
                <w:color w:val="000000"/>
                <w:lang w:val="en-US" w:eastAsia="es-ES_tradnl"/>
              </w:rPr>
              <w:t>0.2256</w:t>
            </w:r>
          </w:p>
        </w:tc>
      </w:tr>
    </w:tbl>
    <w:p w:rsidR="00F4727C" w:rsidRDefault="00D2340C" w:rsidP="00A14B9A">
      <w:pPr>
        <w:spacing w:line="480" w:lineRule="auto"/>
        <w:contextualSpacing/>
      </w:pPr>
    </w:p>
    <w:sectPr w:rsidR="00F4727C" w:rsidSect="00F4727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43E3"/>
    <w:rsid w:val="003B43E3"/>
    <w:rsid w:val="00A14B9A"/>
    <w:rsid w:val="00D2340C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E3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34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1175</Characters>
  <Application>Microsoft Macintosh Word</Application>
  <DocSecurity>0</DocSecurity>
  <Lines>9</Lines>
  <Paragraphs>2</Paragraphs>
  <ScaleCrop>false</ScaleCrop>
  <Company>Institut Català de Paleontologia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Alba</dc:creator>
  <cp:keywords/>
  <cp:lastModifiedBy>David Alba</cp:lastModifiedBy>
  <cp:revision>3</cp:revision>
  <dcterms:created xsi:type="dcterms:W3CDTF">2012-05-14T08:30:00Z</dcterms:created>
  <dcterms:modified xsi:type="dcterms:W3CDTF">2012-05-14T08:48:00Z</dcterms:modified>
</cp:coreProperties>
</file>