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99" w:rsidRPr="00EB53E3" w:rsidRDefault="002164B6" w:rsidP="00812299">
      <w:pPr>
        <w:rPr>
          <w:u w:val="single"/>
        </w:rPr>
      </w:pPr>
      <w:r>
        <w:rPr>
          <w:u w:val="single"/>
        </w:rPr>
        <w:t>Methods S1:</w:t>
      </w:r>
      <w:bookmarkStart w:id="0" w:name="_GoBack"/>
      <w:bookmarkEnd w:id="0"/>
      <w:r w:rsidR="00812299" w:rsidRPr="00EB53E3">
        <w:rPr>
          <w:u w:val="single"/>
        </w:rPr>
        <w:t xml:space="preserve"> Statistical methods </w:t>
      </w:r>
    </w:p>
    <w:p w:rsidR="00812299" w:rsidRDefault="00812299" w:rsidP="00812299"/>
    <w:p w:rsidR="00812299" w:rsidRDefault="00812299" w:rsidP="00812299">
      <w:pPr>
        <w:jc w:val="both"/>
      </w:pPr>
      <w:r>
        <w:t>An individual's body mass index (BMI) is defined as:</w:t>
      </w:r>
    </w:p>
    <w:p w:rsidR="00812299" w:rsidRDefault="00812299" w:rsidP="00812299">
      <w:pPr>
        <w:jc w:val="center"/>
      </w:pPr>
      <m:oMath>
        <m:r>
          <w:rPr>
            <w:rFonts w:ascii="Cambria Math" w:hAnsi="Cambria Math" w:cs="Cambria Math"/>
          </w:rPr>
          <m:t>BMI</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w</m:t>
            </m:r>
          </m:num>
          <m:den>
            <m:sSup>
              <m:sSupPr>
                <m:ctrlPr>
                  <w:rPr>
                    <w:rFonts w:ascii="Cambria Math" w:hAnsi="Cambria Math"/>
                  </w:rPr>
                </m:ctrlPr>
              </m:sSupPr>
              <m:e>
                <m:r>
                  <m:rPr>
                    <m:sty m:val="p"/>
                  </m:rPr>
                  <w:rPr>
                    <w:rFonts w:ascii="Cambria Math" w:hAnsi="Cambria Math"/>
                  </w:rPr>
                  <m:t>h</m:t>
                </m:r>
              </m:e>
              <m:sup>
                <m:r>
                  <m:rPr>
                    <m:sty m:val="p"/>
                  </m:rPr>
                  <w:rPr>
                    <w:rFonts w:ascii="Cambria Math" w:hAnsi="Cambria Math"/>
                  </w:rPr>
                  <m:t>2</m:t>
                </m:r>
              </m:sup>
            </m:sSup>
          </m:den>
        </m:f>
      </m:oMath>
      <w:r>
        <w:t>,</w:t>
      </w:r>
    </w:p>
    <w:p w:rsidR="00812299" w:rsidRDefault="00812299" w:rsidP="00812299">
      <w:pPr>
        <w:jc w:val="both"/>
      </w:pPr>
      <w:r>
        <w:t xml:space="preserve">where </w:t>
      </w:r>
      <m:oMath>
        <m:r>
          <w:rPr>
            <w:rFonts w:ascii="Cambria Math" w:hAnsi="Cambria Math"/>
          </w:rPr>
          <m:t>w</m:t>
        </m:r>
      </m:oMath>
      <w:r>
        <w:t xml:space="preserve"> and </w:t>
      </w:r>
      <m:oMath>
        <m:r>
          <w:rPr>
            <w:rFonts w:ascii="Cambria Math" w:hAnsi="Cambria Math"/>
          </w:rPr>
          <m:t>h</m:t>
        </m:r>
      </m:oMath>
      <w:r>
        <w:t xml:space="preserve"> correspond to individual's weight and height, respectively. </w:t>
      </w:r>
      <m:oMath>
        <m:r>
          <w:rPr>
            <w:rFonts w:ascii="Cambria Math" w:hAnsi="Cambria Math"/>
          </w:rPr>
          <m:t>BMI</m:t>
        </m:r>
      </m:oMath>
      <w:r>
        <w:t xml:space="preserve"> provides a simple measure of a person's “fatness” or “thinness”. Although </w:t>
      </w:r>
      <m:oMath>
        <m:r>
          <w:rPr>
            <w:rFonts w:ascii="Cambria Math" w:hAnsi="Cambria Math"/>
          </w:rPr>
          <m:t>BMI</m:t>
        </m:r>
      </m:oMath>
      <w:r>
        <w:t xml:space="preserve"> is measured on a continuous scale, it is grouped in the following five categories:</w:t>
      </w:r>
    </w:p>
    <w:p w:rsidR="00812299" w:rsidRDefault="00812299" w:rsidP="00812299">
      <w:pPr>
        <w:pStyle w:val="ListParagraph"/>
        <w:numPr>
          <w:ilvl w:val="0"/>
          <w:numId w:val="1"/>
        </w:numPr>
        <w:spacing w:after="200" w:line="276" w:lineRule="auto"/>
        <w:jc w:val="both"/>
      </w:pPr>
      <m:oMath>
        <m:r>
          <w:rPr>
            <w:rFonts w:ascii="Cambria Math" w:hAnsi="Cambria Math"/>
          </w:rPr>
          <m:t>BMI</m:t>
        </m:r>
      </m:oMath>
      <w:r>
        <w:t>: &lt;18.5 (underweight)</w:t>
      </w:r>
    </w:p>
    <w:p w:rsidR="00812299" w:rsidRDefault="00812299" w:rsidP="00812299">
      <w:pPr>
        <w:pStyle w:val="ListParagraph"/>
        <w:numPr>
          <w:ilvl w:val="0"/>
          <w:numId w:val="1"/>
        </w:numPr>
        <w:spacing w:after="200" w:line="276" w:lineRule="auto"/>
        <w:jc w:val="both"/>
      </w:pPr>
      <m:oMath>
        <m:r>
          <w:rPr>
            <w:rFonts w:ascii="Cambria Math" w:hAnsi="Cambria Math"/>
          </w:rPr>
          <m:t>BMI</m:t>
        </m:r>
      </m:oMath>
      <w:r>
        <w:t xml:space="preserve"> from 18.5 to 24.99: (healthy weight)</w:t>
      </w:r>
    </w:p>
    <w:p w:rsidR="00812299" w:rsidRDefault="00812299" w:rsidP="00812299">
      <w:pPr>
        <w:pStyle w:val="ListParagraph"/>
        <w:numPr>
          <w:ilvl w:val="0"/>
          <w:numId w:val="1"/>
        </w:numPr>
        <w:spacing w:after="200" w:line="276" w:lineRule="auto"/>
        <w:jc w:val="both"/>
      </w:pPr>
      <m:oMath>
        <m:r>
          <w:rPr>
            <w:rFonts w:ascii="Cambria Math" w:hAnsi="Cambria Math"/>
          </w:rPr>
          <m:t>BMI</m:t>
        </m:r>
      </m:oMath>
      <w:r>
        <w:t xml:space="preserve"> from 25 to 19.99: (overweight)</w:t>
      </w:r>
    </w:p>
    <w:p w:rsidR="00812299" w:rsidRDefault="00812299" w:rsidP="00812299">
      <w:pPr>
        <w:pStyle w:val="ListParagraph"/>
        <w:numPr>
          <w:ilvl w:val="0"/>
          <w:numId w:val="1"/>
        </w:numPr>
        <w:spacing w:after="200" w:line="276" w:lineRule="auto"/>
        <w:jc w:val="both"/>
      </w:pPr>
      <m:oMath>
        <m:r>
          <w:rPr>
            <w:rFonts w:ascii="Cambria Math" w:hAnsi="Cambria Math"/>
          </w:rPr>
          <m:t>BMI</m:t>
        </m:r>
      </m:oMath>
      <w:r>
        <w:t xml:space="preserve"> from 30 to 39.99: (obese)</w:t>
      </w:r>
    </w:p>
    <w:p w:rsidR="00812299" w:rsidRDefault="00812299" w:rsidP="00812299">
      <w:pPr>
        <w:pStyle w:val="ListParagraph"/>
        <w:numPr>
          <w:ilvl w:val="0"/>
          <w:numId w:val="1"/>
        </w:numPr>
        <w:spacing w:after="200" w:line="276" w:lineRule="auto"/>
        <w:jc w:val="both"/>
      </w:pPr>
      <m:oMath>
        <m:r>
          <w:rPr>
            <w:rFonts w:ascii="Cambria Math" w:hAnsi="Cambria Math"/>
          </w:rPr>
          <m:t>BMI ≥40</m:t>
        </m:r>
      </m:oMath>
      <w:r>
        <w:t>: (morbidly obese)</w:t>
      </w:r>
    </w:p>
    <w:p w:rsidR="00812299" w:rsidRDefault="00812299" w:rsidP="00812299">
      <w:pPr>
        <w:jc w:val="both"/>
      </w:pPr>
      <w:r>
        <w:t xml:space="preserve">Let </w:t>
      </w:r>
      <m:oMath>
        <m:r>
          <w:rPr>
            <w:rFonts w:ascii="Cambria Math" w:hAnsi="Cambria Math"/>
          </w:rPr>
          <m:t>g</m:t>
        </m:r>
      </m:oMath>
      <w:r>
        <w:t xml:space="preserve">=1,...,5, denote </w:t>
      </w:r>
      <m:oMath>
        <m:r>
          <w:rPr>
            <w:rFonts w:ascii="Cambria Math" w:hAnsi="Cambria Math"/>
          </w:rPr>
          <m:t>BMI</m:t>
        </m:r>
      </m:oMath>
      <w:r>
        <w:t xml:space="preserve"> group (lower and larger values of </w:t>
      </w:r>
      <m:oMath>
        <m:r>
          <w:rPr>
            <w:rFonts w:ascii="Cambria Math" w:hAnsi="Cambria Math"/>
          </w:rPr>
          <m:t>g</m:t>
        </m:r>
      </m:oMath>
      <w:r>
        <w:t xml:space="preserve"> correspond to groups with lower and larger values of </w:t>
      </w:r>
      <m:oMath>
        <m:r>
          <w:rPr>
            <w:rFonts w:ascii="Cambria Math" w:hAnsi="Cambria Math"/>
          </w:rPr>
          <m:t>BMI</m:t>
        </m:r>
      </m:oMath>
      <w:r>
        <w:t xml:space="preserve"> on the continuous scale, respectively). Let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oMath>
      <w:r>
        <w:t xml:space="preserve"> be the prevalence of individuals with </w:t>
      </w:r>
      <m:oMath>
        <m:r>
          <w:rPr>
            <w:rFonts w:ascii="Cambria Math" w:hAnsi="Cambria Math"/>
          </w:rPr>
          <m:t>BMI</m:t>
        </m:r>
      </m:oMath>
      <w:r>
        <w:t xml:space="preserve"> values that correspond to group </w:t>
      </w:r>
      <m:oMath>
        <m:r>
          <w:rPr>
            <w:rFonts w:ascii="Cambria Math" w:hAnsi="Cambria Math"/>
          </w:rPr>
          <m:t>g</m:t>
        </m:r>
      </m:oMath>
      <w:r>
        <w:t xml:space="preserve"> at time </w:t>
      </w:r>
      <m:oMath>
        <m:r>
          <w:rPr>
            <w:rFonts w:ascii="Cambria Math" w:hAnsi="Cambria Math"/>
          </w:rPr>
          <m:t>t</m:t>
        </m:r>
      </m:oMath>
      <w:r>
        <w:t xml:space="preserve">. To ensure that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takes values within [0,1], we model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d>
          <m:dPr>
            <m:ctrlPr>
              <w:rPr>
                <w:rFonts w:ascii="Cambria Math" w:hAnsi="Cambria Math"/>
                <w:i/>
              </w:rPr>
            </m:ctrlPr>
          </m:dPr>
          <m:e>
            <m:r>
              <w:rPr>
                <w:rFonts w:ascii="Cambria Math" w:hAnsi="Cambria Math"/>
              </w:rPr>
              <m:t>t</m:t>
            </m:r>
          </m:e>
        </m:d>
        <m:r>
          <w:rPr>
            <w:rFonts w:ascii="Cambria Math" w:hAnsi="Cambria Math"/>
          </w:rPr>
          <m:t xml:space="preserve"> </m:t>
        </m:r>
      </m:oMath>
      <w:r>
        <w:t xml:space="preserve">by </w:t>
      </w:r>
    </w:p>
    <w:p w:rsidR="00812299" w:rsidRPr="00207D67" w:rsidRDefault="00812299" w:rsidP="00812299">
      <w:pPr>
        <w:jc w:val="center"/>
        <w:rPr>
          <w:sz w:val="21"/>
          <w:szCs w:val="21"/>
        </w:rPr>
      </w:pPr>
    </w:p>
    <w:p w:rsidR="00812299" w:rsidRDefault="002164B6" w:rsidP="00812299">
      <w:pPr>
        <w:jc w:val="center"/>
      </w:pP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g</m:t>
                        </m:r>
                      </m:sup>
                    </m:sSubSup>
                    <m:r>
                      <w:rPr>
                        <w:rFonts w:ascii="Cambria Math" w:hAnsi="Cambria Math"/>
                      </w:rPr>
                      <m:t>t</m:t>
                    </m:r>
                  </m:e>
                </m:d>
              </m:e>
            </m:func>
          </m:e>
        </m:d>
        <m:r>
          <w:rPr>
            <w:rFonts w:ascii="Cambria Math" w:hAnsi="Cambria Math"/>
          </w:rPr>
          <m:t>.</m:t>
        </m:r>
      </m:oMath>
      <w:r w:rsidR="00812299">
        <w:rPr>
          <w:rFonts w:eastAsiaTheme="minorEastAsia"/>
        </w:rPr>
        <w:tab/>
      </w:r>
      <w:r w:rsidR="00812299" w:rsidRPr="00207D67">
        <w:rPr>
          <w:rFonts w:eastAsiaTheme="minorEastAsia"/>
        </w:rPr>
        <w:t>(1)</w:t>
      </w:r>
    </w:p>
    <w:p w:rsidR="00812299" w:rsidRDefault="00812299" w:rsidP="00812299">
      <w:pPr>
        <w:jc w:val="both"/>
      </w:pPr>
      <w:r>
        <w:t xml:space="preserve">An alternative way to estimate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oMath>
      <w:r>
        <w:t xml:space="preserve"> is through a logistic regression model with percentage for </w:t>
      </w:r>
      <m:oMath>
        <m:r>
          <w:rPr>
            <w:rFonts w:ascii="Cambria Math" w:hAnsi="Cambria Math"/>
          </w:rPr>
          <m:t>BMI</m:t>
        </m:r>
      </m:oMath>
      <w:r>
        <w:t xml:space="preserve"> group </w:t>
      </w:r>
      <m:oMath>
        <m:r>
          <w:rPr>
            <w:rFonts w:ascii="Cambria Math" w:hAnsi="Cambria Math"/>
          </w:rPr>
          <m:t>g</m:t>
        </m:r>
      </m:oMath>
      <w:r>
        <w:t xml:space="preserve"> as the outcome, and time, </w:t>
      </w:r>
      <m:oMath>
        <m:r>
          <w:rPr>
            <w:rFonts w:ascii="Cambria Math" w:hAnsi="Cambria Math"/>
          </w:rPr>
          <m:t>t</m:t>
        </m:r>
      </m:oMath>
      <w:r>
        <w:t>,  as the single explanatory variable:</w:t>
      </w:r>
    </w:p>
    <w:p w:rsidR="00812299" w:rsidRPr="008A520A" w:rsidRDefault="002164B6" w:rsidP="00812299">
      <w:pPr>
        <w:jc w:val="center"/>
        <w:rPr>
          <w:rFonts w:ascii="Cambria Math" w:hAnsi="Cambria Math"/>
        </w:rPr>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num>
                  <m:den>
                    <m:r>
                      <w:rPr>
                        <w:rFonts w:ascii="Cambria Math" w:hAnsi="Cambria Math"/>
                      </w:rPr>
                      <m:t>1-</m:t>
                    </m:r>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den>
                </m:f>
              </m:e>
            </m:d>
          </m:e>
        </m:func>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g</m:t>
            </m:r>
          </m:sup>
        </m:sSubSup>
        <m:r>
          <w:rPr>
            <w:rFonts w:ascii="Cambria Math" w:hAnsi="Cambria Math"/>
          </w:rPr>
          <m:t>t.</m:t>
        </m:r>
      </m:oMath>
      <w:r w:rsidR="00812299">
        <w:rPr>
          <w:rFonts w:ascii="Cambria Math" w:eastAsiaTheme="minorEastAsia" w:hAnsi="Cambria Math"/>
        </w:rPr>
        <w:tab/>
      </w:r>
      <w:r w:rsidR="00812299">
        <w:rPr>
          <w:rFonts w:ascii="Cambria Math" w:eastAsiaTheme="minorEastAsia" w:hAnsi="Cambria Math"/>
        </w:rPr>
        <w:tab/>
      </w:r>
      <w:r w:rsidR="00812299" w:rsidRPr="00207D67">
        <w:rPr>
          <w:rFonts w:ascii="Cambria Math" w:eastAsiaTheme="minorEastAsia" w:hAnsi="Cambria Math"/>
        </w:rPr>
        <w:t>(2)</w:t>
      </w:r>
    </w:p>
    <w:p w:rsidR="00812299" w:rsidRDefault="00812299" w:rsidP="00812299">
      <w:pPr>
        <w:jc w:val="both"/>
      </w:pPr>
      <w:r>
        <w:t xml:space="preserve">By solving equation (2) for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oMath>
      <w:r>
        <w:t>we obtain</w:t>
      </w:r>
    </w:p>
    <w:p w:rsidR="00812299" w:rsidRDefault="002164B6" w:rsidP="00812299">
      <w:pPr>
        <w:jc w:val="center"/>
      </w:pPr>
      <m:oMathPara>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g</m:t>
                          </m:r>
                        </m:sup>
                      </m:sSubSup>
                      <m:r>
                        <w:rPr>
                          <w:rFonts w:ascii="Cambria Math" w:hAnsi="Cambria Math"/>
                        </w:rPr>
                        <m:t>t</m:t>
                      </m:r>
                    </m:e>
                  </m:d>
                  <m:ctrlPr>
                    <w:rPr>
                      <w:rFonts w:ascii="Cambria Math" w:hAnsi="Cambria Math"/>
                      <w:i/>
                    </w:rPr>
                  </m:ctrlPr>
                </m:e>
              </m:func>
            </m:num>
            <m:den>
              <m:r>
                <w:rPr>
                  <w:rFonts w:ascii="Cambria Math" w:hAnsi="Cambria Math"/>
                </w:rPr>
                <m:t>1+</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Sup>
                        <m:sSubSupPr>
                          <m:ctrlPr>
                            <w:rPr>
                              <w:rFonts w:ascii="Cambria Math" w:hAnsi="Cambria Math"/>
                              <w:i/>
                            </w:rPr>
                          </m:ctrlPr>
                        </m:sSubSupPr>
                        <m:e>
                          <m:r>
                            <w:rPr>
                              <w:rFonts w:ascii="Cambria Math" w:hAnsi="Cambria Math"/>
                            </w:rPr>
                            <m:t>β</m:t>
                          </m:r>
                        </m:e>
                        <m:sub>
                          <m:r>
                            <w:rPr>
                              <w:rFonts w:ascii="Cambria Math" w:hAnsi="Cambria Math"/>
                            </w:rPr>
                            <m:t>0</m:t>
                          </m:r>
                        </m:sub>
                        <m:sup>
                          <m:r>
                            <w:rPr>
                              <w:rFonts w:ascii="Cambria Math" w:hAnsi="Cambria Math"/>
                            </w:rPr>
                            <m:t>g</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g</m:t>
                          </m:r>
                        </m:sup>
                      </m:sSubSup>
                      <m:r>
                        <w:rPr>
                          <w:rFonts w:ascii="Cambria Math" w:hAnsi="Cambria Math"/>
                        </w:rPr>
                        <m:t>t</m:t>
                      </m:r>
                    </m:e>
                  </m:d>
                  <m:ctrlPr>
                    <w:rPr>
                      <w:rFonts w:ascii="Cambria Math" w:hAnsi="Cambria Math"/>
                      <w:i/>
                    </w:rPr>
                  </m:ctrlPr>
                </m:e>
              </m:func>
            </m:den>
          </m:f>
          <m:r>
            <w:rPr>
              <w:rFonts w:ascii="Cambria Math" w:hAnsi="Cambria Math"/>
            </w:rPr>
            <m:t>.</m:t>
          </m:r>
        </m:oMath>
      </m:oMathPara>
    </w:p>
    <w:p w:rsidR="00812299" w:rsidRDefault="00812299" w:rsidP="00812299">
      <w:pPr>
        <w:jc w:val="both"/>
      </w:pPr>
      <w:r>
        <w:t xml:space="preserve">Equations (1) and (2) are mathematically identical, but (1) provides greater numerical stability. Fitting separate models for the estimation of </w:t>
      </w:r>
      <m:oMath>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oMath>
      <w:r>
        <w:t xml:space="preserve"> for each group g, does not guarantee that </w:t>
      </w:r>
    </w:p>
    <w:p w:rsidR="00812299" w:rsidRDefault="002164B6" w:rsidP="00812299">
      <w:pPr>
        <w:jc w:val="center"/>
      </w:pPr>
      <m:oMath>
        <m:nary>
          <m:naryPr>
            <m:chr m:val="∑"/>
            <m:grow m:val="1"/>
            <m:ctrlPr>
              <w:rPr>
                <w:rFonts w:ascii="Cambria Math" w:hAnsi="Cambria Math"/>
              </w:rPr>
            </m:ctrlPr>
          </m:naryPr>
          <m:sub>
            <m:r>
              <w:rPr>
                <w:rFonts w:ascii="Cambria Math" w:eastAsia="Cambria Math" w:hAnsi="Cambria Math" w:cs="Cambria Math"/>
              </w:rPr>
              <m:t>g=1</m:t>
            </m:r>
          </m:sub>
          <m:sup>
            <m:r>
              <w:rPr>
                <w:rFonts w:ascii="Cambria Math" w:eastAsia="Cambria Math" w:hAnsi="Cambria Math" w:cs="Cambria Math"/>
              </w:rPr>
              <m:t>5</m:t>
            </m:r>
          </m:sup>
          <m:e>
            <m:sSub>
              <m:sSubPr>
                <m:ctrlPr>
                  <w:rPr>
                    <w:rFonts w:ascii="Cambria Math" w:hAnsi="Cambria Math"/>
                    <w:i/>
                    <w:sz w:val="21"/>
                    <w:szCs w:val="21"/>
                  </w:rPr>
                </m:ctrlPr>
              </m:sSubPr>
              <m:e>
                <m:r>
                  <w:rPr>
                    <w:rFonts w:ascii="Cambria Math" w:hAnsi="Cambria Math"/>
                  </w:rPr>
                  <m:t>q</m:t>
                </m:r>
              </m:e>
              <m:sub>
                <m:r>
                  <w:rPr>
                    <w:rFonts w:ascii="Cambria Math" w:hAnsi="Cambria Math"/>
                  </w:rPr>
                  <m:t>g</m:t>
                </m:r>
              </m:sub>
            </m:sSub>
            <m:r>
              <w:rPr>
                <w:rFonts w:ascii="Cambria Math" w:hAnsi="Cambria Math"/>
              </w:rPr>
              <m:t>(t)</m:t>
            </m:r>
          </m:e>
        </m:nary>
        <m:r>
          <w:rPr>
            <w:rFonts w:ascii="Cambria Math" w:hAnsi="Cambria Math"/>
          </w:rPr>
          <m:t>= 1</m:t>
        </m:r>
      </m:oMath>
      <w:r w:rsidR="00812299">
        <w:t>.</w:t>
      </w:r>
    </w:p>
    <w:p w:rsidR="00812299" w:rsidRDefault="00812299" w:rsidP="00812299">
      <w:pPr>
        <w:jc w:val="both"/>
      </w:pPr>
      <w:r>
        <w:t xml:space="preserve">Thus, to ensure that the estimates of prevalence of individuals in all </w:t>
      </w:r>
      <m:oMath>
        <m:r>
          <w:rPr>
            <w:rFonts w:ascii="Cambria Math" w:hAnsi="Cambria Math"/>
          </w:rPr>
          <m:t>BMI</m:t>
        </m:r>
      </m:oMath>
      <w:r>
        <w:t xml:space="preserve"> groups sum up to 1 for each time </w:t>
      </w:r>
      <m:oMath>
        <m:r>
          <w:rPr>
            <w:rFonts w:ascii="Cambria Math" w:hAnsi="Cambria Math"/>
          </w:rPr>
          <m:t>t</m:t>
        </m:r>
      </m:oMath>
      <w:r>
        <w:t xml:space="preserve">, we estimate the prevalence of individuals with </w:t>
      </w:r>
      <m:oMath>
        <m:r>
          <w:rPr>
            <w:rFonts w:ascii="Cambria Math" w:hAnsi="Cambria Math"/>
          </w:rPr>
          <m:t>BMI</m:t>
        </m:r>
      </m:oMath>
      <w:r>
        <w:t xml:space="preserve"> values that correspond to group </w:t>
      </w:r>
      <m:oMath>
        <m:r>
          <w:rPr>
            <w:rFonts w:ascii="Cambria Math" w:hAnsi="Cambria Math"/>
          </w:rPr>
          <m:t>g</m:t>
        </m:r>
      </m:oMath>
      <w:r>
        <w:t xml:space="preserve"> at time </w:t>
      </w:r>
      <m:oMath>
        <m:r>
          <w:rPr>
            <w:rFonts w:ascii="Cambria Math" w:hAnsi="Cambria Math"/>
          </w:rPr>
          <m:t>t</m:t>
        </m:r>
      </m:oMath>
      <w:r>
        <w:t xml:space="preserve"> by</w:t>
      </w:r>
    </w:p>
    <w:p w:rsidR="00812299" w:rsidRPr="008A520A" w:rsidRDefault="002164B6" w:rsidP="00812299">
      <w:pPr>
        <w:jc w:val="center"/>
        <w:rPr>
          <w:rFonts w:ascii="Cambria Math" w:hAnsi="Cambria Math"/>
        </w:rPr>
      </w:pPr>
      <m:oMath>
        <m:sSub>
          <m:sSubPr>
            <m:ctrlPr>
              <w:rPr>
                <w:rFonts w:ascii="Cambria Math" w:hAnsi="Cambria Math"/>
                <w:i/>
              </w:rPr>
            </m:ctrlPr>
          </m:sSubPr>
          <m:e>
            <m:r>
              <w:rPr>
                <w:rFonts w:ascii="Cambria Math" w:hAnsi="Cambria Math"/>
              </w:rPr>
              <m:t>P</m:t>
            </m:r>
          </m:e>
          <m:sub>
            <m:r>
              <w:rPr>
                <w:rFonts w:ascii="Cambria Math" w:hAnsi="Cambria Math"/>
              </w:rPr>
              <m:t>g</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g</m:t>
                </m:r>
              </m:sub>
            </m:sSub>
            <m:d>
              <m:dPr>
                <m:ctrlPr>
                  <w:rPr>
                    <w:rFonts w:ascii="Cambria Math" w:hAnsi="Cambria Math"/>
                    <w:i/>
                  </w:rPr>
                </m:ctrlPr>
              </m:dPr>
              <m:e>
                <m:r>
                  <w:rPr>
                    <w:rFonts w:ascii="Cambria Math" w:hAnsi="Cambria Math"/>
                  </w:rPr>
                  <m:t>t</m:t>
                </m:r>
              </m:e>
            </m:d>
          </m:num>
          <m:den>
            <m:nary>
              <m:naryPr>
                <m:chr m:val="∑"/>
                <m:grow m:val="1"/>
                <m:ctrlPr>
                  <w:rPr>
                    <w:rFonts w:ascii="Cambria Math" w:hAnsi="Cambria Math"/>
                  </w:rPr>
                </m:ctrlPr>
              </m:naryPr>
              <m:sub>
                <m:r>
                  <w:rPr>
                    <w:rFonts w:ascii="Cambria Math" w:eastAsia="Cambria Math" w:hAnsi="Cambria Math" w:cs="Cambria Math"/>
                  </w:rPr>
                  <m:t>g=1</m:t>
                </m:r>
              </m:sub>
              <m:sup>
                <m:r>
                  <w:rPr>
                    <w:rFonts w:ascii="Cambria Math" w:eastAsia="Cambria Math" w:hAnsi="Cambria Math" w:cs="Cambria Math"/>
                  </w:rPr>
                  <m:t>5</m:t>
                </m:r>
              </m:sup>
              <m:e>
                <m:sSub>
                  <m:sSubPr>
                    <m:ctrlPr>
                      <w:rPr>
                        <w:rFonts w:ascii="Cambria Math" w:hAnsi="Cambria Math"/>
                        <w:i/>
                      </w:rPr>
                    </m:ctrlPr>
                  </m:sSubPr>
                  <m:e>
                    <m:r>
                      <w:rPr>
                        <w:rFonts w:ascii="Cambria Math" w:hAnsi="Cambria Math"/>
                      </w:rPr>
                      <m:t>q</m:t>
                    </m:r>
                  </m:e>
                  <m:sub>
                    <m:r>
                      <w:rPr>
                        <w:rFonts w:ascii="Cambria Math" w:hAnsi="Cambria Math"/>
                      </w:rPr>
                      <m:t>g</m:t>
                    </m:r>
                  </m:sub>
                </m:sSub>
                <m:d>
                  <m:dPr>
                    <m:ctrlPr>
                      <w:rPr>
                        <w:rFonts w:ascii="Cambria Math" w:hAnsi="Cambria Math"/>
                        <w:i/>
                      </w:rPr>
                    </m:ctrlPr>
                  </m:dPr>
                  <m:e>
                    <m:r>
                      <w:rPr>
                        <w:rFonts w:ascii="Cambria Math" w:hAnsi="Cambria Math"/>
                      </w:rPr>
                      <m:t>t</m:t>
                    </m:r>
                  </m:e>
                </m:d>
              </m:e>
            </m:nary>
          </m:den>
        </m:f>
        <m:r>
          <w:rPr>
            <w:rFonts w:ascii="Cambria Math" w:hAnsi="Cambria Math"/>
          </w:rPr>
          <m:t>.</m:t>
        </m:r>
      </m:oMath>
      <w:r w:rsidR="00812299">
        <w:rPr>
          <w:rFonts w:ascii="Cambria Math" w:eastAsiaTheme="minorEastAsia" w:hAnsi="Cambria Math"/>
        </w:rPr>
        <w:tab/>
      </w:r>
      <w:r w:rsidR="00812299">
        <w:rPr>
          <w:rFonts w:ascii="Cambria Math" w:eastAsiaTheme="minorEastAsia" w:hAnsi="Cambria Math"/>
        </w:rPr>
        <w:tab/>
      </w:r>
      <w:r w:rsidR="00812299">
        <w:rPr>
          <w:rFonts w:ascii="Cambria Math" w:eastAsiaTheme="minorEastAsia" w:hAnsi="Cambria Math"/>
        </w:rPr>
        <w:tab/>
      </w:r>
      <w:r w:rsidR="00812299" w:rsidRPr="00207D67">
        <w:rPr>
          <w:rFonts w:ascii="Cambria Math" w:eastAsiaTheme="minorEastAsia" w:hAnsi="Cambria Math"/>
        </w:rPr>
        <w:t>(</w:t>
      </w:r>
      <w:r w:rsidR="00812299">
        <w:rPr>
          <w:rFonts w:ascii="Cambria Math" w:eastAsiaTheme="minorEastAsia" w:hAnsi="Cambria Math"/>
        </w:rPr>
        <w:t>3</w:t>
      </w:r>
      <w:r w:rsidR="00812299" w:rsidRPr="00207D67">
        <w:rPr>
          <w:rFonts w:ascii="Cambria Math" w:eastAsiaTheme="minorEastAsia" w:hAnsi="Cambria Math"/>
        </w:rPr>
        <w:t>)</w:t>
      </w:r>
    </w:p>
    <w:p w:rsidR="00812299" w:rsidRDefault="00812299" w:rsidP="00812299">
      <w:pPr>
        <w:pStyle w:val="PlainText"/>
        <w:jc w:val="center"/>
        <w:rPr>
          <w:rFonts w:ascii="Times New Roman" w:hAnsi="Times New Roman" w:cs="Times New Roman"/>
          <w:b/>
          <w:i/>
        </w:rPr>
      </w:pPr>
    </w:p>
    <w:p w:rsidR="00812299" w:rsidRDefault="00812299" w:rsidP="00812299">
      <w:pPr>
        <w:pStyle w:val="PlainText"/>
        <w:rPr>
          <w:rFonts w:ascii="Times New Roman" w:hAnsi="Times New Roman" w:cs="Times New Roman"/>
          <w:b/>
          <w:i/>
        </w:rPr>
      </w:pPr>
    </w:p>
    <w:p w:rsidR="00812299" w:rsidRPr="00C36B66" w:rsidRDefault="00812299" w:rsidP="00812299">
      <w:pPr>
        <w:spacing w:before="240"/>
        <w:rPr>
          <w:b/>
        </w:rPr>
      </w:pPr>
      <w:r w:rsidRPr="00C36B66">
        <w:rPr>
          <w:b/>
        </w:rPr>
        <w:t>Micro simulation – BMI growth model</w:t>
      </w:r>
    </w:p>
    <w:p w:rsidR="00812299" w:rsidRDefault="00812299" w:rsidP="00812299">
      <w:pPr>
        <w:spacing w:before="240"/>
        <w:jc w:val="both"/>
      </w:pPr>
      <w:r>
        <w:t xml:space="preserve">The distribution of BMI in the population is estimated using regression analysis stratified by both sex (S) and age group (A=0-9, 10-19,20-29,…,70-79, 80+). The fitted models are extrapolated to forecast the distribution of BMI groups in the future. For each sex-and-age-group stratum, the set of cross-sectional, time-dependent, discrete distributions of BMI groups, </w:t>
      </w:r>
      <m:oMath>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g</m:t>
            </m:r>
          </m:sub>
        </m:sSub>
        <m:d>
          <m:dPr>
            <m:ctrlPr>
              <w:rPr>
                <w:rFonts w:ascii="Cambria Math" w:hAnsi="Cambria Math"/>
                <w:i/>
              </w:rPr>
            </m:ctrlPr>
          </m:dPr>
          <m:e>
            <m:r>
              <w:rPr>
                <w:rFonts w:ascii="Cambria Math" w:hAnsi="Cambria Math"/>
              </w:rPr>
              <m:t>t</m:t>
            </m:r>
          </m:e>
        </m:d>
        <m:r>
          <w:rPr>
            <w:rFonts w:ascii="Cambria Math" w:hAnsi="Cambria Math"/>
          </w:rPr>
          <m:t>|g=1,…5; t&gt;0}</m:t>
        </m:r>
      </m:oMath>
      <w:r>
        <w:t>, is used to manufacture BMI growth models for individual members of the population. This is done in a way that guarantees that the cross-</w:t>
      </w:r>
      <w:r>
        <w:lastRenderedPageBreak/>
        <w:t>sectional BMI group distributions obtained by simulation under the growth models match the BMI group distributions of the observed data. The details are as follows;</w:t>
      </w:r>
    </w:p>
    <w:p w:rsidR="00812299" w:rsidRDefault="00812299" w:rsidP="00812299">
      <w:pPr>
        <w:spacing w:before="240"/>
        <w:jc w:val="both"/>
      </w:pPr>
      <w:r>
        <w:t xml:space="preserve">For each such discrete distribution in </w:t>
      </w:r>
      <m:oMath>
        <m:r>
          <w:rPr>
            <w:rFonts w:ascii="Cambria Math" w:hAnsi="Cambria Math"/>
          </w:rPr>
          <m:t>D</m:t>
        </m:r>
      </m:oMath>
      <w:r>
        <w:t xml:space="preserve">, there is a continuous counterpart. Let </w:t>
      </w:r>
      <m:oMath>
        <m:r>
          <w:rPr>
            <w:rFonts w:ascii="Cambria Math" w:hAnsi="Cambria Math"/>
          </w:rPr>
          <m:t>β</m:t>
        </m:r>
      </m:oMath>
      <w:r>
        <w:t xml:space="preserve"> denote BMI in the continuous scale and let </w:t>
      </w:r>
      <m:oMath>
        <m:r>
          <w:rPr>
            <w:rFonts w:ascii="Cambria Math" w:hAnsi="Cambria Math"/>
          </w:rPr>
          <m:t>f(β|A,S,t)</m:t>
        </m:r>
      </m:oMath>
      <w:r>
        <w:t xml:space="preserve"> be the probability density function of </w:t>
      </w:r>
      <m:oMath>
        <m:r>
          <w:rPr>
            <w:rFonts w:ascii="Cambria Math" w:hAnsi="Cambria Math"/>
          </w:rPr>
          <m:t>β</m:t>
        </m:r>
      </m:oMath>
      <w:r>
        <w:t xml:space="preserve"> for age group </w:t>
      </w:r>
      <m:oMath>
        <m:r>
          <w:rPr>
            <w:rFonts w:ascii="Cambria Math" w:hAnsi="Cambria Math"/>
          </w:rPr>
          <m:t>A</m:t>
        </m:r>
      </m:oMath>
      <w:r>
        <w:t xml:space="preserve"> and sex </w:t>
      </w:r>
      <m:oMath>
        <m:r>
          <w:rPr>
            <w:rFonts w:ascii="Cambria Math" w:hAnsi="Cambria Math"/>
          </w:rPr>
          <m:t>S</m:t>
        </m:r>
      </m:oMath>
      <w:r>
        <w:t xml:space="preserve"> at time </w:t>
      </w:r>
      <m:oMath>
        <m:r>
          <w:rPr>
            <w:rFonts w:ascii="Cambria Math" w:hAnsi="Cambria Math"/>
          </w:rPr>
          <m:t>t</m:t>
        </m:r>
      </m:oMath>
      <w:r>
        <w:t xml:space="preserve">. Then </w:t>
      </w:r>
    </w:p>
    <w:p w:rsidR="00812299" w:rsidRDefault="002164B6" w:rsidP="00812299">
      <w:pPr>
        <w:spacing w:before="240"/>
        <w:jc w:val="center"/>
      </w:pPr>
      <m:oMath>
        <m:sSub>
          <m:sSubPr>
            <m:ctrlPr>
              <w:rPr>
                <w:rFonts w:ascii="Cambria Math" w:hAnsi="Cambria Math"/>
                <w:i/>
              </w:rPr>
            </m:ctrlPr>
          </m:sSubPr>
          <m:e>
            <m:r>
              <w:rPr>
                <w:rFonts w:ascii="Cambria Math" w:hAnsi="Cambria Math"/>
              </w:rPr>
              <m:t>P</m:t>
            </m:r>
          </m:e>
          <m:sub>
            <m:r>
              <w:rPr>
                <w:rFonts w:ascii="Cambria Math" w:hAnsi="Cambria Math"/>
              </w:rPr>
              <m:t>g</m:t>
            </m:r>
          </m:sub>
        </m:sSub>
        <m:d>
          <m:dPr>
            <m:ctrlPr>
              <w:rPr>
                <w:rFonts w:ascii="Cambria Math" w:hAnsi="Cambria Math"/>
                <w:i/>
              </w:rPr>
            </m:ctrlPr>
          </m:dPr>
          <m:e>
            <m:r>
              <w:rPr>
                <w:rFonts w:ascii="Cambria Math" w:hAnsi="Cambria Math"/>
              </w:rPr>
              <m:t>t</m:t>
            </m:r>
          </m:e>
          <m:e>
            <m:r>
              <w:rPr>
                <w:rFonts w:ascii="Cambria Math" w:hAnsi="Cambria Math"/>
              </w:rPr>
              <m:t>A,S</m:t>
            </m:r>
          </m:e>
        </m:d>
        <m:r>
          <w:rPr>
            <w:rFonts w:ascii="Cambria Math" w:hAnsi="Cambria Math"/>
          </w:rPr>
          <m:t>=</m:t>
        </m:r>
        <m:nary>
          <m:naryPr>
            <m:supHide m:val="1"/>
            <m:ctrlPr>
              <w:rPr>
                <w:rFonts w:ascii="Cambria Math" w:hAnsi="Cambria Math"/>
                <w:i/>
              </w:rPr>
            </m:ctrlPr>
          </m:naryPr>
          <m:sub>
            <m:r>
              <w:rPr>
                <w:rFonts w:ascii="Cambria Math" w:hAnsi="Cambria Math"/>
              </w:rPr>
              <m:t>β∈g</m:t>
            </m:r>
          </m:sub>
          <m:sup/>
          <m:e>
            <m:r>
              <w:rPr>
                <w:rFonts w:ascii="Cambria Math" w:hAnsi="Cambria Math"/>
              </w:rPr>
              <m:t>f</m:t>
            </m:r>
            <m:d>
              <m:dPr>
                <m:ctrlPr>
                  <w:rPr>
                    <w:rFonts w:ascii="Cambria Math" w:hAnsi="Cambria Math"/>
                    <w:i/>
                  </w:rPr>
                </m:ctrlPr>
              </m:dPr>
              <m:e>
                <m:r>
                  <w:rPr>
                    <w:rFonts w:ascii="Cambria Math" w:hAnsi="Cambria Math"/>
                  </w:rPr>
                  <m:t>β</m:t>
                </m:r>
              </m:e>
              <m:e>
                <m:r>
                  <w:rPr>
                    <w:rFonts w:ascii="Cambria Math" w:hAnsi="Cambria Math"/>
                  </w:rPr>
                  <m:t>A,S,t</m:t>
                </m:r>
              </m:e>
            </m:d>
            <m:r>
              <w:rPr>
                <w:rFonts w:ascii="Cambria Math" w:hAnsi="Cambria Math"/>
              </w:rPr>
              <m:t>dβ.</m:t>
            </m:r>
          </m:e>
        </m:nary>
      </m:oMath>
      <w:r w:rsidR="00812299">
        <w:tab/>
        <w:t>(4)</w:t>
      </w:r>
    </w:p>
    <w:p w:rsidR="00812299" w:rsidRDefault="00812299" w:rsidP="00812299">
      <w:pPr>
        <w:spacing w:before="240"/>
        <w:jc w:val="both"/>
      </w:pPr>
      <w:r>
        <w:t xml:space="preserve">Equations (3) and (4) both refer to the same quantity. However, equation (4) uses the definition of a probability density function to express the age-and-sex-specific percentage of individuals in BMI group g at time t. Equation (3) gives an estimate of the this quantity using model (1) for all g=0,..,5. The cumulative distribution function of </w:t>
      </w:r>
      <m:oMath>
        <m:r>
          <w:rPr>
            <w:rFonts w:ascii="Cambria Math" w:hAnsi="Cambria Math"/>
          </w:rPr>
          <m:t>β</m:t>
        </m:r>
      </m:oMath>
      <w:r>
        <w:t xml:space="preserve"> is</w:t>
      </w:r>
    </w:p>
    <w:p w:rsidR="00812299" w:rsidRDefault="00812299" w:rsidP="00812299">
      <w:pPr>
        <w:spacing w:before="240"/>
        <w:ind w:left="2880" w:firstLine="720"/>
      </w:pPr>
      <m:oMath>
        <m:r>
          <w:rPr>
            <w:rFonts w:ascii="Cambria Math" w:hAnsi="Cambria Math"/>
          </w:rPr>
          <m:t>F</m:t>
        </m:r>
        <m:d>
          <m:dPr>
            <m:ctrlPr>
              <w:rPr>
                <w:rFonts w:ascii="Cambria Math" w:hAnsi="Cambria Math"/>
                <w:i/>
              </w:rPr>
            </m:ctrlPr>
          </m:dPr>
          <m:e>
            <m:r>
              <w:rPr>
                <w:rFonts w:ascii="Cambria Math" w:hAnsi="Cambria Math"/>
              </w:rPr>
              <m:t>β</m:t>
            </m:r>
          </m:e>
          <m:e>
            <m:r>
              <w:rPr>
                <w:rFonts w:ascii="Cambria Math" w:hAnsi="Cambria Math"/>
              </w:rPr>
              <m:t>A,S,t</m:t>
            </m:r>
          </m:e>
        </m:d>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β</m:t>
            </m:r>
          </m:sup>
          <m:e>
            <m:r>
              <w:rPr>
                <w:rFonts w:ascii="Cambria Math" w:hAnsi="Cambria Math"/>
              </w:rPr>
              <m:t>f</m:t>
            </m:r>
            <m:d>
              <m:dPr>
                <m:ctrlPr>
                  <w:rPr>
                    <w:rFonts w:ascii="Cambria Math" w:hAnsi="Cambria Math"/>
                    <w:i/>
                  </w:rPr>
                </m:ctrlPr>
              </m:dPr>
              <m:e>
                <m:r>
                  <w:rPr>
                    <w:rFonts w:ascii="Cambria Math" w:hAnsi="Cambria Math"/>
                  </w:rPr>
                  <m:t>β</m:t>
                </m:r>
              </m:e>
              <m:e>
                <m:r>
                  <w:rPr>
                    <w:rFonts w:ascii="Cambria Math" w:hAnsi="Cambria Math"/>
                  </w:rPr>
                  <m:t>A,S,t</m:t>
                </m:r>
              </m:e>
            </m:d>
            <m:r>
              <w:rPr>
                <w:rFonts w:ascii="Cambria Math" w:hAnsi="Cambria Math"/>
              </w:rPr>
              <m:t>dβ.</m:t>
            </m:r>
          </m:e>
        </m:nary>
        <m:r>
          <w:rPr>
            <w:rFonts w:ascii="Cambria Math" w:hAnsi="Cambria Math"/>
          </w:rPr>
          <m:t xml:space="preserve"> </m:t>
        </m:r>
      </m:oMath>
      <w:r>
        <w:tab/>
        <w:t>(5)</w:t>
      </w:r>
      <w:r w:rsidDel="00EA7F7A">
        <w:t xml:space="preserve"> </w:t>
      </w:r>
    </w:p>
    <w:p w:rsidR="00812299" w:rsidRDefault="00812299" w:rsidP="00812299">
      <w:pPr>
        <w:jc w:val="both"/>
      </w:pPr>
      <w:r>
        <w:t xml:space="preserve">At a time t, a person with sex </w:t>
      </w:r>
      <m:oMath>
        <m:r>
          <w:rPr>
            <w:rFonts w:ascii="Cambria Math" w:hAnsi="Cambria Math"/>
          </w:rPr>
          <m:t>S</m:t>
        </m:r>
      </m:oMath>
      <w:r>
        <w:t xml:space="preserve"> belonging to the age group </w:t>
      </w:r>
      <m:oMath>
        <m:r>
          <w:rPr>
            <w:rFonts w:ascii="Cambria Math" w:hAnsi="Cambria Math"/>
          </w:rPr>
          <m:t>A</m:t>
        </m:r>
      </m:oMath>
      <w:r>
        <w:t xml:space="preserve"> is said to be on the </w:t>
      </w:r>
      <m:oMath>
        <m:r>
          <w:rPr>
            <w:rFonts w:ascii="Cambria Math" w:hAnsi="Cambria Math"/>
          </w:rPr>
          <m:t>p</m:t>
        </m:r>
      </m:oMath>
      <w:r>
        <w:t xml:space="preserve">–th percentile of this distribution if </w:t>
      </w:r>
      <m:oMath>
        <m:r>
          <w:rPr>
            <w:rFonts w:ascii="Cambria Math" w:hAnsi="Cambria Math"/>
          </w:rPr>
          <m:t>F</m:t>
        </m:r>
        <m:d>
          <m:dPr>
            <m:ctrlPr>
              <w:rPr>
                <w:rFonts w:ascii="Cambria Math" w:hAnsi="Cambria Math"/>
                <w:i/>
              </w:rPr>
            </m:ctrlPr>
          </m:dPr>
          <m:e>
            <m:r>
              <w:rPr>
                <w:rFonts w:ascii="Cambria Math" w:hAnsi="Cambria Math"/>
              </w:rPr>
              <m:t>β</m:t>
            </m:r>
          </m:e>
          <m:e>
            <m:r>
              <w:rPr>
                <w:rFonts w:ascii="Cambria Math" w:hAnsi="Cambria Math"/>
              </w:rPr>
              <m:t>A,S,t</m:t>
            </m:r>
          </m:e>
        </m:d>
        <m:r>
          <w:rPr>
            <w:rFonts w:ascii="Cambria Math" w:hAnsi="Cambria Math"/>
          </w:rPr>
          <m:t>=p/100.</m:t>
        </m:r>
      </m:oMath>
      <w:r>
        <w:t xml:space="preserve">  Given the cross-sectional information of </w:t>
      </w:r>
      <m:oMath>
        <m:r>
          <w:rPr>
            <w:rFonts w:ascii="Cambria Math" w:hAnsi="Cambria Math"/>
          </w:rPr>
          <m:t>D</m:t>
        </m:r>
      </m:oMath>
      <w:r>
        <w:t>, it is possible to simulate longitudinal trajectories by forming pseudo cohorts within the population. A key requirement for these sets of longitudinal trajectories is that they reproduce the cross-sectional distribution of BMI groups  for any year with available data. The method adopted here and in the earlier Foresight report</w:t>
      </w:r>
      <w:r>
        <w:rPr>
          <w:rStyle w:val="FootnoteReference"/>
        </w:rPr>
        <w:footnoteReference w:id="1"/>
      </w:r>
      <w:r>
        <w:t xml:space="preserve"> is based on the assumption that people’s BMI changes throughout their lives in such a way that they always stay on the same BMI percentile. As they age, individuals move from one age group to another and their BMI changes so that they remain on the same percentile but of a different distribution. This rule is not too far from the truth; and has as a result that relatively fat people stay relatively fat and relatively thin people stay relatively thin. Crucially it meets the important condition that the cross-sectional BMI group distributions obtained by simulation match the BMI group distributions of the observed data. This can be seen as follows:. </w:t>
      </w:r>
    </w:p>
    <w:p w:rsidR="00812299" w:rsidRDefault="00812299" w:rsidP="00812299">
      <w:r>
        <w:t xml:space="preserve">      </w:t>
      </w:r>
    </w:p>
    <w:p w:rsidR="00812299" w:rsidRDefault="00812299" w:rsidP="00812299">
      <w:pPr>
        <w:jc w:val="both"/>
      </w:pPr>
      <w:r>
        <w:t xml:space="preserve">When the population’s BMI distributions by sex and age are known for all years (by extrapolation of fitted model (3)), a person who is in age group </w:t>
      </w:r>
      <m:oMath>
        <m:r>
          <w:rPr>
            <w:rFonts w:ascii="Cambria Math" w:hAnsi="Cambria Math"/>
          </w:rPr>
          <m:t>A</m:t>
        </m:r>
      </m:oMath>
      <w:r>
        <w:t xml:space="preserve"> and who grows ten year older will at some time move into the next age group </w:t>
      </w:r>
      <m:oMath>
        <m:r>
          <w:rPr>
            <w:rFonts w:ascii="Cambria Math" w:hAnsi="Cambria Math"/>
          </w:rPr>
          <m:t>A'</m:t>
        </m:r>
      </m:oMath>
      <w:r>
        <w:t xml:space="preserve"> and will have a BMI that was described first by the distribution </w:t>
      </w:r>
      <m:oMath>
        <m:r>
          <w:rPr>
            <w:rFonts w:ascii="Cambria Math" w:hAnsi="Cambria Math"/>
          </w:rPr>
          <m:t>f(β|A,S,t)</m:t>
        </m:r>
      </m:oMath>
      <w:r>
        <w:t xml:space="preserve"> and then at the later time </w:t>
      </w:r>
      <m:oMath>
        <m:r>
          <w:rPr>
            <w:rFonts w:ascii="Cambria Math" w:hAnsi="Cambria Math"/>
          </w:rPr>
          <m:t>t'</m:t>
        </m:r>
      </m:oMath>
      <w:r>
        <w:t xml:space="preserve"> by the distribution </w:t>
      </w:r>
      <m:oMath>
        <m:r>
          <w:rPr>
            <w:rFonts w:ascii="Cambria Math" w:hAnsi="Cambria Math"/>
          </w:rPr>
          <m:t>f(β|A',S,t')</m:t>
        </m:r>
      </m:oMath>
      <w:r>
        <w:t xml:space="preserve">. If the BMI of that individual is on the </w:t>
      </w:r>
      <w:proofErr w:type="spellStart"/>
      <w:r>
        <w:t>p</w:t>
      </w:r>
      <w:r w:rsidRPr="00410EB5">
        <w:rPr>
          <w:vertAlign w:val="superscript"/>
        </w:rPr>
        <w:t>th</w:t>
      </w:r>
      <w:proofErr w:type="spellEnd"/>
      <w:r>
        <w:t xml:space="preserve"> percentile of the BMI distribution, his BMI will change from </w:t>
      </w:r>
      <m:oMath>
        <m:r>
          <w:rPr>
            <w:rFonts w:ascii="Cambria Math" w:hAnsi="Cambria Math"/>
          </w:rPr>
          <m:t>b</m:t>
        </m:r>
      </m:oMath>
      <w:r>
        <w:t xml:space="preserve">  to </w:t>
      </w:r>
      <m:oMath>
        <m:r>
          <w:rPr>
            <w:rFonts w:ascii="Cambria Math" w:hAnsi="Cambria Math"/>
          </w:rPr>
          <m:t>b'</m:t>
        </m:r>
      </m:oMath>
      <w:r>
        <w:t xml:space="preserve"> so that </w:t>
      </w:r>
    </w:p>
    <w:p w:rsidR="00812299" w:rsidRDefault="00812299" w:rsidP="00812299"/>
    <w:p w:rsidR="00812299" w:rsidRPr="00D372EB" w:rsidRDefault="00812299" w:rsidP="00812299">
      <m:oMath>
        <m:r>
          <w:rPr>
            <w:rFonts w:ascii="Cambria Math" w:hAnsi="Cambria Math"/>
          </w:rPr>
          <m:t>β=</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100</m:t>
                </m:r>
              </m:den>
            </m:f>
          </m:e>
          <m:e>
            <m:r>
              <w:rPr>
                <w:rFonts w:ascii="Cambria Math" w:hAnsi="Cambria Math"/>
              </w:rPr>
              <m:t>A,S,t</m:t>
            </m:r>
          </m:e>
        </m:d>
      </m:oMath>
      <w:r>
        <w:t xml:space="preserve"> </w:t>
      </w:r>
      <w:r>
        <w:tab/>
      </w:r>
      <w:r>
        <w:tab/>
      </w:r>
      <w:r>
        <w:tab/>
      </w:r>
      <w:r>
        <w:tab/>
      </w:r>
      <w:r>
        <w:tab/>
      </w:r>
      <w:r>
        <w:tab/>
        <w:t>(6)</w:t>
      </w:r>
    </w:p>
    <w:p w:rsidR="00812299" w:rsidRPr="00D372EB" w:rsidRDefault="002164B6" w:rsidP="00812299">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100</m:t>
                </m:r>
              </m:den>
            </m:f>
          </m:e>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,S,</m:t>
            </m:r>
            <m:sSup>
              <m:sSupPr>
                <m:ctrlPr>
                  <w:rPr>
                    <w:rFonts w:ascii="Cambria Math" w:hAnsi="Cambria Math"/>
                    <w:i/>
                  </w:rPr>
                </m:ctrlPr>
              </m:sSupPr>
              <m:e>
                <m:r>
                  <w:rPr>
                    <w:rFonts w:ascii="Cambria Math" w:hAnsi="Cambria Math"/>
                  </w:rPr>
                  <m:t>t</m:t>
                </m:r>
              </m:e>
              <m:sup>
                <m:r>
                  <w:rPr>
                    <w:rFonts w:ascii="Cambria Math" w:hAnsi="Cambria Math"/>
                  </w:rPr>
                  <m:t>'</m:t>
                </m:r>
              </m:sup>
            </m:sSup>
          </m:e>
        </m:d>
        <m:box>
          <m:boxPr>
            <m:opEmu m:val="1"/>
            <m:ctrlPr>
              <w:rPr>
                <w:rFonts w:ascii="Cambria Math" w:hAnsi="Cambria Math"/>
                <w:i/>
              </w:rPr>
            </m:ctrlPr>
          </m:boxPr>
          <m:e>
            <m:groupChr>
              <m:groupChrPr>
                <m:chr m:val="⇒"/>
                <m:vertJc m:val="bot"/>
                <m:ctrlPr>
                  <w:rPr>
                    <w:rFonts w:ascii="Cambria Math" w:hAnsi="Cambria Math"/>
                    <w:i/>
                  </w:rPr>
                </m:ctrlPr>
              </m:groupChrPr>
              <m:e/>
            </m:groupChr>
          </m:e>
        </m:box>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F(β|A,S,t)</m:t>
            </m:r>
          </m:e>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,S,</m:t>
            </m:r>
            <m:sSup>
              <m:sSupPr>
                <m:ctrlPr>
                  <w:rPr>
                    <w:rFonts w:ascii="Cambria Math" w:hAnsi="Cambria Math"/>
                    <w:i/>
                  </w:rPr>
                </m:ctrlPr>
              </m:sSupPr>
              <m:e>
                <m:r>
                  <w:rPr>
                    <w:rFonts w:ascii="Cambria Math" w:hAnsi="Cambria Math"/>
                  </w:rPr>
                  <m:t>t</m:t>
                </m:r>
              </m:e>
              <m:sup>
                <m:r>
                  <w:rPr>
                    <w:rFonts w:ascii="Cambria Math" w:hAnsi="Cambria Math"/>
                  </w:rPr>
                  <m:t>'</m:t>
                </m:r>
              </m:sup>
            </m:sSup>
          </m:e>
        </m:d>
      </m:oMath>
      <w:r w:rsidR="00812299">
        <w:tab/>
      </w:r>
      <w:r w:rsidR="00812299">
        <w:tab/>
        <w:t>(7)</w:t>
      </w:r>
    </w:p>
    <w:p w:rsidR="00812299" w:rsidRDefault="00812299" w:rsidP="00812299"/>
    <w:p w:rsidR="00812299" w:rsidRDefault="00812299" w:rsidP="00812299">
      <w:pPr>
        <w:jc w:val="both"/>
      </w:pPr>
      <w:r>
        <w:t xml:space="preserve">Where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t xml:space="preserve"> is the inverse function of the cumulative distribution function of </w:t>
      </w:r>
      <m:oMath>
        <m:r>
          <w:rPr>
            <w:rFonts w:ascii="Cambria Math" w:hAnsi="Cambria Math"/>
          </w:rPr>
          <m:t>β</m:t>
        </m:r>
      </m:oMath>
      <w:r>
        <w:t xml:space="preserve">. </w:t>
      </w:r>
      <w:r w:rsidR="002164B6">
        <w:fldChar w:fldCharType="begin"/>
      </w:r>
      <w:r w:rsidR="002164B6">
        <w:instrText xml:space="preserve"> REF _Ref307583066 \h  \* MERGEFORMAT </w:instrText>
      </w:r>
      <w:r w:rsidR="002164B6">
        <w:fldChar w:fldCharType="separate"/>
      </w:r>
      <w:r>
        <w:t>E</w:t>
      </w:r>
      <w:r w:rsidRPr="003A4E56">
        <w:t>q</w:t>
      </w:r>
      <w:r>
        <w:t>uation</w:t>
      </w:r>
      <w:r w:rsidRPr="003A4E56">
        <w:t xml:space="preserve"> </w:t>
      </w:r>
      <w:r>
        <w:t>(7)</w:t>
      </w:r>
      <w:r w:rsidR="002164B6">
        <w:fldChar w:fldCharType="end"/>
      </w:r>
      <w:r>
        <w:t xml:space="preserve"> guarantees that the transformation taking the random variable </w:t>
      </w:r>
      <m:oMath>
        <m:r>
          <w:rPr>
            <w:rFonts w:ascii="Cambria Math" w:hAnsi="Cambria Math"/>
          </w:rPr>
          <m:t>b</m:t>
        </m:r>
      </m:oMath>
      <w:r>
        <w:t xml:space="preserve">  to </w:t>
      </w:r>
      <m:oMath>
        <m:r>
          <w:rPr>
            <w:rFonts w:ascii="Cambria Math" w:hAnsi="Cambria Math"/>
          </w:rPr>
          <m:t>b'</m:t>
        </m:r>
      </m:oMath>
      <w:r>
        <w:t xml:space="preserve"> ensures the correct cross-sectional distribution at </w:t>
      </w:r>
      <m:oMath>
        <m:r>
          <w:rPr>
            <w:rFonts w:ascii="Cambria Math" w:hAnsi="Cambria Math"/>
          </w:rPr>
          <m:t>t'</m:t>
        </m:r>
      </m:oMath>
      <w:r>
        <w:t xml:space="preserve">. </w:t>
      </w:r>
    </w:p>
    <w:p w:rsidR="00812299" w:rsidRDefault="00812299" w:rsidP="00812299"/>
    <w:p w:rsidR="00812299" w:rsidRDefault="00812299" w:rsidP="00812299">
      <w:pPr>
        <w:jc w:val="both"/>
      </w:pPr>
      <w:r>
        <w:t xml:space="preserve">The micro simulation both generates individuals from the BMI distributions of the set </w:t>
      </w:r>
      <m:oMath>
        <m:r>
          <w:rPr>
            <w:rFonts w:ascii="Cambria Math" w:hAnsi="Cambria Math"/>
          </w:rPr>
          <m:t>D</m:t>
        </m:r>
      </m:oMath>
      <w:r>
        <w:t xml:space="preserve"> and, once generated, grows the </w:t>
      </w:r>
      <w:proofErr w:type="spellStart"/>
      <w:r>
        <w:t>individal’s</w:t>
      </w:r>
      <w:proofErr w:type="spellEnd"/>
      <w:r>
        <w:t xml:space="preserve"> BMI in a way that is also determined by the set </w:t>
      </w:r>
      <m:oMath>
        <m:r>
          <w:rPr>
            <w:rFonts w:ascii="Cambria Math" w:hAnsi="Cambria Math"/>
          </w:rPr>
          <m:t>D</m:t>
        </m:r>
      </m:oMath>
      <w:r>
        <w:t xml:space="preserve">. It is possible to implement </w:t>
      </w:r>
      <w:r w:rsidR="002164B6">
        <w:fldChar w:fldCharType="begin"/>
      </w:r>
      <w:r w:rsidR="002164B6">
        <w:instrText xml:space="preserve"> REF _Ref307583066 \h  \* MERGEFORMAT </w:instrText>
      </w:r>
      <w:r w:rsidR="002164B6">
        <w:fldChar w:fldCharType="separate"/>
      </w:r>
      <w:r>
        <w:t>equation (7)</w:t>
      </w:r>
      <w:r w:rsidR="002164B6">
        <w:fldChar w:fldCharType="end"/>
      </w:r>
      <w:r>
        <w:t xml:space="preserve"> as a suitably fast algorithm.</w:t>
      </w:r>
    </w:p>
    <w:p w:rsidR="00812299" w:rsidRDefault="00812299" w:rsidP="00812299"/>
    <w:p w:rsidR="00812299" w:rsidRDefault="00812299" w:rsidP="00812299">
      <w:r w:rsidRPr="00C36B66">
        <w:rPr>
          <w:b/>
        </w:rPr>
        <w:t>Micro simulation: Birth, disease and death models</w:t>
      </w:r>
      <w:r>
        <w:t>.</w:t>
      </w:r>
    </w:p>
    <w:p w:rsidR="00812299" w:rsidRDefault="00812299" w:rsidP="00812299">
      <w:pPr>
        <w:jc w:val="both"/>
      </w:pPr>
      <w:r>
        <w:t>Simulated people are generated with the correct demographic statistics in the simulation’s start-year. In this year women are stochastically allocated the number and years of birth of their children – these are generated from known fertility and mother’s age at birth statistics (valid in the start-year). If a woman has children then those children are generated as members of the simulation in the appropriate birth year.</w:t>
      </w:r>
    </w:p>
    <w:p w:rsidR="00812299" w:rsidRDefault="00812299" w:rsidP="00812299">
      <w:pPr>
        <w:jc w:val="both"/>
      </w:pPr>
    </w:p>
    <w:p w:rsidR="00812299" w:rsidRDefault="00812299" w:rsidP="00812299">
      <w:pPr>
        <w:jc w:val="both"/>
      </w:pPr>
      <w:r>
        <w:t>In the course of their lives, simulated people can die from one of the BMI related diseases that they might have acquired or from some other cause. The probabilities that a person of a given age and gender dies from a cause other than a BMI related disease are calculated in terms of known death and disease statistics valid in the start-year and are held constant over the course of the simulation. The death rates from BMI related diseases will change as a consequence of the population’s changing BMI distribution.</w:t>
      </w:r>
    </w:p>
    <w:p w:rsidR="00812299" w:rsidRDefault="00812299" w:rsidP="00812299">
      <w:pPr>
        <w:pStyle w:val="PlainText"/>
        <w:rPr>
          <w:rFonts w:ascii="Times New Roman" w:hAnsi="Times New Roman" w:cs="Times New Roman"/>
          <w:b/>
          <w:i/>
        </w:rPr>
      </w:pPr>
    </w:p>
    <w:p w:rsidR="00812299" w:rsidRDefault="00812299" w:rsidP="00812299">
      <w:pPr>
        <w:pStyle w:val="PlainText"/>
        <w:rPr>
          <w:rFonts w:ascii="Times New Roman" w:hAnsi="Times New Roman" w:cs="Times New Roman"/>
          <w:b/>
          <w:i/>
        </w:rPr>
      </w:pPr>
    </w:p>
    <w:p w:rsidR="00812299" w:rsidRDefault="00812299" w:rsidP="00812299"/>
    <w:p w:rsidR="00812299" w:rsidRDefault="00812299" w:rsidP="00812299">
      <w:pPr>
        <w:pStyle w:val="Caption"/>
      </w:pPr>
    </w:p>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812299" w:rsidRDefault="00812299" w:rsidP="00812299"/>
    <w:p w:rsidR="00530945" w:rsidRDefault="00530945"/>
    <w:sectPr w:rsidR="00530945" w:rsidSect="005309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99" w:rsidRDefault="00812299" w:rsidP="00812299">
      <w:r>
        <w:separator/>
      </w:r>
    </w:p>
  </w:endnote>
  <w:endnote w:type="continuationSeparator" w:id="0">
    <w:p w:rsidR="00812299" w:rsidRDefault="00812299" w:rsidP="008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99" w:rsidRDefault="00812299" w:rsidP="00812299">
      <w:r>
        <w:separator/>
      </w:r>
    </w:p>
  </w:footnote>
  <w:footnote w:type="continuationSeparator" w:id="0">
    <w:p w:rsidR="00812299" w:rsidRDefault="00812299" w:rsidP="00812299">
      <w:r>
        <w:continuationSeparator/>
      </w:r>
    </w:p>
  </w:footnote>
  <w:footnote w:id="1">
    <w:p w:rsidR="00812299" w:rsidRPr="0056200B" w:rsidRDefault="00812299" w:rsidP="00812299">
      <w:pPr>
        <w:pStyle w:val="FootnoteText"/>
        <w:rPr>
          <w:lang w:val="en-GB"/>
        </w:rPr>
      </w:pPr>
      <w:r>
        <w:rPr>
          <w:rStyle w:val="FootnoteReference"/>
        </w:rPr>
        <w:footnoteRef/>
      </w:r>
      <w:r>
        <w:t xml:space="preserve"> </w:t>
      </w:r>
      <w:r>
        <w:rPr>
          <w:lang w:val="en-GB"/>
        </w:rPr>
        <w:t>Foresight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1F7"/>
    <w:multiLevelType w:val="hybridMultilevel"/>
    <w:tmpl w:val="AAEEE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299"/>
    <w:rsid w:val="002164B6"/>
    <w:rsid w:val="00530945"/>
    <w:rsid w:val="0081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99"/>
    <w:pPr>
      <w:ind w:left="720"/>
      <w:contextualSpacing/>
    </w:pPr>
  </w:style>
  <w:style w:type="character" w:styleId="FootnoteReference">
    <w:name w:val="footnote reference"/>
    <w:basedOn w:val="DefaultParagraphFont"/>
    <w:semiHidden/>
    <w:unhideWhenUsed/>
    <w:rsid w:val="00812299"/>
    <w:rPr>
      <w:vertAlign w:val="superscript"/>
    </w:rPr>
  </w:style>
  <w:style w:type="paragraph" w:styleId="FootnoteText">
    <w:name w:val="footnote text"/>
    <w:basedOn w:val="Normal"/>
    <w:link w:val="FootnoteTextChar"/>
    <w:unhideWhenUsed/>
    <w:rsid w:val="00812299"/>
    <w:rPr>
      <w:sz w:val="20"/>
      <w:szCs w:val="20"/>
      <w:lang w:val="en-US"/>
    </w:rPr>
  </w:style>
  <w:style w:type="character" w:customStyle="1" w:styleId="FootnoteTextChar">
    <w:name w:val="Footnote Text Char"/>
    <w:basedOn w:val="DefaultParagraphFont"/>
    <w:link w:val="FootnoteText"/>
    <w:rsid w:val="00812299"/>
    <w:rPr>
      <w:rFonts w:ascii="Times New Roman" w:eastAsia="Times New Roman" w:hAnsi="Times New Roman" w:cs="Times New Roman"/>
      <w:sz w:val="20"/>
      <w:szCs w:val="20"/>
      <w:lang w:val="en-US" w:eastAsia="en-GB"/>
    </w:rPr>
  </w:style>
  <w:style w:type="paragraph" w:styleId="Caption">
    <w:name w:val="caption"/>
    <w:basedOn w:val="Normal"/>
    <w:next w:val="Normal"/>
    <w:link w:val="CaptionChar"/>
    <w:unhideWhenUsed/>
    <w:qFormat/>
    <w:rsid w:val="00812299"/>
    <w:rPr>
      <w:b/>
      <w:bCs/>
      <w:color w:val="4F81BD"/>
      <w:sz w:val="18"/>
      <w:szCs w:val="18"/>
    </w:rPr>
  </w:style>
  <w:style w:type="paragraph" w:styleId="PlainText">
    <w:name w:val="Plain Text"/>
    <w:basedOn w:val="Normal"/>
    <w:link w:val="PlainTextChar"/>
    <w:uiPriority w:val="99"/>
    <w:unhideWhenUsed/>
    <w:rsid w:val="0081229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12299"/>
    <w:rPr>
      <w:rFonts w:ascii="Consolas" w:hAnsi="Consolas"/>
      <w:sz w:val="21"/>
      <w:szCs w:val="21"/>
    </w:rPr>
  </w:style>
  <w:style w:type="character" w:customStyle="1" w:styleId="CaptionChar">
    <w:name w:val="Caption Char"/>
    <w:basedOn w:val="DefaultParagraphFont"/>
    <w:link w:val="Caption"/>
    <w:rsid w:val="00812299"/>
    <w:rPr>
      <w:rFonts w:ascii="Times New Roman" w:eastAsia="Times New Roman" w:hAnsi="Times New Roman" w:cs="Times New Roman"/>
      <w:b/>
      <w:bCs/>
      <w:color w:val="4F81BD"/>
      <w:sz w:val="18"/>
      <w:szCs w:val="18"/>
      <w:lang w:eastAsia="en-GB"/>
    </w:rPr>
  </w:style>
  <w:style w:type="paragraph" w:styleId="BalloonText">
    <w:name w:val="Balloon Text"/>
    <w:basedOn w:val="Normal"/>
    <w:link w:val="BalloonTextChar"/>
    <w:uiPriority w:val="99"/>
    <w:semiHidden/>
    <w:unhideWhenUsed/>
    <w:rsid w:val="00812299"/>
    <w:rPr>
      <w:rFonts w:ascii="Tahoma" w:hAnsi="Tahoma" w:cs="Tahoma"/>
      <w:sz w:val="16"/>
      <w:szCs w:val="16"/>
    </w:rPr>
  </w:style>
  <w:style w:type="character" w:customStyle="1" w:styleId="BalloonTextChar">
    <w:name w:val="Balloon Text Char"/>
    <w:basedOn w:val="DefaultParagraphFont"/>
    <w:link w:val="BalloonText"/>
    <w:uiPriority w:val="99"/>
    <w:semiHidden/>
    <w:rsid w:val="0081229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lwebber</dc:creator>
  <cp:keywords/>
  <dc:description/>
  <cp:lastModifiedBy>Laura Webber</cp:lastModifiedBy>
  <cp:revision>2</cp:revision>
  <dcterms:created xsi:type="dcterms:W3CDTF">2012-05-30T09:36:00Z</dcterms:created>
  <dcterms:modified xsi:type="dcterms:W3CDTF">2012-06-01T11:25:00Z</dcterms:modified>
</cp:coreProperties>
</file>