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0" w:rsidRPr="0077736C" w:rsidRDefault="003D6B40" w:rsidP="003D6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6</w:t>
      </w:r>
      <w:r w:rsidRPr="0077736C">
        <w:rPr>
          <w:rFonts w:ascii="Arial" w:hAnsi="Arial" w:cs="Arial"/>
          <w:sz w:val="24"/>
          <w:szCs w:val="24"/>
        </w:rPr>
        <w:t>: List of efflux transporters that were not changed with Nrf2 activation.</w:t>
      </w:r>
    </w:p>
    <w:tbl>
      <w:tblPr>
        <w:tblW w:w="9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6240"/>
      </w:tblGrid>
      <w:tr w:rsidR="003D6B40" w:rsidRPr="0077736C" w:rsidTr="00674BB5">
        <w:trPr>
          <w:trHeight w:val="596"/>
        </w:trPr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6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</w:tr>
      <w:tr w:rsidR="003D6B40" w:rsidRPr="0077736C" w:rsidTr="00674BB5">
        <w:trPr>
          <w:trHeight w:val="596"/>
        </w:trPr>
        <w:tc>
          <w:tcPr>
            <w:tcW w:w="3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ATP-binding cassette</w:t>
            </w:r>
          </w:p>
        </w:tc>
        <w:tc>
          <w:tcPr>
            <w:tcW w:w="62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Abca1, Mdr2 (Abcb4),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Bsep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(Abcb11), Mrp6 (Abcc6)</w:t>
            </w:r>
          </w:p>
        </w:tc>
      </w:tr>
      <w:tr w:rsidR="003D6B40" w:rsidRPr="0077736C" w:rsidTr="00674BB5">
        <w:trPr>
          <w:trHeight w:val="596"/>
        </w:trPr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Solute carrier family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40" w:rsidRPr="0077736C" w:rsidRDefault="003D6B40" w:rsidP="00674BB5">
            <w:pPr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Mate1 (Slc47a1)</w:t>
            </w:r>
          </w:p>
        </w:tc>
      </w:tr>
    </w:tbl>
    <w:p w:rsidR="003D6B40" w:rsidRDefault="003D6B40" w:rsidP="003D6B40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0"/>
    <w:rsid w:val="003D6B40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2012-05-18T18:52:00Z</dcterms:created>
  <dcterms:modified xsi:type="dcterms:W3CDTF">2012-05-18T18:52:00Z</dcterms:modified>
</cp:coreProperties>
</file>