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E1" w:rsidRPr="0046308F" w:rsidRDefault="004C55E1" w:rsidP="007235C1">
      <w:pPr>
        <w:pStyle w:val="Caption"/>
        <w:keepNext/>
        <w:rPr>
          <w:b w:val="0"/>
          <w:color w:val="auto"/>
          <w:sz w:val="22"/>
          <w:szCs w:val="22"/>
        </w:rPr>
      </w:pPr>
      <w:r w:rsidRPr="00612BAF">
        <w:rPr>
          <w:color w:val="auto"/>
          <w:sz w:val="22"/>
          <w:szCs w:val="22"/>
        </w:rPr>
        <w:t xml:space="preserve">Table </w:t>
      </w:r>
      <w:r>
        <w:rPr>
          <w:color w:val="auto"/>
          <w:sz w:val="22"/>
          <w:szCs w:val="22"/>
        </w:rPr>
        <w:t xml:space="preserve">S3. </w:t>
      </w:r>
      <w:r w:rsidRPr="004D4728">
        <w:rPr>
          <w:b w:val="0"/>
          <w:color w:val="auto"/>
          <w:sz w:val="22"/>
          <w:szCs w:val="22"/>
        </w:rPr>
        <w:t>Forty-</w:t>
      </w:r>
      <w:r>
        <w:rPr>
          <w:b w:val="0"/>
          <w:color w:val="auto"/>
          <w:sz w:val="22"/>
          <w:szCs w:val="22"/>
        </w:rPr>
        <w:t>nine</w:t>
      </w:r>
      <w:r>
        <w:rPr>
          <w:color w:val="auto"/>
          <w:sz w:val="22"/>
          <w:szCs w:val="22"/>
        </w:rPr>
        <w:t xml:space="preserve"> </w:t>
      </w:r>
      <w:r w:rsidRPr="00612BAF">
        <w:rPr>
          <w:b w:val="0"/>
          <w:color w:val="auto"/>
          <w:sz w:val="22"/>
          <w:szCs w:val="22"/>
        </w:rPr>
        <w:t>SNPs t</w:t>
      </w:r>
      <w:r w:rsidRPr="0046308F">
        <w:rPr>
          <w:b w:val="0"/>
          <w:color w:val="auto"/>
          <w:sz w:val="22"/>
          <w:szCs w:val="22"/>
        </w:rPr>
        <w:t>hat showed statistically significant p-values, corrected for multiple testing, for at least one of eight iron-related outcomes in the white sample (48 SNPS) or the African-American sample (one SNP)</w:t>
      </w:r>
      <w:r w:rsidRPr="0046308F">
        <w:rPr>
          <w:b w:val="0"/>
          <w:color w:val="auto"/>
          <w:sz w:val="22"/>
          <w:szCs w:val="22"/>
          <w:vertAlign w:val="superscript"/>
        </w:rPr>
        <w:t>a</w:t>
      </w:r>
    </w:p>
    <w:tbl>
      <w:tblPr>
        <w:tblW w:w="0" w:type="auto"/>
        <w:tblLook w:val="00A0"/>
      </w:tblPr>
      <w:tblGrid>
        <w:gridCol w:w="1234"/>
        <w:gridCol w:w="507"/>
        <w:gridCol w:w="1117"/>
        <w:gridCol w:w="1167"/>
        <w:gridCol w:w="1257"/>
        <w:gridCol w:w="974"/>
        <w:gridCol w:w="974"/>
        <w:gridCol w:w="974"/>
        <w:gridCol w:w="974"/>
        <w:gridCol w:w="993"/>
        <w:gridCol w:w="974"/>
        <w:gridCol w:w="974"/>
        <w:gridCol w:w="1046"/>
      </w:tblGrid>
      <w:tr w:rsidR="004C55E1" w:rsidRPr="0046308F" w:rsidTr="00226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SNP</w:t>
            </w:r>
          </w:p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selection</w:t>
            </w:r>
            <w:r w:rsidRPr="0046308F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Multiple Regression Model Outcome</w:t>
            </w:r>
            <w:r w:rsidRPr="0046308F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SNP</w:t>
            </w:r>
          </w:p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Chr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Position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Case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Log</w:t>
            </w:r>
            <w:r w:rsidRPr="0046308F">
              <w:rPr>
                <w:sz w:val="18"/>
                <w:szCs w:val="18"/>
                <w:vertAlign w:val="subscript"/>
              </w:rPr>
              <w:t>e</w:t>
            </w:r>
            <w:r w:rsidRPr="0046308F">
              <w:rPr>
                <w:sz w:val="18"/>
                <w:szCs w:val="18"/>
              </w:rPr>
              <w:t>(SF)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Log</w:t>
            </w:r>
            <w:r w:rsidRPr="0046308F">
              <w:rPr>
                <w:sz w:val="18"/>
                <w:szCs w:val="18"/>
                <w:vertAlign w:val="subscript"/>
              </w:rPr>
              <w:t>e</w:t>
            </w:r>
            <w:r w:rsidRPr="0046308F">
              <w:rPr>
                <w:sz w:val="18"/>
                <w:szCs w:val="18"/>
              </w:rPr>
              <w:t>(TfR)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UIBC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TIBC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rs164176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160622113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4.09x10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rs1816618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64301388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4.84x10</w:t>
            </w:r>
            <w:r w:rsidRPr="0046308F">
              <w:rPr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3.46x10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rs871776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64309178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3.64x10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rs2698524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64324864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1.03x10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9.67x10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rs6750096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64327573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3.69x10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rs2251764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64338969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3.24x10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4.04x10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8.48x10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rs2698541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64342183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1.83x10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1.28x10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2.62x10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  <w:r w:rsidRPr="0046308F">
              <w:rPr>
                <w:sz w:val="18"/>
                <w:szCs w:val="18"/>
              </w:rPr>
              <w:t>rs2555442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64342795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3.06x10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2.25x10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3.68x10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rs890482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64346439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2.68x10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2.97x10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5.72x10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rs2698527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64353133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4.17x10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4.19x10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rs1426710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64355179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1.12x10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4.80x10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1.69x10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rs2698530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64357399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6.01x10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7.05x10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rs1867504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134893351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Literature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8.22x10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rs4525863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134918826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GWAS/Lit.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0.3518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2.16x10</w:t>
            </w:r>
            <w:r w:rsidRPr="0046308F">
              <w:rPr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rs4428180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134949064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1.40x10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2.95x10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rs8177224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134956693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2.05x10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2.40x10</w:t>
            </w:r>
            <w:r w:rsidRPr="0046308F">
              <w:rPr>
                <w:b/>
                <w:sz w:val="18"/>
                <w:szCs w:val="18"/>
                <w:vertAlign w:val="superscript"/>
              </w:rPr>
              <w:t>-9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rs3811658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134959542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1.69x10</w:t>
            </w:r>
            <w:r w:rsidRPr="0046308F">
              <w:rPr>
                <w:b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1.14x10</w:t>
            </w:r>
            <w:r w:rsidRPr="0046308F">
              <w:rPr>
                <w:b/>
                <w:sz w:val="18"/>
                <w:szCs w:val="18"/>
                <w:vertAlign w:val="superscript"/>
              </w:rPr>
              <w:t>-13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rs8177248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134962316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5.83x10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1.24x10</w:t>
            </w:r>
            <w:r w:rsidRPr="0046308F">
              <w:rPr>
                <w:b/>
                <w:sz w:val="18"/>
                <w:szCs w:val="18"/>
                <w:vertAlign w:val="superscript"/>
              </w:rPr>
              <w:t>-14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rs1880669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134966386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6.77x10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2.31x10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-12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rs3811647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134966719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GWAS/Gene</w:t>
            </w:r>
          </w:p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/Lit.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6.99x10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5.02×10</w:t>
            </w:r>
            <w:r w:rsidRPr="0046308F">
              <w:rPr>
                <w:b/>
                <w:sz w:val="18"/>
                <w:szCs w:val="18"/>
                <w:vertAlign w:val="superscript"/>
              </w:rPr>
              <w:t>-15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rs1358024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134966878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GWAS/Lit.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8.13x10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1.00x10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rs1525892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134967402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3.03x10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4.56×10</w:t>
            </w:r>
            <w:r w:rsidRPr="0046308F">
              <w:rPr>
                <w:b/>
                <w:sz w:val="18"/>
                <w:szCs w:val="18"/>
                <w:vertAlign w:val="superscript"/>
              </w:rPr>
              <w:t>-15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rs9824452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134975161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1.39x10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rs7638018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134978151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5.41x10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1.22×10</w:t>
            </w:r>
            <w:r w:rsidRPr="0046308F">
              <w:rPr>
                <w:b/>
                <w:sz w:val="18"/>
                <w:szCs w:val="18"/>
                <w:vertAlign w:val="superscript"/>
              </w:rPr>
              <w:t>-14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rs4854760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134981431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7.12x10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1.29×10</w:t>
            </w:r>
            <w:r w:rsidRPr="0046308F">
              <w:rPr>
                <w:b/>
                <w:sz w:val="18"/>
                <w:szCs w:val="18"/>
                <w:vertAlign w:val="superscript"/>
              </w:rPr>
              <w:t>-14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rs4854762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134981753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2.03x10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  <w:lang w:val="de-DE"/>
              </w:rPr>
            </w:pPr>
            <w:r w:rsidRPr="0046308F">
              <w:rPr>
                <w:b/>
                <w:sz w:val="18"/>
                <w:szCs w:val="18"/>
                <w:lang w:val="de-DE"/>
              </w:rPr>
              <w:t>5.71×10</w:t>
            </w:r>
            <w:r w:rsidRPr="0046308F">
              <w:rPr>
                <w:b/>
                <w:sz w:val="18"/>
                <w:szCs w:val="18"/>
                <w:vertAlign w:val="superscript"/>
                <w:lang w:val="de-DE"/>
              </w:rPr>
              <w:t>-14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rs9843728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134984097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  <w:lang w:val="de-DE"/>
              </w:rPr>
            </w:pPr>
            <w:r w:rsidRPr="0046308F">
              <w:rPr>
                <w:i/>
                <w:sz w:val="18"/>
                <w:szCs w:val="18"/>
                <w:lang w:val="de-DE"/>
              </w:rPr>
              <w:t>SRPRB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0.8603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  <w:lang w:val="de-DE"/>
              </w:rPr>
            </w:pPr>
            <w:r w:rsidRPr="0046308F">
              <w:rPr>
                <w:b/>
                <w:sz w:val="18"/>
                <w:szCs w:val="18"/>
                <w:lang w:val="de-DE"/>
              </w:rPr>
              <w:t>2.45x10</w:t>
            </w:r>
            <w:r w:rsidRPr="0046308F">
              <w:rPr>
                <w:b/>
                <w:sz w:val="18"/>
                <w:szCs w:val="18"/>
                <w:vertAlign w:val="superscript"/>
                <w:lang w:val="de-DE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  <w:lang w:val="de-DE"/>
              </w:rPr>
            </w:pPr>
            <w:r w:rsidRPr="0046308F">
              <w:rPr>
                <w:b/>
                <w:sz w:val="18"/>
                <w:szCs w:val="18"/>
                <w:lang w:val="de-DE"/>
              </w:rPr>
              <w:t>6.23×10</w:t>
            </w:r>
            <w:r w:rsidRPr="0046308F">
              <w:rPr>
                <w:b/>
                <w:sz w:val="18"/>
                <w:szCs w:val="18"/>
                <w:vertAlign w:val="superscript"/>
                <w:lang w:val="de-DE"/>
              </w:rPr>
              <w:t>-14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rs1830084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134991154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  <w:lang w:val="de-DE"/>
              </w:rPr>
            </w:pPr>
            <w:r w:rsidRPr="0046308F">
              <w:rPr>
                <w:i/>
                <w:sz w:val="18"/>
                <w:szCs w:val="18"/>
                <w:lang w:val="de-DE"/>
              </w:rPr>
              <w:t>SRPRB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0.8670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0.7942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  <w:lang w:val="de-DE"/>
              </w:rPr>
            </w:pPr>
            <w:r w:rsidRPr="0046308F">
              <w:rPr>
                <w:b/>
                <w:sz w:val="18"/>
                <w:szCs w:val="18"/>
                <w:lang w:val="de-DE"/>
              </w:rPr>
              <w:t>2.28x10</w:t>
            </w:r>
            <w:r w:rsidRPr="0046308F">
              <w:rPr>
                <w:b/>
                <w:sz w:val="18"/>
                <w:szCs w:val="18"/>
                <w:vertAlign w:val="superscript"/>
                <w:lang w:val="de-DE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1.41x10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-11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rs6794676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135000689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  <w:lang w:val="de-DE"/>
              </w:rPr>
            </w:pPr>
            <w:r w:rsidRPr="0046308F">
              <w:rPr>
                <w:i/>
                <w:sz w:val="18"/>
                <w:szCs w:val="18"/>
                <w:lang w:val="de-DE"/>
              </w:rPr>
              <w:t>SRPRB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  <w:lang w:val="de-DE"/>
              </w:rPr>
              <w:t>0.6014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0.5876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1.61x10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rs6794945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135001153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SRPRB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GWAS/Lit.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1.01x10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8.83x10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-13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rs13061203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135001825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SRPRB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3.78x10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rs9853615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135002671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SRPRB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tag 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8.30x10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rs7745902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132878166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3.43x10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5.42x10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rs10263415</w:t>
            </w:r>
            <w:r w:rsidRPr="0046308F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7691330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RPA3</w:t>
            </w:r>
            <w:r w:rsidRPr="0046308F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3.42x10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0.0759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rs4725084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8343391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9.67x10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1.68x10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rs2460970</w:t>
            </w:r>
            <w:r w:rsidRPr="0046308F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119698635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SAMD12</w:t>
            </w:r>
            <w:r w:rsidRPr="0046308F">
              <w:rPr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1.42x10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2.65x10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1.13x10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0.0132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rs880034</w:t>
            </w:r>
            <w:r w:rsidRPr="0046308F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119702442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SAMD12</w:t>
            </w:r>
            <w:r w:rsidRPr="0046308F">
              <w:rPr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1.42x10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2.65x10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1.13x10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0.0132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rs10904850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17037713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1.04x10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0.1387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rs1149580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76227161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C26E6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1.81x10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2.08x10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rs1372045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76240662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2.23x10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rs12915800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32751988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1.32x10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0.0103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rs9948708</w:t>
            </w:r>
            <w:r w:rsidRPr="0046308F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58016101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KIAA1468</w:t>
            </w:r>
            <w:r w:rsidRPr="0046308F">
              <w:rPr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4.52x10</w:t>
            </w:r>
            <w:r w:rsidRPr="0046308F">
              <w:rPr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2.90x10</w:t>
            </w:r>
            <w:r w:rsidRPr="0046308F">
              <w:rPr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4C55E1" w:rsidRPr="0046308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rs11700002</w:t>
            </w:r>
            <w:r w:rsidRPr="0046308F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24539936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i/>
                <w:sz w:val="18"/>
                <w:szCs w:val="18"/>
              </w:rPr>
              <w:t>TMEM90B</w:t>
            </w:r>
            <w:r w:rsidRPr="0046308F">
              <w:rPr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0.6185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46308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  <w:r w:rsidRPr="0046308F">
              <w:rPr>
                <w:b/>
                <w:sz w:val="18"/>
                <w:szCs w:val="18"/>
              </w:rPr>
              <w:t>4.41x10</w:t>
            </w:r>
            <w:r w:rsidRPr="0046308F">
              <w:rPr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4C55E1" w:rsidRPr="0039269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rs987710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20842415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5833A9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1.18x10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6.34x10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1.29x10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0.0155</w:t>
            </w:r>
          </w:p>
        </w:tc>
      </w:tr>
      <w:tr w:rsidR="004C55E1" w:rsidRPr="0039269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rs2111833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35810743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5833A9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833A9">
              <w:rPr>
                <w:i/>
                <w:sz w:val="18"/>
                <w:szCs w:val="18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0.4653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4.66x10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0.8991</w:t>
            </w:r>
          </w:p>
        </w:tc>
      </w:tr>
      <w:tr w:rsidR="004C55E1" w:rsidRPr="0039269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rs2235324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35815670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5833A9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833A9">
              <w:rPr>
                <w:i/>
                <w:sz w:val="18"/>
                <w:szCs w:val="18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0.2924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2.36x10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0.7430</w:t>
            </w:r>
          </w:p>
        </w:tc>
      </w:tr>
      <w:tr w:rsidR="004C55E1" w:rsidRPr="0039269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rs1421312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35817756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5833A9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833A9">
              <w:rPr>
                <w:i/>
                <w:sz w:val="18"/>
                <w:szCs w:val="18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3.71x10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0.6546</w:t>
            </w:r>
          </w:p>
        </w:tc>
      </w:tr>
      <w:tr w:rsidR="004C55E1" w:rsidRPr="0039269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rs2743825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35822147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5833A9" w:rsidRDefault="004C55E1" w:rsidP="0022673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833A9">
              <w:rPr>
                <w:i/>
                <w:sz w:val="18"/>
                <w:szCs w:val="18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0.9070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0.3253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0.5522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0.0645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3.44x10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0.3232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0.2146</w:t>
            </w:r>
          </w:p>
        </w:tc>
      </w:tr>
      <w:tr w:rsidR="004C55E1" w:rsidRPr="0039269F" w:rsidTr="002267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rs2335011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97632889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9269F">
              <w:rPr>
                <w:b/>
                <w:color w:val="000000"/>
                <w:sz w:val="18"/>
                <w:szCs w:val="18"/>
              </w:rPr>
              <w:t>2.27x10</w:t>
            </w:r>
            <w:r w:rsidRPr="0039269F">
              <w:rPr>
                <w:b/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0.8168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E1" w:rsidRPr="0039269F" w:rsidRDefault="004C55E1" w:rsidP="002267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9269F">
              <w:rPr>
                <w:color w:val="000000"/>
                <w:sz w:val="18"/>
                <w:szCs w:val="18"/>
              </w:rPr>
              <w:t>0.0001</w:t>
            </w:r>
          </w:p>
        </w:tc>
      </w:tr>
    </w:tbl>
    <w:p w:rsidR="004C55E1" w:rsidRDefault="004C55E1" w:rsidP="006F19AB">
      <w:pPr>
        <w:spacing w:after="0"/>
        <w:ind w:left="120" w:hanging="120"/>
        <w:rPr>
          <w:sz w:val="22"/>
          <w:szCs w:val="22"/>
          <w:vertAlign w:val="superscript"/>
        </w:rPr>
      </w:pPr>
    </w:p>
    <w:p w:rsidR="004C55E1" w:rsidRDefault="004C55E1" w:rsidP="006F19AB">
      <w:pPr>
        <w:spacing w:after="0"/>
        <w:ind w:left="120" w:hanging="120"/>
        <w:rPr>
          <w:sz w:val="22"/>
          <w:szCs w:val="22"/>
        </w:rPr>
      </w:pPr>
      <w:r w:rsidRPr="005D09FB">
        <w:rPr>
          <w:sz w:val="22"/>
          <w:szCs w:val="22"/>
          <w:vertAlign w:val="superscript"/>
        </w:rPr>
        <w:t>a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Forty-eight of 49 SNPS were significantly associated with at least one outcome in the white population sample; rs10904850 in the </w:t>
      </w:r>
      <w:r w:rsidRPr="005D09FB">
        <w:rPr>
          <w:i/>
          <w:sz w:val="22"/>
          <w:szCs w:val="22"/>
        </w:rPr>
        <w:t>CUBN</w:t>
      </w:r>
      <w:r>
        <w:rPr>
          <w:sz w:val="22"/>
          <w:szCs w:val="22"/>
        </w:rPr>
        <w:t xml:space="preserve"> gene was significantly associated with serum iron in the African-American population sample.</w:t>
      </w:r>
    </w:p>
    <w:p w:rsidR="004C55E1" w:rsidRDefault="004C55E1" w:rsidP="006F19AB">
      <w:pPr>
        <w:spacing w:after="0"/>
        <w:ind w:left="120" w:hanging="120"/>
        <w:rPr>
          <w:sz w:val="22"/>
          <w:szCs w:val="22"/>
        </w:rPr>
      </w:pPr>
      <w:r w:rsidRPr="005D09FB">
        <w:rPr>
          <w:sz w:val="22"/>
          <w:szCs w:val="22"/>
          <w:vertAlign w:val="superscript"/>
        </w:rPr>
        <w:t>b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Regression outcomes: case-control status (case), body iron, (BI</w:t>
      </w:r>
      <w:r w:rsidRPr="00612BA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natural log of </w:t>
      </w:r>
      <w:r w:rsidRPr="00612BAF">
        <w:rPr>
          <w:sz w:val="22"/>
          <w:szCs w:val="22"/>
        </w:rPr>
        <w:t>serum ferritin concentration</w:t>
      </w:r>
      <w:r>
        <w:rPr>
          <w:sz w:val="22"/>
          <w:szCs w:val="22"/>
        </w:rPr>
        <w:t xml:space="preserve"> (log</w:t>
      </w:r>
      <w:r w:rsidRPr="00DE74E4">
        <w:rPr>
          <w:sz w:val="22"/>
          <w:szCs w:val="22"/>
          <w:vertAlign w:val="subscript"/>
        </w:rPr>
        <w:t>e</w:t>
      </w:r>
      <w:r>
        <w:rPr>
          <w:sz w:val="22"/>
          <w:szCs w:val="22"/>
        </w:rPr>
        <w:t xml:space="preserve">SF), </w:t>
      </w:r>
      <w:r w:rsidRPr="00612BAF">
        <w:rPr>
          <w:sz w:val="22"/>
          <w:szCs w:val="22"/>
        </w:rPr>
        <w:t>transferrin saturation</w:t>
      </w:r>
      <w:r>
        <w:rPr>
          <w:sz w:val="22"/>
          <w:szCs w:val="22"/>
        </w:rPr>
        <w:t xml:space="preserve"> (TfS), natural log of </w:t>
      </w:r>
      <w:r w:rsidRPr="00612BAF">
        <w:rPr>
          <w:sz w:val="22"/>
          <w:szCs w:val="22"/>
        </w:rPr>
        <w:t xml:space="preserve">serum </w:t>
      </w:r>
      <w:r>
        <w:rPr>
          <w:sz w:val="22"/>
          <w:szCs w:val="22"/>
        </w:rPr>
        <w:t>transferrin receptor (log</w:t>
      </w:r>
      <w:r w:rsidRPr="00DE74E4">
        <w:rPr>
          <w:sz w:val="22"/>
          <w:szCs w:val="22"/>
          <w:vertAlign w:val="subscript"/>
        </w:rPr>
        <w:t>e</w:t>
      </w:r>
      <w:r>
        <w:rPr>
          <w:sz w:val="22"/>
          <w:szCs w:val="22"/>
        </w:rPr>
        <w:t xml:space="preserve">sTfR), </w:t>
      </w:r>
      <w:r w:rsidRPr="00612BAF">
        <w:rPr>
          <w:sz w:val="22"/>
          <w:szCs w:val="22"/>
        </w:rPr>
        <w:t>serum iron</w:t>
      </w:r>
      <w:r>
        <w:rPr>
          <w:sz w:val="22"/>
          <w:szCs w:val="22"/>
        </w:rPr>
        <w:t xml:space="preserve"> (SI), </w:t>
      </w:r>
      <w:r w:rsidRPr="00612BAF">
        <w:rPr>
          <w:sz w:val="22"/>
          <w:szCs w:val="22"/>
        </w:rPr>
        <w:t xml:space="preserve">unsaturated iron-binding capacity </w:t>
      </w:r>
      <w:r>
        <w:rPr>
          <w:sz w:val="22"/>
          <w:szCs w:val="22"/>
        </w:rPr>
        <w:t xml:space="preserve">(UIBC), and </w:t>
      </w:r>
      <w:r w:rsidRPr="00612BAF">
        <w:rPr>
          <w:sz w:val="22"/>
          <w:szCs w:val="22"/>
        </w:rPr>
        <w:t>total iron-binding capacit</w:t>
      </w:r>
      <w:r>
        <w:rPr>
          <w:sz w:val="22"/>
          <w:szCs w:val="22"/>
        </w:rPr>
        <w:t xml:space="preserve">y (TIBC). Values in bold are less than the </w:t>
      </w:r>
      <w:r w:rsidRPr="00612BAF">
        <w:rPr>
          <w:sz w:val="22"/>
          <w:szCs w:val="22"/>
        </w:rPr>
        <w:t>Bonferroni multiple test-corrected nominal p-value of 0.05/1134 = 4.4×10</w:t>
      </w:r>
      <w:r w:rsidRPr="00612BAF">
        <w:rPr>
          <w:sz w:val="22"/>
          <w:szCs w:val="22"/>
          <w:vertAlign w:val="superscript"/>
        </w:rPr>
        <w:t>-5</w:t>
      </w:r>
      <w:r w:rsidRPr="00612BAF">
        <w:rPr>
          <w:sz w:val="22"/>
          <w:szCs w:val="22"/>
        </w:rPr>
        <w:t xml:space="preserve">. </w:t>
      </w:r>
    </w:p>
    <w:p w:rsidR="004C55E1" w:rsidRDefault="004C55E1" w:rsidP="006F19AB">
      <w:pPr>
        <w:spacing w:after="0"/>
        <w:ind w:left="120" w:hanging="120"/>
        <w:rPr>
          <w:sz w:val="22"/>
          <w:szCs w:val="22"/>
          <w:lang w:val="en-AU"/>
        </w:rPr>
      </w:pPr>
      <w:r w:rsidRPr="00F12DA6">
        <w:rPr>
          <w:sz w:val="22"/>
          <w:szCs w:val="22"/>
          <w:vertAlign w:val="superscript"/>
        </w:rPr>
        <w:t>c</w:t>
      </w:r>
      <w:r>
        <w:rPr>
          <w:sz w:val="22"/>
          <w:szCs w:val="22"/>
          <w:vertAlign w:val="superscript"/>
        </w:rPr>
        <w:tab/>
      </w:r>
      <w:r w:rsidRPr="00612BAF">
        <w:rPr>
          <w:sz w:val="22"/>
          <w:szCs w:val="22"/>
        </w:rPr>
        <w:t>Reaso</w:t>
      </w:r>
      <w:r>
        <w:rPr>
          <w:sz w:val="22"/>
          <w:szCs w:val="22"/>
        </w:rPr>
        <w:t xml:space="preserve">ns for selecting SNPs for </w:t>
      </w:r>
      <w:r w:rsidRPr="00612BAF">
        <w:rPr>
          <w:sz w:val="22"/>
          <w:szCs w:val="22"/>
        </w:rPr>
        <w:t xml:space="preserve">analysis are given as “GWAS” for </w:t>
      </w:r>
      <w:r w:rsidRPr="00612BAF">
        <w:rPr>
          <w:sz w:val="22"/>
          <w:szCs w:val="22"/>
          <w:lang w:val="en-AU"/>
        </w:rPr>
        <w:t>SNPs significantly associated with any of the eight outcomes</w:t>
      </w:r>
      <w:r w:rsidRPr="00612BAF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our </w:t>
      </w:r>
      <w:r w:rsidRPr="00612BAF">
        <w:rPr>
          <w:sz w:val="22"/>
          <w:szCs w:val="22"/>
        </w:rPr>
        <w:t xml:space="preserve">previously </w:t>
      </w:r>
      <w:r w:rsidRPr="00990C73">
        <w:rPr>
          <w:sz w:val="22"/>
          <w:szCs w:val="22"/>
        </w:rPr>
        <w:t xml:space="preserve">preformed GWAS, “tag SNP” for </w:t>
      </w:r>
      <w:r w:rsidRPr="00990C73">
        <w:rPr>
          <w:sz w:val="22"/>
          <w:szCs w:val="22"/>
          <w:lang w:val="en-AU"/>
        </w:rPr>
        <w:t xml:space="preserve">SNPs tagging regions around SNPs that were significantly associated with one of the outcomes in our </w:t>
      </w:r>
      <w:r>
        <w:rPr>
          <w:sz w:val="22"/>
          <w:szCs w:val="22"/>
        </w:rPr>
        <w:t xml:space="preserve">previous </w:t>
      </w:r>
      <w:r w:rsidRPr="00990C73">
        <w:rPr>
          <w:sz w:val="22"/>
          <w:szCs w:val="22"/>
        </w:rPr>
        <w:t>GWAS</w:t>
      </w:r>
      <w:r w:rsidRPr="00990C73">
        <w:rPr>
          <w:sz w:val="22"/>
          <w:szCs w:val="22"/>
          <w:lang w:val="en-AU"/>
        </w:rPr>
        <w:t xml:space="preserve"> and replicated in an independent population, “</w:t>
      </w:r>
      <w:r w:rsidRPr="00990C73">
        <w:rPr>
          <w:sz w:val="22"/>
          <w:szCs w:val="22"/>
        </w:rPr>
        <w:t>Literature or Lit.” for SNPs reported in the literature as being associated with iron-related traits, and “Gene” for SNPs tagging</w:t>
      </w:r>
      <w:r w:rsidRPr="00990C73">
        <w:rPr>
          <w:sz w:val="22"/>
          <w:szCs w:val="22"/>
          <w:lang w:val="en-AU"/>
        </w:rPr>
        <w:t xml:space="preserve"> candidate genes</w:t>
      </w:r>
      <w:r>
        <w:rPr>
          <w:sz w:val="22"/>
          <w:szCs w:val="22"/>
          <w:lang w:val="en-AU"/>
        </w:rPr>
        <w:t>.</w:t>
      </w:r>
    </w:p>
    <w:p w:rsidR="004C55E1" w:rsidRPr="00612BAF" w:rsidRDefault="004C55E1" w:rsidP="006F19AB">
      <w:pPr>
        <w:spacing w:after="0"/>
        <w:ind w:left="120" w:hanging="120"/>
        <w:rPr>
          <w:sz w:val="22"/>
          <w:szCs w:val="22"/>
        </w:rPr>
      </w:pPr>
      <w:r>
        <w:rPr>
          <w:sz w:val="22"/>
          <w:szCs w:val="22"/>
          <w:vertAlign w:val="superscript"/>
        </w:rPr>
        <w:t>d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SNP identified through our GWAS but not known to be in iron-related genes.</w:t>
      </w:r>
    </w:p>
    <w:sectPr w:rsidR="004C55E1" w:rsidRPr="00612BAF" w:rsidSect="006C2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E1" w:rsidRDefault="004C55E1">
      <w:r>
        <w:separator/>
      </w:r>
    </w:p>
  </w:endnote>
  <w:endnote w:type="continuationSeparator" w:id="0">
    <w:p w:rsidR="004C55E1" w:rsidRDefault="004C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E1" w:rsidRDefault="004C55E1" w:rsidP="00FA308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C55E1" w:rsidRDefault="004C55E1" w:rsidP="000255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E1" w:rsidRPr="00EC284D" w:rsidRDefault="004C55E1" w:rsidP="00FA3089">
    <w:pPr>
      <w:pStyle w:val="Footer"/>
      <w:framePr w:wrap="around" w:vAnchor="text" w:hAnchor="margin" w:xAlign="right" w:y="1"/>
      <w:rPr>
        <w:rStyle w:val="PageNumber"/>
        <w:rFonts w:cs="Arial"/>
        <w:sz w:val="22"/>
        <w:szCs w:val="22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4C55E1" w:rsidRDefault="004C55E1" w:rsidP="0002552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E1" w:rsidRDefault="004C5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E1" w:rsidRDefault="004C55E1">
      <w:r>
        <w:separator/>
      </w:r>
    </w:p>
  </w:footnote>
  <w:footnote w:type="continuationSeparator" w:id="0">
    <w:p w:rsidR="004C55E1" w:rsidRDefault="004C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E1" w:rsidRDefault="004C5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E1" w:rsidRDefault="004C55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E1" w:rsidRDefault="004C5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C1"/>
    <w:rsid w:val="00022DD6"/>
    <w:rsid w:val="00025524"/>
    <w:rsid w:val="00030157"/>
    <w:rsid w:val="00046C69"/>
    <w:rsid w:val="000556A2"/>
    <w:rsid w:val="00060619"/>
    <w:rsid w:val="00065F55"/>
    <w:rsid w:val="0009250F"/>
    <w:rsid w:val="000A2460"/>
    <w:rsid w:val="000D6E8B"/>
    <w:rsid w:val="000F00B5"/>
    <w:rsid w:val="000F5ED6"/>
    <w:rsid w:val="00110644"/>
    <w:rsid w:val="001158F3"/>
    <w:rsid w:val="00174A13"/>
    <w:rsid w:val="00177AE5"/>
    <w:rsid w:val="00195121"/>
    <w:rsid w:val="001D5FE6"/>
    <w:rsid w:val="00212CAA"/>
    <w:rsid w:val="00226739"/>
    <w:rsid w:val="002460A0"/>
    <w:rsid w:val="002479A8"/>
    <w:rsid w:val="00252A61"/>
    <w:rsid w:val="003548FC"/>
    <w:rsid w:val="00372417"/>
    <w:rsid w:val="0039269F"/>
    <w:rsid w:val="003951CB"/>
    <w:rsid w:val="003D7B35"/>
    <w:rsid w:val="0040546D"/>
    <w:rsid w:val="0046308F"/>
    <w:rsid w:val="0047328D"/>
    <w:rsid w:val="004A6CFD"/>
    <w:rsid w:val="004B064D"/>
    <w:rsid w:val="004B30B2"/>
    <w:rsid w:val="004B5F72"/>
    <w:rsid w:val="004C55E1"/>
    <w:rsid w:val="004D4728"/>
    <w:rsid w:val="00527231"/>
    <w:rsid w:val="00546EEF"/>
    <w:rsid w:val="0057636C"/>
    <w:rsid w:val="005832D4"/>
    <w:rsid w:val="005833A9"/>
    <w:rsid w:val="005C05E2"/>
    <w:rsid w:val="005C0D06"/>
    <w:rsid w:val="005C26B1"/>
    <w:rsid w:val="005D09FB"/>
    <w:rsid w:val="005D6D46"/>
    <w:rsid w:val="005E1E40"/>
    <w:rsid w:val="005E4994"/>
    <w:rsid w:val="005F50B1"/>
    <w:rsid w:val="00612BAF"/>
    <w:rsid w:val="00613246"/>
    <w:rsid w:val="00617899"/>
    <w:rsid w:val="00625CFC"/>
    <w:rsid w:val="00631F04"/>
    <w:rsid w:val="00641EC0"/>
    <w:rsid w:val="006A5822"/>
    <w:rsid w:val="006C2C1F"/>
    <w:rsid w:val="006F19AB"/>
    <w:rsid w:val="0070711F"/>
    <w:rsid w:val="007235C1"/>
    <w:rsid w:val="007318B3"/>
    <w:rsid w:val="007732DC"/>
    <w:rsid w:val="007C5F73"/>
    <w:rsid w:val="007D5434"/>
    <w:rsid w:val="007E18F1"/>
    <w:rsid w:val="00805A4F"/>
    <w:rsid w:val="008263F3"/>
    <w:rsid w:val="008E78FC"/>
    <w:rsid w:val="00905E8A"/>
    <w:rsid w:val="0091077B"/>
    <w:rsid w:val="00913E46"/>
    <w:rsid w:val="00921B18"/>
    <w:rsid w:val="00942A17"/>
    <w:rsid w:val="00990C73"/>
    <w:rsid w:val="009B11F8"/>
    <w:rsid w:val="009B6792"/>
    <w:rsid w:val="009C7C7D"/>
    <w:rsid w:val="009D3975"/>
    <w:rsid w:val="009D550F"/>
    <w:rsid w:val="009E2601"/>
    <w:rsid w:val="00A12BB4"/>
    <w:rsid w:val="00A17972"/>
    <w:rsid w:val="00A35C34"/>
    <w:rsid w:val="00A366D6"/>
    <w:rsid w:val="00A37025"/>
    <w:rsid w:val="00A81EAD"/>
    <w:rsid w:val="00AA3AC7"/>
    <w:rsid w:val="00AA5CDC"/>
    <w:rsid w:val="00B0038A"/>
    <w:rsid w:val="00B05679"/>
    <w:rsid w:val="00B61B3D"/>
    <w:rsid w:val="00B74963"/>
    <w:rsid w:val="00B8115C"/>
    <w:rsid w:val="00B93C07"/>
    <w:rsid w:val="00BA0850"/>
    <w:rsid w:val="00BB68BE"/>
    <w:rsid w:val="00BC2412"/>
    <w:rsid w:val="00BD076C"/>
    <w:rsid w:val="00BD4CF6"/>
    <w:rsid w:val="00BE7BA7"/>
    <w:rsid w:val="00C26E69"/>
    <w:rsid w:val="00CB4F71"/>
    <w:rsid w:val="00CF59F7"/>
    <w:rsid w:val="00D30F95"/>
    <w:rsid w:val="00D9123D"/>
    <w:rsid w:val="00DB5797"/>
    <w:rsid w:val="00DC1260"/>
    <w:rsid w:val="00DD3728"/>
    <w:rsid w:val="00DE74E4"/>
    <w:rsid w:val="00E7047B"/>
    <w:rsid w:val="00E72DA3"/>
    <w:rsid w:val="00E86BF5"/>
    <w:rsid w:val="00EC284D"/>
    <w:rsid w:val="00F056B3"/>
    <w:rsid w:val="00F12DA6"/>
    <w:rsid w:val="00F404BE"/>
    <w:rsid w:val="00F412CD"/>
    <w:rsid w:val="00F60A85"/>
    <w:rsid w:val="00F62885"/>
    <w:rsid w:val="00F71C80"/>
    <w:rsid w:val="00F75A7F"/>
    <w:rsid w:val="00F76F57"/>
    <w:rsid w:val="00FA3089"/>
    <w:rsid w:val="00FA6639"/>
    <w:rsid w:val="00FC18CA"/>
    <w:rsid w:val="00FC2A01"/>
    <w:rsid w:val="00FE669F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A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235C1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C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C6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55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3</Pages>
  <Words>921</Words>
  <Characters>5253</Characters>
  <Application>Microsoft Office Outlook</Application>
  <DocSecurity>0</DocSecurity>
  <Lines>0</Lines>
  <Paragraphs>0</Paragraphs>
  <ScaleCrop>false</ScaleCrop>
  <Company>University of California, Irvine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1: SNPs that showed statistically significant p-values, corrected for multiple testing, for at least one of</dc:title>
  <dc:subject/>
  <dc:creator>Stela Masle</dc:creator>
  <cp:keywords/>
  <dc:description/>
  <cp:lastModifiedBy>cmclaren</cp:lastModifiedBy>
  <cp:revision>6</cp:revision>
  <cp:lastPrinted>2012-04-04T17:30:00Z</cp:lastPrinted>
  <dcterms:created xsi:type="dcterms:W3CDTF">2012-04-09T16:55:00Z</dcterms:created>
  <dcterms:modified xsi:type="dcterms:W3CDTF">2012-04-09T23:45:00Z</dcterms:modified>
</cp:coreProperties>
</file>