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03" w:rsidRDefault="00367003" w:rsidP="00367003">
      <w:pPr>
        <w:spacing w:after="0" w:line="240" w:lineRule="auto"/>
        <w:jc w:val="center"/>
        <w:rPr>
          <w:bCs/>
          <w:sz w:val="40"/>
          <w:szCs w:val="40"/>
        </w:rPr>
      </w:pPr>
    </w:p>
    <w:p w:rsidR="00367003" w:rsidRDefault="00367003" w:rsidP="00367003">
      <w:pPr>
        <w:spacing w:after="0" w:line="240" w:lineRule="auto"/>
        <w:jc w:val="center"/>
        <w:rPr>
          <w:bCs/>
          <w:sz w:val="40"/>
          <w:szCs w:val="40"/>
        </w:rPr>
      </w:pPr>
    </w:p>
    <w:p w:rsidR="00367003" w:rsidRDefault="00367003" w:rsidP="00367003">
      <w:pPr>
        <w:spacing w:after="0" w:line="240" w:lineRule="auto"/>
        <w:jc w:val="center"/>
        <w:rPr>
          <w:bCs/>
          <w:sz w:val="40"/>
          <w:szCs w:val="40"/>
        </w:rPr>
      </w:pPr>
    </w:p>
    <w:p w:rsidR="00367003" w:rsidRDefault="00367003" w:rsidP="00367003">
      <w:pPr>
        <w:spacing w:after="0" w:line="240" w:lineRule="auto"/>
        <w:jc w:val="center"/>
        <w:rPr>
          <w:bCs/>
          <w:sz w:val="40"/>
          <w:szCs w:val="40"/>
        </w:rPr>
      </w:pPr>
    </w:p>
    <w:p w:rsidR="00367003" w:rsidRDefault="00367003" w:rsidP="00367003">
      <w:pPr>
        <w:spacing w:after="0" w:line="240" w:lineRule="auto"/>
        <w:jc w:val="center"/>
        <w:rPr>
          <w:bCs/>
          <w:sz w:val="40"/>
          <w:szCs w:val="40"/>
        </w:rPr>
      </w:pPr>
    </w:p>
    <w:p w:rsidR="00367003" w:rsidRDefault="00367003" w:rsidP="00367003">
      <w:pPr>
        <w:spacing w:after="0" w:line="240" w:lineRule="auto"/>
        <w:jc w:val="center"/>
        <w:rPr>
          <w:bCs/>
          <w:sz w:val="40"/>
          <w:szCs w:val="40"/>
        </w:rPr>
      </w:pPr>
    </w:p>
    <w:p w:rsidR="00367003" w:rsidRDefault="00367003" w:rsidP="00367003">
      <w:pPr>
        <w:spacing w:after="0" w:line="240" w:lineRule="auto"/>
        <w:jc w:val="center"/>
        <w:rPr>
          <w:bCs/>
          <w:sz w:val="40"/>
          <w:szCs w:val="40"/>
        </w:rPr>
      </w:pPr>
    </w:p>
    <w:p w:rsidR="00367003" w:rsidRDefault="00367003" w:rsidP="00367003">
      <w:pPr>
        <w:spacing w:after="0" w:line="240" w:lineRule="auto"/>
        <w:jc w:val="center"/>
        <w:rPr>
          <w:bCs/>
          <w:sz w:val="40"/>
          <w:szCs w:val="40"/>
        </w:rPr>
      </w:pPr>
    </w:p>
    <w:p w:rsidR="00367003" w:rsidRDefault="00367003" w:rsidP="00367003">
      <w:pPr>
        <w:spacing w:after="0" w:line="240" w:lineRule="auto"/>
        <w:jc w:val="center"/>
        <w:rPr>
          <w:bCs/>
          <w:sz w:val="40"/>
          <w:szCs w:val="40"/>
        </w:rPr>
      </w:pPr>
    </w:p>
    <w:p w:rsidR="00367003" w:rsidRDefault="00367003" w:rsidP="00367003">
      <w:pPr>
        <w:spacing w:after="0" w:line="240" w:lineRule="auto"/>
        <w:jc w:val="center"/>
        <w:rPr>
          <w:bCs/>
          <w:sz w:val="40"/>
          <w:szCs w:val="40"/>
        </w:rPr>
      </w:pPr>
    </w:p>
    <w:p w:rsidR="00367003" w:rsidRPr="009C35A5" w:rsidRDefault="00367003" w:rsidP="00367003">
      <w:pPr>
        <w:spacing w:after="0" w:line="240" w:lineRule="auto"/>
        <w:jc w:val="center"/>
        <w:rPr>
          <w:bCs/>
          <w:sz w:val="40"/>
          <w:szCs w:val="40"/>
        </w:rPr>
      </w:pPr>
      <w:r w:rsidRPr="009C35A5">
        <w:rPr>
          <w:bCs/>
          <w:sz w:val="40"/>
          <w:szCs w:val="40"/>
        </w:rPr>
        <w:t>Label-free enrichment of functional cardiomyocytes using microfluidic deterministic lateral flow displacement</w:t>
      </w:r>
    </w:p>
    <w:p w:rsidR="00367003" w:rsidRDefault="00367003" w:rsidP="00367003">
      <w:pPr>
        <w:spacing w:after="0" w:line="240" w:lineRule="auto"/>
        <w:jc w:val="center"/>
        <w:rPr>
          <w:rFonts w:ascii="Arial" w:eastAsia="SimSun" w:hAnsi="Arial" w:cs="Arial"/>
        </w:rPr>
      </w:pPr>
    </w:p>
    <w:p w:rsidR="00367003" w:rsidRDefault="00367003" w:rsidP="00367003">
      <w:pPr>
        <w:spacing w:after="0" w:line="240" w:lineRule="auto"/>
        <w:jc w:val="center"/>
        <w:rPr>
          <w:rFonts w:ascii="Arial" w:eastAsia="SimSun" w:hAnsi="Arial" w:cs="Arial"/>
        </w:rPr>
      </w:pPr>
      <w:proofErr w:type="spellStart"/>
      <w:r w:rsidRPr="00AA4BDF">
        <w:rPr>
          <w:rFonts w:ascii="Arial" w:eastAsia="SimSun" w:hAnsi="Arial" w:cs="Arial"/>
        </w:rPr>
        <w:t>Boyang</w:t>
      </w:r>
      <w:proofErr w:type="spellEnd"/>
      <w:r w:rsidRPr="00AA4BDF">
        <w:rPr>
          <w:rFonts w:ascii="Arial" w:eastAsia="SimSun" w:hAnsi="Arial" w:cs="Arial"/>
        </w:rPr>
        <w:t xml:space="preserve"> Zhan</w:t>
      </w:r>
      <w:r>
        <w:rPr>
          <w:rFonts w:ascii="Arial" w:eastAsia="SimSun" w:hAnsi="Arial" w:cs="Arial"/>
        </w:rPr>
        <w:t xml:space="preserve">g, James Green, </w:t>
      </w:r>
      <w:proofErr w:type="spellStart"/>
      <w:r w:rsidRPr="00AA4BDF">
        <w:rPr>
          <w:rFonts w:ascii="Arial" w:eastAsia="SimSun" w:hAnsi="Arial" w:cs="Arial"/>
        </w:rPr>
        <w:t>Shashi</w:t>
      </w:r>
      <w:proofErr w:type="spellEnd"/>
      <w:r w:rsidRPr="00AA4BDF">
        <w:rPr>
          <w:rFonts w:ascii="Arial" w:eastAsia="SimSun" w:hAnsi="Arial" w:cs="Arial"/>
        </w:rPr>
        <w:t xml:space="preserve"> Murth</w:t>
      </w:r>
      <w:r>
        <w:rPr>
          <w:rFonts w:ascii="Arial" w:eastAsia="SimSun" w:hAnsi="Arial" w:cs="Arial"/>
        </w:rPr>
        <w:t xml:space="preserve">y, </w:t>
      </w:r>
      <w:proofErr w:type="spellStart"/>
      <w:r w:rsidRPr="00AA4BDF">
        <w:rPr>
          <w:rFonts w:ascii="Arial" w:eastAsia="SimSun" w:hAnsi="Arial" w:cs="Arial"/>
        </w:rPr>
        <w:t>Milica</w:t>
      </w:r>
      <w:proofErr w:type="spellEnd"/>
      <w:r w:rsidRPr="00AA4BDF">
        <w:rPr>
          <w:rFonts w:ascii="Arial" w:eastAsia="SimSun" w:hAnsi="Arial" w:cs="Arial"/>
        </w:rPr>
        <w:t xml:space="preserve"> </w:t>
      </w:r>
      <w:proofErr w:type="spellStart"/>
      <w:r w:rsidRPr="00AA4BDF">
        <w:rPr>
          <w:rFonts w:ascii="Arial" w:eastAsia="SimSun" w:hAnsi="Arial" w:cs="Arial"/>
        </w:rPr>
        <w:t>Radisi</w:t>
      </w:r>
      <w:r>
        <w:rPr>
          <w:rFonts w:ascii="Arial" w:eastAsia="SimSun" w:hAnsi="Arial" w:cs="Arial"/>
        </w:rPr>
        <w:t>c</w:t>
      </w:r>
      <w:proofErr w:type="spellEnd"/>
    </w:p>
    <w:p w:rsidR="00416BFB" w:rsidRDefault="00416BFB">
      <w:pPr>
        <w:rPr>
          <w:rFonts w:asciiTheme="majorHAnsi" w:eastAsiaTheme="majorEastAsia" w:hAnsiTheme="majorHAnsi" w:cstheme="majorBidi"/>
          <w:b/>
          <w:bCs/>
          <w:sz w:val="26"/>
          <w:szCs w:val="26"/>
          <w:lang w:val="en-CA"/>
        </w:rPr>
      </w:pPr>
    </w:p>
    <w:p w:rsidR="00F0643B" w:rsidRDefault="00F0643B" w:rsidP="00F0643B">
      <w:pPr>
        <w:jc w:val="center"/>
        <w:rPr>
          <w:rFonts w:asciiTheme="majorHAnsi" w:eastAsiaTheme="majorEastAsia" w:hAnsiTheme="majorHAnsi" w:cstheme="majorBidi"/>
          <w:b/>
          <w:bCs/>
          <w:sz w:val="26"/>
          <w:szCs w:val="26"/>
          <w:lang w:val="en-CA"/>
        </w:rPr>
      </w:pPr>
      <w:r>
        <w:rPr>
          <w:rFonts w:asciiTheme="majorHAnsi" w:eastAsiaTheme="majorEastAsia" w:hAnsiTheme="majorHAnsi" w:cstheme="majorBidi"/>
          <w:b/>
          <w:bCs/>
          <w:sz w:val="26"/>
          <w:szCs w:val="26"/>
          <w:lang w:val="en-CA"/>
        </w:rPr>
        <w:t>Supplements</w:t>
      </w:r>
    </w:p>
    <w:p w:rsidR="00F0643B" w:rsidRDefault="00F0643B">
      <w:pPr>
        <w:rPr>
          <w:b/>
        </w:rPr>
      </w:pPr>
      <w:r>
        <w:rPr>
          <w:b/>
        </w:rPr>
        <w:br w:type="page"/>
      </w:r>
    </w:p>
    <w:p w:rsidR="00416BFB" w:rsidRPr="0091627C" w:rsidRDefault="00416BFB" w:rsidP="008710E4">
      <w:pPr>
        <w:autoSpaceDE w:val="0"/>
        <w:autoSpaceDN w:val="0"/>
        <w:spacing w:after="120" w:line="480" w:lineRule="auto"/>
        <w:mirrorIndents/>
        <w:jc w:val="both"/>
        <w:rPr>
          <w:b/>
        </w:rPr>
      </w:pPr>
      <w:r w:rsidRPr="0091627C">
        <w:rPr>
          <w:b/>
        </w:rPr>
        <w:lastRenderedPageBreak/>
        <w:t>Analysis of cell output from syringes with and without magnetic stirring</w:t>
      </w:r>
      <w:r>
        <w:rPr>
          <w:b/>
        </w:rPr>
        <w:t>.</w:t>
      </w:r>
    </w:p>
    <w:p w:rsidR="00416BFB" w:rsidRPr="0091627C" w:rsidRDefault="00416BFB" w:rsidP="008710E4">
      <w:pPr>
        <w:autoSpaceDE w:val="0"/>
        <w:autoSpaceDN w:val="0"/>
        <w:spacing w:after="120" w:line="480" w:lineRule="auto"/>
        <w:mirrorIndents/>
        <w:jc w:val="both"/>
      </w:pPr>
      <w:r w:rsidRPr="0091627C">
        <w:t xml:space="preserve">To analyze the cell output from the syringe during pumping with and without syringe mixing, both the output cell concentration and </w:t>
      </w:r>
      <w:r>
        <w:t>CMs</w:t>
      </w:r>
      <w:r w:rsidRPr="0091627C">
        <w:t xml:space="preserve"> percentage was determined as shown in </w:t>
      </w:r>
      <w:fldSimple w:instr=" REF _Ref310176536 \h  \* MERGEFORMAT ">
        <w:r w:rsidRPr="0091627C">
          <w:t>Figure 1</w:t>
        </w:r>
      </w:fldSimple>
      <w:r w:rsidRPr="0091627C">
        <w:t>. The control represents the input cell mixture to the syringe. Cardiac cell mixture after one pre-plate was used here as the control. The initial cell solution was diluted to approximate 0.6 million cell/</w:t>
      </w:r>
      <w:proofErr w:type="spellStart"/>
      <w:r w:rsidRPr="0091627C">
        <w:t>mL</w:t>
      </w:r>
      <w:proofErr w:type="spellEnd"/>
      <w:r w:rsidRPr="0091627C">
        <w:t xml:space="preserve"> with </w:t>
      </w:r>
      <w:r>
        <w:t>CMs</w:t>
      </w:r>
      <w:r w:rsidRPr="0091627C">
        <w:t xml:space="preserve"> percentage of 70%. </w:t>
      </w:r>
    </w:p>
    <w:p w:rsidR="00416BFB" w:rsidRDefault="003B398E" w:rsidP="008710E4">
      <w:pPr>
        <w:keepNext/>
        <w:spacing w:after="120" w:line="480" w:lineRule="auto"/>
        <w:mirrorIndents/>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236.55pt;margin-top:35.15pt;width:67.7pt;height:19.3pt;z-index:251659264" stroked="f">
            <v:textbox>
              <w:txbxContent>
                <w:p w:rsidR="00285EC8" w:rsidRPr="00285EC8" w:rsidRDefault="00285EC8">
                  <w:pPr>
                    <w:rPr>
                      <w:lang w:val="en-CA"/>
                    </w:rPr>
                  </w:pPr>
                  <w:r>
                    <w:rPr>
                      <w:lang w:val="en-CA"/>
                    </w:rPr>
                    <w:t>P&lt;0.01</w:t>
                  </w:r>
                </w:p>
              </w:txbxContent>
            </v:textbox>
          </v:shape>
        </w:pict>
      </w:r>
      <w:r>
        <w:rPr>
          <w:noProof/>
        </w:rPr>
        <w:pict>
          <v:shapetype id="_x0000_t32" coordsize="21600,21600" o:spt="32" o:oned="t" path="m,l21600,21600e" filled="f">
            <v:path arrowok="t" fillok="f" o:connecttype="none"/>
            <o:lock v:ext="edit" shapetype="t"/>
          </v:shapetype>
          <v:shape id="_x0000_s1026" type="#_x0000_t32" style="position:absolute;left:0;text-align:left;margin-left:219.5pt;margin-top:33.05pt;width:83.8pt;height:0;z-index:251658240" o:connectortype="straight"/>
        </w:pict>
      </w:r>
      <w:r w:rsidR="00416BFB" w:rsidRPr="00B150FA">
        <w:rPr>
          <w:noProof/>
        </w:rPr>
        <w:drawing>
          <wp:inline distT="0" distB="0" distL="0" distR="0">
            <wp:extent cx="4833257" cy="3086171"/>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16BFB" w:rsidRPr="005207E5" w:rsidRDefault="00416BFB" w:rsidP="008710E4">
      <w:pPr>
        <w:pStyle w:val="Caption"/>
        <w:spacing w:after="120" w:line="480" w:lineRule="auto"/>
        <w:mirrorIndents/>
        <w:jc w:val="center"/>
        <w:rPr>
          <w:color w:val="auto"/>
          <w:lang w:val="en-CA"/>
        </w:rPr>
      </w:pPr>
      <w:bookmarkStart w:id="0" w:name="_Ref310176536"/>
      <w:proofErr w:type="gramStart"/>
      <w:r w:rsidRPr="005207E5">
        <w:rPr>
          <w:color w:val="auto"/>
        </w:rPr>
        <w:t xml:space="preserve">Figure </w:t>
      </w:r>
      <w:r w:rsidR="003B398E" w:rsidRPr="005207E5">
        <w:rPr>
          <w:color w:val="auto"/>
        </w:rPr>
        <w:fldChar w:fldCharType="begin"/>
      </w:r>
      <w:r w:rsidRPr="005207E5">
        <w:rPr>
          <w:color w:val="auto"/>
        </w:rPr>
        <w:instrText xml:space="preserve"> SEQ Figure \* ARABIC </w:instrText>
      </w:r>
      <w:r w:rsidR="003B398E" w:rsidRPr="005207E5">
        <w:rPr>
          <w:color w:val="auto"/>
        </w:rPr>
        <w:fldChar w:fldCharType="separate"/>
      </w:r>
      <w:r w:rsidRPr="005207E5">
        <w:rPr>
          <w:noProof/>
          <w:color w:val="auto"/>
        </w:rPr>
        <w:t>1</w:t>
      </w:r>
      <w:r w:rsidR="003B398E" w:rsidRPr="005207E5">
        <w:rPr>
          <w:color w:val="auto"/>
        </w:rPr>
        <w:fldChar w:fldCharType="end"/>
      </w:r>
      <w:bookmarkEnd w:id="0"/>
      <w:r w:rsidRPr="005207E5">
        <w:rPr>
          <w:color w:val="auto"/>
        </w:rPr>
        <w:t>.</w:t>
      </w:r>
      <w:proofErr w:type="gramEnd"/>
      <w:r w:rsidRPr="005207E5">
        <w:rPr>
          <w:color w:val="auto"/>
        </w:rPr>
        <w:t xml:space="preserve"> Syringe output analysis.</w:t>
      </w:r>
    </w:p>
    <w:p w:rsidR="00416BFB" w:rsidRPr="0091627C" w:rsidRDefault="00416BFB" w:rsidP="008710E4">
      <w:pPr>
        <w:autoSpaceDE w:val="0"/>
        <w:autoSpaceDN w:val="0"/>
        <w:spacing w:after="120" w:line="480" w:lineRule="auto"/>
        <w:mirrorIndents/>
        <w:jc w:val="both"/>
      </w:pPr>
      <w:r w:rsidRPr="0091627C">
        <w:t>Without syringe mixing, the amount of cell collected from the output was drastically lower, resulted in reduced cell concentration to 0.4 million cell/</w:t>
      </w:r>
      <w:proofErr w:type="spellStart"/>
      <w:r w:rsidRPr="0091627C">
        <w:t>mL.</w:t>
      </w:r>
      <w:proofErr w:type="spellEnd"/>
      <w:r w:rsidRPr="0091627C">
        <w:t xml:space="preserve"> In addition, since </w:t>
      </w:r>
      <w:r>
        <w:t>CMs</w:t>
      </w:r>
      <w:r w:rsidRPr="0091627C">
        <w:t xml:space="preserve"> settle fast due to their large size, they tend to get trapped within the syringe much more than the non-myocytes. This is indicated by the lower </w:t>
      </w:r>
      <w:r>
        <w:t>CMs</w:t>
      </w:r>
      <w:r w:rsidRPr="0091627C">
        <w:t xml:space="preserve"> percentage at the syringe output. However, by including mixing in the syringe all the cells were able to exit the syringe without settling. There were no significant differences in the output cell concentration and </w:t>
      </w:r>
      <w:r>
        <w:t>CMs</w:t>
      </w:r>
      <w:r w:rsidRPr="0091627C">
        <w:t xml:space="preserve"> percentage between the control and the condition with syringe </w:t>
      </w:r>
      <w:r w:rsidRPr="0091627C">
        <w:lastRenderedPageBreak/>
        <w:t xml:space="preserve">mixing. This study indicates the importance of having a mixing mechanism in place to prevent cell settling during the experimental process. </w:t>
      </w:r>
    </w:p>
    <w:p w:rsidR="00D07C2A" w:rsidRPr="001E59EB" w:rsidRDefault="00D07C2A" w:rsidP="00D07C2A">
      <w:pPr>
        <w:autoSpaceDE w:val="0"/>
        <w:autoSpaceDN w:val="0"/>
        <w:spacing w:after="240" w:line="480" w:lineRule="auto"/>
        <w:mirrorIndents/>
      </w:pPr>
      <w:bookmarkStart w:id="1" w:name="_Toc277672132"/>
      <w:bookmarkStart w:id="2" w:name="_Toc302905543"/>
      <w:bookmarkStart w:id="3" w:name="_Toc304667046"/>
      <w:proofErr w:type="gramStart"/>
      <w:r w:rsidRPr="001E59EB">
        <w:rPr>
          <w:b/>
          <w:bCs/>
        </w:rPr>
        <w:t>Statistical analysis</w:t>
      </w:r>
      <w:bookmarkEnd w:id="1"/>
      <w:bookmarkEnd w:id="2"/>
      <w:bookmarkEnd w:id="3"/>
      <w:r w:rsidRPr="001E59EB">
        <w:rPr>
          <w:b/>
          <w:bCs/>
        </w:rPr>
        <w:t>.</w:t>
      </w:r>
      <w:proofErr w:type="gramEnd"/>
      <w:r w:rsidRPr="001E59EB">
        <w:t xml:space="preserve"> </w:t>
      </w:r>
      <w:r>
        <w:t xml:space="preserve">Error bars in figures represent standard deviation. </w:t>
      </w:r>
      <w:r w:rsidRPr="001E59EB">
        <w:t>Statistical significance was determined using one-way ANOVA in</w:t>
      </w:r>
      <w:r>
        <w:t xml:space="preserve"> conjunction with </w:t>
      </w:r>
      <w:proofErr w:type="spellStart"/>
      <w:r>
        <w:t>Tukey’s</w:t>
      </w:r>
      <w:proofErr w:type="spellEnd"/>
      <w:r>
        <w:t xml:space="preserve"> test</w:t>
      </w:r>
      <w:r w:rsidRPr="001E59EB">
        <w:t>. Normality and equality of variance were tested. p&lt;0.05 were considered significant. A minimum of 3 samples were used per data point.</w:t>
      </w:r>
    </w:p>
    <w:p w:rsidR="007C4418" w:rsidRDefault="007C4418" w:rsidP="008710E4">
      <w:pPr>
        <w:spacing w:after="120" w:line="480" w:lineRule="auto"/>
        <w:mirrorIndents/>
      </w:pPr>
    </w:p>
    <w:sectPr w:rsidR="007C4418" w:rsidSect="007C441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416BFB"/>
    <w:rsid w:val="00277AAF"/>
    <w:rsid w:val="00285EC8"/>
    <w:rsid w:val="00367003"/>
    <w:rsid w:val="003B398E"/>
    <w:rsid w:val="00416BFB"/>
    <w:rsid w:val="00441269"/>
    <w:rsid w:val="004D0566"/>
    <w:rsid w:val="007C4418"/>
    <w:rsid w:val="008710E4"/>
    <w:rsid w:val="009A1672"/>
    <w:rsid w:val="00BE32E6"/>
    <w:rsid w:val="00D07C2A"/>
    <w:rsid w:val="00E962BA"/>
    <w:rsid w:val="00EA5425"/>
    <w:rsid w:val="00EB4202"/>
    <w:rsid w:val="00F06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B"/>
  </w:style>
  <w:style w:type="paragraph" w:styleId="Heading2">
    <w:name w:val="heading 2"/>
    <w:basedOn w:val="Normal"/>
    <w:next w:val="Normal"/>
    <w:link w:val="Heading2Char"/>
    <w:uiPriority w:val="9"/>
    <w:unhideWhenUsed/>
    <w:qFormat/>
    <w:rsid w:val="00416B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BFB"/>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16BF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1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yang%20Zhang\Documents\Research\Projects\Cell%20Separation%20Project\Experiments\Set%203\Nov%204%20living%20cells%20syringe%20mixing%20only\Cell%20Concentra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809826451368695"/>
          <c:y val="9.4105971128610022E-2"/>
          <c:w val="0.67757169957465613"/>
          <c:h val="0.7931132436570425"/>
        </c:manualLayout>
      </c:layout>
      <c:barChart>
        <c:barDir val="col"/>
        <c:grouping val="clustered"/>
        <c:ser>
          <c:idx val="0"/>
          <c:order val="1"/>
          <c:tx>
            <c:v>Cell Concentration</c:v>
          </c:tx>
          <c:spPr>
            <a:solidFill>
              <a:schemeClr val="tx1">
                <a:lumMod val="95000"/>
                <a:lumOff val="5000"/>
              </a:schemeClr>
            </a:solidFill>
          </c:spPr>
          <c:errBars>
            <c:errBarType val="both"/>
            <c:errValType val="cust"/>
            <c:plus>
              <c:numRef>
                <c:f>Sheet1!$C$2:$C$4</c:f>
                <c:numCache>
                  <c:formatCode>General</c:formatCode>
                  <c:ptCount val="3"/>
                  <c:pt idx="0">
                    <c:v>0.11000000000000011</c:v>
                  </c:pt>
                  <c:pt idx="1">
                    <c:v>4.0000000000000112E-2</c:v>
                  </c:pt>
                  <c:pt idx="2">
                    <c:v>2.0000000000000052E-2</c:v>
                  </c:pt>
                </c:numCache>
              </c:numRef>
            </c:plus>
            <c:minus>
              <c:numRef>
                <c:f>Sheet1!$C$2:$C$4</c:f>
                <c:numCache>
                  <c:formatCode>General</c:formatCode>
                  <c:ptCount val="3"/>
                  <c:pt idx="0">
                    <c:v>0.11000000000000011</c:v>
                  </c:pt>
                  <c:pt idx="1">
                    <c:v>4.0000000000000112E-2</c:v>
                  </c:pt>
                  <c:pt idx="2">
                    <c:v>2.0000000000000052E-2</c:v>
                  </c:pt>
                </c:numCache>
              </c:numRef>
            </c:minus>
          </c:errBars>
          <c:cat>
            <c:strRef>
              <c:f>Sheet1!$A$2:$A$4</c:f>
              <c:strCache>
                <c:ptCount val="3"/>
                <c:pt idx="0">
                  <c:v>Control</c:v>
                </c:pt>
                <c:pt idx="1">
                  <c:v>With Mixing</c:v>
                </c:pt>
                <c:pt idx="2">
                  <c:v>Without Mixing</c:v>
                </c:pt>
              </c:strCache>
            </c:strRef>
          </c:cat>
          <c:val>
            <c:numRef>
              <c:f>Sheet1!$B$2:$B$4</c:f>
              <c:numCache>
                <c:formatCode>General</c:formatCode>
                <c:ptCount val="3"/>
                <c:pt idx="0">
                  <c:v>0.63000000000000411</c:v>
                </c:pt>
                <c:pt idx="1">
                  <c:v>0.64000000000000412</c:v>
                </c:pt>
                <c:pt idx="2">
                  <c:v>0.4</c:v>
                </c:pt>
              </c:numCache>
            </c:numRef>
          </c:val>
        </c:ser>
        <c:axId val="126336000"/>
        <c:axId val="126342272"/>
      </c:barChart>
      <c:lineChart>
        <c:grouping val="standard"/>
        <c:ser>
          <c:idx val="1"/>
          <c:order val="0"/>
          <c:tx>
            <c:v>Percent of Cardiomyocytes</c:v>
          </c:tx>
          <c:spPr>
            <a:ln w="19050">
              <a:solidFill>
                <a:schemeClr val="tx1">
                  <a:lumMod val="95000"/>
                  <a:lumOff val="5000"/>
                </a:schemeClr>
              </a:solidFill>
            </a:ln>
          </c:spPr>
          <c:marker>
            <c:symbol val="circle"/>
            <c:size val="8"/>
            <c:spPr>
              <a:solidFill>
                <a:sysClr val="windowText" lastClr="000000">
                  <a:lumMod val="85000"/>
                  <a:lumOff val="15000"/>
                </a:sysClr>
              </a:solidFill>
              <a:ln>
                <a:solidFill>
                  <a:prstClr val="black">
                    <a:lumMod val="95000"/>
                    <a:lumOff val="5000"/>
                  </a:prstClr>
                </a:solidFill>
              </a:ln>
            </c:spPr>
          </c:marker>
          <c:cat>
            <c:strRef>
              <c:f>Sheet1!$A$7:$A$9</c:f>
              <c:strCache>
                <c:ptCount val="3"/>
                <c:pt idx="0">
                  <c:v>Control</c:v>
                </c:pt>
                <c:pt idx="1">
                  <c:v>With Mixing</c:v>
                </c:pt>
                <c:pt idx="2">
                  <c:v>Without Mixing</c:v>
                </c:pt>
              </c:strCache>
            </c:strRef>
          </c:cat>
          <c:val>
            <c:numRef>
              <c:f>Sheet1!$B$7:$B$9</c:f>
              <c:numCache>
                <c:formatCode>General</c:formatCode>
                <c:ptCount val="3"/>
                <c:pt idx="0">
                  <c:v>70.900000000000006</c:v>
                </c:pt>
                <c:pt idx="1">
                  <c:v>69.8</c:v>
                </c:pt>
                <c:pt idx="2">
                  <c:v>46.4</c:v>
                </c:pt>
              </c:numCache>
            </c:numRef>
          </c:val>
        </c:ser>
        <c:marker val="1"/>
        <c:axId val="126346368"/>
        <c:axId val="126344192"/>
      </c:lineChart>
      <c:catAx>
        <c:axId val="126336000"/>
        <c:scaling>
          <c:orientation val="minMax"/>
        </c:scaling>
        <c:axPos val="b"/>
        <c:numFmt formatCode="General" sourceLinked="1"/>
        <c:majorTickMark val="none"/>
        <c:tickLblPos val="nextTo"/>
        <c:txPr>
          <a:bodyPr/>
          <a:lstStyle/>
          <a:p>
            <a:pPr>
              <a:defRPr b="0"/>
            </a:pPr>
            <a:endParaRPr lang="en-US"/>
          </a:p>
        </c:txPr>
        <c:crossAx val="126342272"/>
        <c:crosses val="autoZero"/>
        <c:auto val="1"/>
        <c:lblAlgn val="ctr"/>
        <c:lblOffset val="100"/>
      </c:catAx>
      <c:valAx>
        <c:axId val="126342272"/>
        <c:scaling>
          <c:orientation val="minMax"/>
          <c:max val="1"/>
        </c:scaling>
        <c:axPos val="l"/>
        <c:title>
          <c:tx>
            <c:rich>
              <a:bodyPr rot="-5400000" vert="horz"/>
              <a:lstStyle/>
              <a:p>
                <a:pPr>
                  <a:defRPr b="0"/>
                </a:pPr>
                <a:r>
                  <a:rPr lang="en-US" b="0">
                    <a:latin typeface="Arial" pitchFamily="34" charset="0"/>
                    <a:cs typeface="Arial" pitchFamily="34" charset="0"/>
                  </a:rPr>
                  <a:t>Cell Concentration (Million</a:t>
                </a:r>
                <a:r>
                  <a:rPr lang="en-US" b="0" baseline="0">
                    <a:latin typeface="Arial" pitchFamily="34" charset="0"/>
                    <a:cs typeface="Arial" pitchFamily="34" charset="0"/>
                  </a:rPr>
                  <a:t> cells / ml)</a:t>
                </a:r>
                <a:endParaRPr lang="en-US" b="0">
                  <a:latin typeface="Arial" pitchFamily="34" charset="0"/>
                  <a:cs typeface="Arial" pitchFamily="34" charset="0"/>
                </a:endParaRPr>
              </a:p>
            </c:rich>
          </c:tx>
        </c:title>
        <c:numFmt formatCode="General" sourceLinked="1"/>
        <c:majorTickMark val="none"/>
        <c:tickLblPos val="nextTo"/>
        <c:crossAx val="126336000"/>
        <c:crosses val="autoZero"/>
        <c:crossBetween val="between"/>
      </c:valAx>
      <c:valAx>
        <c:axId val="126344192"/>
        <c:scaling>
          <c:orientation val="minMax"/>
          <c:max val="100"/>
        </c:scaling>
        <c:axPos val="r"/>
        <c:title>
          <c:tx>
            <c:rich>
              <a:bodyPr rot="-5400000" vert="horz"/>
              <a:lstStyle/>
              <a:p>
                <a:pPr>
                  <a:defRPr b="0"/>
                </a:pPr>
                <a:r>
                  <a:rPr lang="en-US" sz="1000" b="0">
                    <a:latin typeface="Arial" pitchFamily="34" charset="0"/>
                    <a:cs typeface="Arial" pitchFamily="34" charset="0"/>
                  </a:rPr>
                  <a:t>Percent of Cardiomyocytes</a:t>
                </a:r>
                <a:r>
                  <a:rPr lang="en-US" sz="1000" b="0" baseline="0">
                    <a:latin typeface="Arial" pitchFamily="34" charset="0"/>
                    <a:cs typeface="Arial" pitchFamily="34" charset="0"/>
                  </a:rPr>
                  <a:t> (Troponin I +) </a:t>
                </a:r>
                <a:endParaRPr lang="en-US" sz="1000" b="0">
                  <a:latin typeface="Arial" pitchFamily="34" charset="0"/>
                  <a:cs typeface="Arial" pitchFamily="34" charset="0"/>
                </a:endParaRPr>
              </a:p>
            </c:rich>
          </c:tx>
        </c:title>
        <c:numFmt formatCode="General" sourceLinked="1"/>
        <c:tickLblPos val="nextTo"/>
        <c:crossAx val="126346368"/>
        <c:crosses val="max"/>
        <c:crossBetween val="between"/>
      </c:valAx>
      <c:catAx>
        <c:axId val="126346368"/>
        <c:scaling>
          <c:orientation val="minMax"/>
        </c:scaling>
        <c:delete val="1"/>
        <c:axPos val="b"/>
        <c:tickLblPos val="none"/>
        <c:crossAx val="126344192"/>
        <c:crosses val="autoZero"/>
        <c:auto val="1"/>
        <c:lblAlgn val="ctr"/>
        <c:lblOffset val="100"/>
      </c:catAx>
      <c:spPr>
        <a:ln>
          <a:solidFill>
            <a:schemeClr val="bg1">
              <a:lumMod val="50000"/>
            </a:schemeClr>
          </a:solidFill>
        </a:ln>
      </c:spPr>
    </c:plotArea>
    <c:legend>
      <c:legendPos val="r"/>
      <c:layout>
        <c:manualLayout>
          <c:xMode val="edge"/>
          <c:yMode val="edge"/>
          <c:x val="0.16400079697810391"/>
          <c:y val="1.9010612179299218E-3"/>
          <c:w val="0.68215035947809144"/>
          <c:h val="8.4939881814714679E-2"/>
        </c:manualLayout>
      </c:layou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Boyang Zhang</dc:creator>
  <cp:keywords/>
  <dc:description/>
  <cp:lastModifiedBy>Boyang Zhang</cp:lastModifiedBy>
  <cp:revision>8</cp:revision>
  <dcterms:created xsi:type="dcterms:W3CDTF">2011-12-05T13:42:00Z</dcterms:created>
  <dcterms:modified xsi:type="dcterms:W3CDTF">2012-04-18T15:34:00Z</dcterms:modified>
</cp:coreProperties>
</file>