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FC" w:rsidRPr="00B41AC4" w:rsidRDefault="00A047FC" w:rsidP="00A047FC">
      <w:pPr>
        <w:jc w:val="both"/>
        <w:rPr>
          <w:rFonts w:eastAsia="Calibri" w:cstheme="minorHAnsi"/>
          <w:i/>
        </w:rPr>
      </w:pPr>
      <w:r w:rsidRPr="00B41AC4">
        <w:rPr>
          <w:rFonts w:eastAsia="Calibri" w:cstheme="minorHAnsi"/>
          <w:i/>
        </w:rPr>
        <w:t xml:space="preserve">Box </w:t>
      </w:r>
      <w:r>
        <w:rPr>
          <w:rFonts w:eastAsia="Calibri" w:cstheme="minorHAnsi"/>
          <w:i/>
        </w:rPr>
        <w:t>S</w:t>
      </w:r>
      <w:r w:rsidRPr="00B41AC4">
        <w:rPr>
          <w:rFonts w:eastAsia="Calibri" w:cstheme="minorHAnsi"/>
          <w:i/>
        </w:rPr>
        <w:t xml:space="preserve">1 Definition of concepts </w:t>
      </w:r>
    </w:p>
    <w:tbl>
      <w:tblPr>
        <w:tblStyle w:val="TableGrid"/>
        <w:tblW w:w="0" w:type="auto"/>
        <w:tblLook w:val="04A0" w:firstRow="1" w:lastRow="0" w:firstColumn="1" w:lastColumn="0" w:noHBand="0" w:noVBand="1"/>
      </w:tblPr>
      <w:tblGrid>
        <w:gridCol w:w="12724"/>
      </w:tblGrid>
      <w:tr w:rsidR="00A047FC" w:rsidRPr="00B41AC4" w:rsidTr="00A047FC">
        <w:tc>
          <w:tcPr>
            <w:tcW w:w="12724" w:type="dxa"/>
          </w:tcPr>
          <w:p w:rsidR="00A047FC" w:rsidRPr="00B41AC4" w:rsidRDefault="00A047FC" w:rsidP="00E372C5">
            <w:pPr>
              <w:jc w:val="both"/>
              <w:rPr>
                <w:rFonts w:eastAsia="Calibri" w:cstheme="minorHAnsi"/>
                <w:i/>
                <w:sz w:val="18"/>
                <w:szCs w:val="18"/>
              </w:rPr>
            </w:pPr>
          </w:p>
          <w:p w:rsidR="00A047FC" w:rsidRPr="00B41AC4" w:rsidRDefault="00A047FC" w:rsidP="00E372C5">
            <w:pPr>
              <w:jc w:val="both"/>
              <w:rPr>
                <w:rFonts w:eastAsia="Calibri" w:cstheme="minorHAnsi"/>
                <w:i/>
                <w:sz w:val="18"/>
                <w:szCs w:val="18"/>
              </w:rPr>
            </w:pPr>
            <w:r w:rsidRPr="00B41AC4">
              <w:rPr>
                <w:rFonts w:eastAsia="Calibri" w:cstheme="minorHAnsi"/>
                <w:i/>
                <w:sz w:val="18"/>
                <w:szCs w:val="18"/>
              </w:rPr>
              <w:t>Locus of care</w:t>
            </w:r>
          </w:p>
          <w:p w:rsidR="00A047FC" w:rsidRPr="00B41AC4" w:rsidRDefault="00A047FC" w:rsidP="00E372C5">
            <w:pPr>
              <w:jc w:val="both"/>
              <w:rPr>
                <w:rFonts w:eastAsia="Calibri" w:cstheme="minorHAnsi"/>
                <w:sz w:val="18"/>
                <w:szCs w:val="18"/>
              </w:rPr>
            </w:pPr>
            <w:r w:rsidRPr="00B41AC4">
              <w:rPr>
                <w:rFonts w:eastAsia="Calibri" w:cstheme="minorHAnsi"/>
                <w:sz w:val="18"/>
                <w:szCs w:val="18"/>
              </w:rPr>
              <w:t>Management in secondary care was defined as fulfilling any of the following criteria: i) having a care coordinator; ii) being seen by a psychiatrist; iii) having a referral and contact with a secondary care service; or iv) having a contact with a secondary care professional (e.g. consultant/staff grade psychiatrist; CPN) during the year 1/4/08 – 31/3/2009. Any patient not fulfilling any of these criteria was defined as being seen only in primary care. The primary care group includes patients in contact with Day Care, Social Services, CBT, Occupational Therapy, MIND Day Centre, Community Day Centre or Private Services.</w:t>
            </w:r>
          </w:p>
          <w:p w:rsidR="00A047FC" w:rsidRPr="00B41AC4" w:rsidRDefault="00A047FC" w:rsidP="00E372C5">
            <w:pPr>
              <w:jc w:val="both"/>
              <w:rPr>
                <w:rFonts w:eastAsia="Calibri" w:cstheme="minorHAnsi"/>
                <w:sz w:val="16"/>
                <w:szCs w:val="16"/>
              </w:rPr>
            </w:pPr>
          </w:p>
          <w:p w:rsidR="00A047FC" w:rsidRPr="00B41AC4" w:rsidRDefault="00A047FC" w:rsidP="00E372C5">
            <w:pPr>
              <w:jc w:val="both"/>
              <w:rPr>
                <w:rFonts w:eastAsia="Calibri" w:cstheme="minorHAnsi"/>
                <w:sz w:val="18"/>
                <w:szCs w:val="18"/>
              </w:rPr>
            </w:pPr>
            <w:r w:rsidRPr="00B41AC4">
              <w:rPr>
                <w:rFonts w:eastAsia="Calibri" w:cstheme="minorHAnsi"/>
                <w:i/>
                <w:sz w:val="18"/>
                <w:szCs w:val="18"/>
              </w:rPr>
              <w:t>Contacts with GP</w:t>
            </w:r>
            <w:r w:rsidRPr="00B41AC4">
              <w:rPr>
                <w:rFonts w:eastAsia="Calibri" w:cstheme="minorHAnsi"/>
                <w:sz w:val="18"/>
                <w:szCs w:val="18"/>
              </w:rPr>
              <w:t xml:space="preserve"> </w:t>
            </w:r>
          </w:p>
          <w:p w:rsidR="00A047FC" w:rsidRPr="00B41AC4" w:rsidRDefault="00A047FC" w:rsidP="00E372C5">
            <w:pPr>
              <w:jc w:val="both"/>
              <w:rPr>
                <w:rFonts w:eastAsia="Calibri" w:cstheme="minorHAnsi"/>
                <w:sz w:val="18"/>
                <w:szCs w:val="18"/>
              </w:rPr>
            </w:pPr>
            <w:r w:rsidRPr="00B41AC4">
              <w:rPr>
                <w:rFonts w:eastAsia="Calibri" w:cstheme="minorHAnsi"/>
                <w:sz w:val="18"/>
                <w:szCs w:val="18"/>
              </w:rPr>
              <w:t>Face to face consultations during the year 1/4/08 – 31/3/2009 – not out of hours or telephone consultations. Up to four reasons for each contact could be recorded.</w:t>
            </w:r>
          </w:p>
          <w:p w:rsidR="00A047FC" w:rsidRPr="00B41AC4" w:rsidRDefault="00A047FC" w:rsidP="00E372C5">
            <w:pPr>
              <w:jc w:val="both"/>
              <w:rPr>
                <w:rFonts w:eastAsia="Calibri" w:cstheme="minorHAnsi"/>
                <w:i/>
                <w:sz w:val="18"/>
                <w:szCs w:val="18"/>
              </w:rPr>
            </w:pPr>
          </w:p>
          <w:p w:rsidR="00A047FC" w:rsidRPr="00B41AC4" w:rsidRDefault="00A047FC" w:rsidP="00E372C5">
            <w:pPr>
              <w:jc w:val="both"/>
              <w:rPr>
                <w:rFonts w:eastAsia="Calibri" w:cstheme="minorHAnsi"/>
                <w:i/>
                <w:sz w:val="18"/>
                <w:szCs w:val="18"/>
              </w:rPr>
            </w:pPr>
            <w:r w:rsidRPr="00B41AC4">
              <w:rPr>
                <w:rFonts w:eastAsia="Calibri" w:cstheme="minorHAnsi"/>
                <w:i/>
                <w:sz w:val="18"/>
                <w:szCs w:val="18"/>
              </w:rPr>
              <w:t>Relational continuity of care</w:t>
            </w:r>
          </w:p>
          <w:p w:rsidR="00A047FC" w:rsidRPr="00B41AC4" w:rsidRDefault="00A047FC" w:rsidP="00E372C5">
            <w:pPr>
              <w:jc w:val="both"/>
              <w:rPr>
                <w:rFonts w:eastAsia="Calibri" w:cstheme="minorHAnsi"/>
                <w:sz w:val="18"/>
                <w:szCs w:val="18"/>
              </w:rPr>
            </w:pPr>
            <w:r w:rsidRPr="00B41AC4">
              <w:rPr>
                <w:rFonts w:eastAsia="Calibri" w:cstheme="minorHAnsi"/>
                <w:sz w:val="18"/>
                <w:szCs w:val="18"/>
              </w:rPr>
              <w:t xml:space="preserve">Continuity of care was measured using the Modified </w:t>
            </w:r>
            <w:proofErr w:type="spellStart"/>
            <w:r w:rsidRPr="00B41AC4">
              <w:rPr>
                <w:rFonts w:eastAsia="Calibri" w:cstheme="minorHAnsi"/>
                <w:sz w:val="18"/>
                <w:szCs w:val="18"/>
              </w:rPr>
              <w:t>Modified</w:t>
            </w:r>
            <w:proofErr w:type="spellEnd"/>
            <w:r w:rsidRPr="00B41AC4">
              <w:rPr>
                <w:rFonts w:eastAsia="Calibri" w:cstheme="minorHAnsi"/>
                <w:sz w:val="18"/>
                <w:szCs w:val="18"/>
              </w:rPr>
              <w:t xml:space="preserve"> Continuity Index (MMCI):</w:t>
            </w:r>
          </w:p>
          <w:p w:rsidR="00A047FC" w:rsidRPr="00B41AC4" w:rsidRDefault="00A047FC" w:rsidP="00E372C5">
            <w:pPr>
              <w:jc w:val="both"/>
              <w:rPr>
                <w:rFonts w:eastAsia="Calibri" w:cstheme="minorHAnsi"/>
                <w:sz w:val="18"/>
                <w:szCs w:val="18"/>
              </w:rPr>
            </w:pPr>
          </w:p>
          <w:p w:rsidR="00A047FC" w:rsidRPr="00B41AC4" w:rsidRDefault="00A047FC" w:rsidP="00E372C5">
            <w:pPr>
              <w:jc w:val="both"/>
              <w:rPr>
                <w:rFonts w:eastAsia="Calibri" w:cstheme="minorHAnsi"/>
                <w:sz w:val="18"/>
                <w:szCs w:val="18"/>
              </w:rPr>
            </w:pPr>
            <w:r w:rsidRPr="00B41AC4">
              <w:rPr>
                <w:rFonts w:eastAsia="Calibri" w:cstheme="minorHAnsi"/>
                <w:sz w:val="18"/>
                <w:szCs w:val="18"/>
              </w:rPr>
              <w:tab/>
            </w:r>
            <w:r w:rsidRPr="00B41AC4">
              <w:rPr>
                <w:rFonts w:eastAsia="Calibri" w:cstheme="minorHAnsi"/>
                <w:sz w:val="18"/>
                <w:szCs w:val="18"/>
              </w:rPr>
              <w:tab/>
            </w:r>
            <w:r w:rsidRPr="00B41AC4">
              <w:rPr>
                <w:rFonts w:eastAsia="Calibri" w:cstheme="minorHAnsi"/>
                <w:sz w:val="18"/>
                <w:szCs w:val="18"/>
              </w:rPr>
              <w:tab/>
            </w:r>
            <w:r w:rsidRPr="00B41AC4">
              <w:rPr>
                <w:rFonts w:eastAsia="Calibri" w:cstheme="minorHAnsi"/>
                <w:sz w:val="18"/>
                <w:szCs w:val="18"/>
              </w:rPr>
              <w:tab/>
              <w:t>=</w:t>
            </w:r>
            <w:r w:rsidRPr="00B41AC4">
              <w:rPr>
                <w:rFonts w:eastAsia="Calibri" w:cstheme="minorHAnsi"/>
                <w:sz w:val="18"/>
                <w:szCs w:val="18"/>
                <w:u w:val="single"/>
              </w:rPr>
              <w:t xml:space="preserve">(1 - number of different GPs seen ⁄number of contacts with a GP) </w:t>
            </w:r>
            <w:r w:rsidRPr="00B41AC4">
              <w:rPr>
                <w:rFonts w:eastAsia="Calibri" w:cstheme="minorHAnsi"/>
                <w:sz w:val="18"/>
                <w:szCs w:val="18"/>
              </w:rPr>
              <w:tab/>
            </w:r>
            <w:r w:rsidRPr="00B41AC4">
              <w:rPr>
                <w:rFonts w:eastAsia="Calibri" w:cstheme="minorHAnsi"/>
                <w:sz w:val="18"/>
                <w:szCs w:val="18"/>
              </w:rPr>
              <w:tab/>
            </w:r>
            <w:r w:rsidRPr="00B41AC4">
              <w:rPr>
                <w:rFonts w:eastAsia="Calibri" w:cstheme="minorHAnsi"/>
                <w:sz w:val="18"/>
                <w:szCs w:val="18"/>
              </w:rPr>
              <w:tab/>
            </w:r>
            <w:r w:rsidRPr="00B41AC4">
              <w:rPr>
                <w:rFonts w:eastAsia="Calibri" w:cstheme="minorHAnsi"/>
                <w:sz w:val="18"/>
                <w:szCs w:val="18"/>
              </w:rPr>
              <w:tab/>
            </w:r>
            <w:r w:rsidRPr="00B41AC4">
              <w:rPr>
                <w:rFonts w:eastAsia="Calibri" w:cstheme="minorHAnsi"/>
                <w:sz w:val="18"/>
                <w:szCs w:val="18"/>
              </w:rPr>
              <w:tab/>
            </w:r>
            <w:r w:rsidRPr="00B41AC4">
              <w:rPr>
                <w:rFonts w:eastAsia="Calibri" w:cstheme="minorHAnsi"/>
                <w:sz w:val="18"/>
                <w:szCs w:val="18"/>
              </w:rPr>
              <w:tab/>
            </w:r>
            <w:r w:rsidRPr="00B41AC4">
              <w:rPr>
                <w:rFonts w:eastAsia="Calibri" w:cstheme="minorHAnsi"/>
                <w:sz w:val="18"/>
                <w:szCs w:val="18"/>
              </w:rPr>
              <w:tab/>
            </w:r>
            <w:r>
              <w:rPr>
                <w:rFonts w:eastAsia="Calibri" w:cstheme="minorHAnsi"/>
                <w:sz w:val="18"/>
                <w:szCs w:val="18"/>
              </w:rPr>
              <w:t xml:space="preserve">                          </w:t>
            </w:r>
            <w:r w:rsidRPr="00B41AC4" w:rsidDel="00B523EB">
              <w:rPr>
                <w:rFonts w:eastAsia="Calibri" w:cstheme="minorHAnsi"/>
                <w:sz w:val="18"/>
                <w:szCs w:val="18"/>
              </w:rPr>
              <w:t xml:space="preserve"> </w:t>
            </w:r>
            <w:r w:rsidRPr="00B41AC4">
              <w:rPr>
                <w:rFonts w:eastAsia="Calibri" w:cstheme="minorHAnsi"/>
                <w:sz w:val="18"/>
                <w:szCs w:val="18"/>
              </w:rPr>
              <w:t>(1 - 1⁄number of contacts with a GP )</w:t>
            </w:r>
          </w:p>
          <w:p w:rsidR="00A047FC" w:rsidRPr="00B41AC4" w:rsidRDefault="00A047FC" w:rsidP="00E372C5">
            <w:pPr>
              <w:jc w:val="both"/>
              <w:rPr>
                <w:rFonts w:eastAsia="Calibri" w:cstheme="minorHAnsi"/>
                <w:sz w:val="18"/>
                <w:szCs w:val="18"/>
              </w:rPr>
            </w:pPr>
          </w:p>
          <w:p w:rsidR="00A047FC" w:rsidRPr="00B41AC4" w:rsidRDefault="00A047FC" w:rsidP="00E372C5">
            <w:pPr>
              <w:jc w:val="both"/>
              <w:rPr>
                <w:rFonts w:eastAsia="Calibri" w:cstheme="minorHAnsi"/>
                <w:sz w:val="18"/>
                <w:szCs w:val="18"/>
              </w:rPr>
            </w:pPr>
            <w:r w:rsidRPr="00B41AC4">
              <w:rPr>
                <w:rFonts w:eastAsia="Calibri" w:cstheme="minorHAnsi"/>
                <w:sz w:val="18"/>
                <w:szCs w:val="18"/>
              </w:rPr>
              <w:t>This measure relates a patient’s number of contacts with a health provider (e.g. GP practice) to the number of different professionals seen across those contacts (e.g. different GPs). In primary care, if all of a patient’s contacts were with the same GP then MMCI = 1; if they were all with different GPs then MMCI = 0.</w:t>
            </w:r>
          </w:p>
          <w:p w:rsidR="00A047FC" w:rsidRPr="00B41AC4" w:rsidRDefault="00A047FC" w:rsidP="00E372C5">
            <w:pPr>
              <w:jc w:val="both"/>
              <w:rPr>
                <w:rFonts w:eastAsia="Calibri" w:cstheme="minorHAnsi"/>
                <w:sz w:val="16"/>
                <w:szCs w:val="16"/>
              </w:rPr>
            </w:pPr>
          </w:p>
          <w:p w:rsidR="00A047FC" w:rsidRPr="00B41AC4" w:rsidRDefault="00A047FC" w:rsidP="00E372C5">
            <w:pPr>
              <w:jc w:val="both"/>
              <w:rPr>
                <w:rFonts w:eastAsia="Calibri" w:cstheme="minorHAnsi"/>
                <w:i/>
                <w:sz w:val="18"/>
                <w:szCs w:val="18"/>
              </w:rPr>
            </w:pPr>
            <w:r w:rsidRPr="00B41AC4">
              <w:rPr>
                <w:rFonts w:eastAsia="Calibri" w:cstheme="minorHAnsi"/>
                <w:i/>
                <w:sz w:val="18"/>
                <w:szCs w:val="18"/>
              </w:rPr>
              <w:t>Poor relational continuity of care</w:t>
            </w:r>
          </w:p>
          <w:p w:rsidR="00A047FC" w:rsidRPr="00B41AC4" w:rsidRDefault="00A047FC" w:rsidP="00E372C5">
            <w:pPr>
              <w:jc w:val="both"/>
              <w:rPr>
                <w:rFonts w:eastAsia="Calibri" w:cstheme="minorHAnsi"/>
                <w:sz w:val="18"/>
                <w:szCs w:val="18"/>
              </w:rPr>
            </w:pPr>
            <w:r w:rsidRPr="00B41AC4">
              <w:rPr>
                <w:rFonts w:eastAsia="Calibri" w:cstheme="minorHAnsi"/>
                <w:sz w:val="18"/>
                <w:szCs w:val="18"/>
              </w:rPr>
              <w:t xml:space="preserve">For this study we defined poor continuity of care as an MMCI of =&lt;0.5. Mathematically this corresponds to a mean of less than two contacts for each different GP seen. We made an exception that three contacts across two GPs was not classed as poor continuity and did not compute an index for patients with less than 3 contacts in total. </w:t>
            </w:r>
          </w:p>
          <w:p w:rsidR="00A047FC" w:rsidRPr="00B41AC4" w:rsidRDefault="00A047FC" w:rsidP="00E372C5">
            <w:pPr>
              <w:jc w:val="both"/>
              <w:rPr>
                <w:rFonts w:eastAsia="Calibri" w:cstheme="minorHAnsi"/>
                <w:sz w:val="18"/>
                <w:szCs w:val="18"/>
              </w:rPr>
            </w:pPr>
          </w:p>
          <w:p w:rsidR="00A047FC" w:rsidRPr="00B41AC4" w:rsidRDefault="00A047FC" w:rsidP="00E372C5">
            <w:pPr>
              <w:jc w:val="both"/>
              <w:rPr>
                <w:rFonts w:eastAsia="Calibri" w:cstheme="minorHAnsi"/>
                <w:i/>
                <w:sz w:val="18"/>
                <w:szCs w:val="18"/>
              </w:rPr>
            </w:pPr>
            <w:r w:rsidRPr="00B41AC4">
              <w:rPr>
                <w:rFonts w:eastAsia="Calibri" w:cstheme="minorHAnsi"/>
                <w:i/>
                <w:sz w:val="18"/>
                <w:szCs w:val="18"/>
              </w:rPr>
              <w:t>Informational continuity</w:t>
            </w:r>
          </w:p>
          <w:p w:rsidR="00A047FC" w:rsidRPr="00B41AC4" w:rsidRDefault="00A047FC" w:rsidP="00E372C5">
            <w:pPr>
              <w:jc w:val="both"/>
              <w:rPr>
                <w:rFonts w:eastAsia="Calibri" w:cstheme="minorHAnsi"/>
                <w:sz w:val="18"/>
                <w:szCs w:val="18"/>
              </w:rPr>
            </w:pPr>
            <w:r w:rsidRPr="00B41AC4">
              <w:rPr>
                <w:rFonts w:eastAsia="Calibri" w:cstheme="minorHAnsi"/>
                <w:sz w:val="18"/>
                <w:szCs w:val="18"/>
              </w:rPr>
              <w:t>The timely availability of information. Measured by identifying patients who had a new referral to a mental health service over the year (1/4/08 – 31/3/2009): frequency of those patients with no information recorded in primary care about the outcome of the referral; those not seen by the mental health services; and those seen but where no documentation had been received by primary care.</w:t>
            </w:r>
          </w:p>
          <w:p w:rsidR="00A047FC" w:rsidRPr="00B41AC4" w:rsidRDefault="00A047FC" w:rsidP="00E372C5">
            <w:pPr>
              <w:jc w:val="both"/>
              <w:rPr>
                <w:rFonts w:eastAsia="Calibri" w:cstheme="minorHAnsi"/>
                <w:sz w:val="16"/>
                <w:szCs w:val="16"/>
              </w:rPr>
            </w:pPr>
          </w:p>
          <w:p w:rsidR="00A047FC" w:rsidRPr="00B41AC4" w:rsidRDefault="00A047FC" w:rsidP="00E372C5">
            <w:pPr>
              <w:jc w:val="both"/>
              <w:rPr>
                <w:rFonts w:eastAsia="Calibri" w:cstheme="minorHAnsi"/>
                <w:i/>
                <w:sz w:val="18"/>
                <w:szCs w:val="18"/>
              </w:rPr>
            </w:pPr>
            <w:r w:rsidRPr="00B41AC4">
              <w:rPr>
                <w:rFonts w:eastAsia="Calibri" w:cstheme="minorHAnsi"/>
                <w:i/>
                <w:sz w:val="18"/>
                <w:szCs w:val="18"/>
              </w:rPr>
              <w:t>Cross-boundary continuity</w:t>
            </w:r>
          </w:p>
          <w:p w:rsidR="00A047FC" w:rsidRPr="00B41AC4" w:rsidRDefault="00A047FC" w:rsidP="00E372C5">
            <w:pPr>
              <w:jc w:val="both"/>
              <w:rPr>
                <w:rFonts w:eastAsia="Calibri" w:cstheme="minorHAnsi"/>
                <w:sz w:val="18"/>
                <w:szCs w:val="18"/>
              </w:rPr>
            </w:pPr>
            <w:r w:rsidRPr="00B41AC4">
              <w:rPr>
                <w:rFonts w:eastAsia="Calibri" w:cstheme="minorHAnsi"/>
                <w:sz w:val="18"/>
                <w:szCs w:val="18"/>
              </w:rPr>
              <w:t xml:space="preserve">Effective communication between professionals: </w:t>
            </w:r>
            <w:proofErr w:type="spellStart"/>
            <w:r w:rsidRPr="00B41AC4">
              <w:rPr>
                <w:rFonts w:eastAsia="Calibri" w:cstheme="minorHAnsi"/>
                <w:sz w:val="18"/>
                <w:szCs w:val="18"/>
              </w:rPr>
              <w:t>conceptualised</w:t>
            </w:r>
            <w:proofErr w:type="spellEnd"/>
            <w:r w:rsidRPr="00B41AC4">
              <w:rPr>
                <w:rFonts w:eastAsia="Calibri" w:cstheme="minorHAnsi"/>
                <w:sz w:val="18"/>
                <w:szCs w:val="18"/>
              </w:rPr>
              <w:t xml:space="preserve"> as transitions and fragmentations. Measured by identifying those patients who were discharged from a mental health service during the year 1/4/08 – 31/3/2009: frequency of these patients who were either lost to follow up for no apparent reason or did not attend the appointment; those that did not have a reason recorded for their discharge.</w:t>
            </w:r>
          </w:p>
          <w:p w:rsidR="00A047FC" w:rsidRPr="00B41AC4" w:rsidRDefault="00A047FC" w:rsidP="00E372C5">
            <w:pPr>
              <w:jc w:val="both"/>
              <w:rPr>
                <w:rFonts w:eastAsia="Calibri" w:cstheme="minorHAnsi"/>
                <w:sz w:val="16"/>
                <w:szCs w:val="16"/>
              </w:rPr>
            </w:pPr>
          </w:p>
          <w:p w:rsidR="00A047FC" w:rsidRPr="00B41AC4" w:rsidRDefault="00A047FC" w:rsidP="00E372C5">
            <w:pPr>
              <w:jc w:val="both"/>
              <w:rPr>
                <w:rFonts w:eastAsia="Calibri" w:cstheme="minorHAnsi"/>
                <w:i/>
                <w:sz w:val="18"/>
                <w:szCs w:val="18"/>
              </w:rPr>
            </w:pPr>
            <w:r w:rsidRPr="00B41AC4">
              <w:rPr>
                <w:rFonts w:eastAsia="Calibri" w:cstheme="minorHAnsi"/>
                <w:i/>
                <w:sz w:val="18"/>
                <w:szCs w:val="18"/>
              </w:rPr>
              <w:t>Dual diagnosis</w:t>
            </w:r>
          </w:p>
          <w:p w:rsidR="00A047FC" w:rsidRPr="00B41AC4" w:rsidRDefault="00A047FC" w:rsidP="00E372C5">
            <w:pPr>
              <w:jc w:val="both"/>
              <w:rPr>
                <w:rFonts w:eastAsia="Calibri" w:cstheme="minorHAnsi"/>
                <w:sz w:val="18"/>
                <w:szCs w:val="18"/>
              </w:rPr>
            </w:pPr>
            <w:r w:rsidRPr="00B41AC4">
              <w:rPr>
                <w:rFonts w:eastAsia="Calibri" w:cstheme="minorHAnsi"/>
                <w:sz w:val="18"/>
                <w:szCs w:val="18"/>
              </w:rPr>
              <w:t>A current substance misuse or alcohol problem (as well as severe mental illness) recorded in the patient notes</w:t>
            </w:r>
          </w:p>
          <w:p w:rsidR="00A047FC" w:rsidRPr="00B41AC4" w:rsidRDefault="00A047FC" w:rsidP="00E372C5">
            <w:pPr>
              <w:jc w:val="both"/>
              <w:rPr>
                <w:rFonts w:eastAsia="Calibri" w:cstheme="minorHAnsi"/>
                <w:i/>
              </w:rPr>
            </w:pPr>
          </w:p>
        </w:tc>
      </w:tr>
    </w:tbl>
    <w:p w:rsidR="00487BFA" w:rsidRPr="00A047FC" w:rsidRDefault="00487BFA" w:rsidP="00A047FC">
      <w:pPr>
        <w:spacing w:after="120"/>
        <w:rPr>
          <w:rFonts w:eastAsia="Calibri" w:cstheme="minorHAnsi"/>
          <w:i/>
        </w:rPr>
      </w:pPr>
      <w:bookmarkStart w:id="0" w:name="_GoBack"/>
      <w:bookmarkEnd w:id="0"/>
    </w:p>
    <w:sectPr w:rsidR="00487BFA" w:rsidRPr="00A047FC" w:rsidSect="00863B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FC"/>
    <w:rsid w:val="00487BFA"/>
    <w:rsid w:val="00565297"/>
    <w:rsid w:val="00863BC6"/>
    <w:rsid w:val="00A047FC"/>
    <w:rsid w:val="00CC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FC"/>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FC"/>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Lester</dc:creator>
  <cp:lastModifiedBy>Helen Lester</cp:lastModifiedBy>
  <cp:revision>1</cp:revision>
  <dcterms:created xsi:type="dcterms:W3CDTF">2012-04-20T16:13:00Z</dcterms:created>
  <dcterms:modified xsi:type="dcterms:W3CDTF">2012-04-20T16:16:00Z</dcterms:modified>
</cp:coreProperties>
</file>