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08" w:rsidRPr="00755493" w:rsidRDefault="00877508" w:rsidP="00877508">
      <w:pPr>
        <w:spacing w:line="480" w:lineRule="auto"/>
        <w:ind w:left="0" w:firstLine="0"/>
        <w:rPr>
          <w:bCs/>
          <w:sz w:val="22"/>
          <w:u w:val="single"/>
          <w:lang w:val="en-US"/>
        </w:rPr>
      </w:pPr>
      <w:smartTag w:uri="urn:schemas-microsoft-com:office:smarttags" w:element="place">
        <w:smartTag w:uri="urn:schemas-microsoft-com:office:smarttags" w:element="country-region">
          <w:r>
            <w:rPr>
              <w:b/>
              <w:sz w:val="22"/>
              <w:u w:val="single"/>
              <w:lang w:val="en-US"/>
            </w:rPr>
            <w:t>UNITED STATES OF AMERICA</w:t>
          </w:r>
        </w:smartTag>
      </w:smartTag>
    </w:p>
    <w:p w:rsidR="00877508" w:rsidRDefault="00877508" w:rsidP="00877508">
      <w:pPr>
        <w:spacing w:line="480" w:lineRule="auto"/>
        <w:rPr>
          <w:bCs/>
          <w:sz w:val="22"/>
          <w:lang w:val="en-US"/>
        </w:rPr>
      </w:pPr>
      <w:r>
        <w:rPr>
          <w:bCs/>
          <w:noProof/>
          <w:sz w:val="22"/>
          <w:lang w:val="en-US"/>
        </w:rPr>
        <w:drawing>
          <wp:inline distT="0" distB="0" distL="0" distR="0">
            <wp:extent cx="2973705" cy="1995805"/>
            <wp:effectExtent l="19050" t="0" r="0" b="0"/>
            <wp:docPr id="2" name="Imagen 1" descr="US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USWORL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705" cy="199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7508" w:rsidRDefault="00877508" w:rsidP="00877508">
      <w:pPr>
        <w:spacing w:line="480" w:lineRule="auto"/>
        <w:rPr>
          <w:bCs/>
          <w:sz w:val="22"/>
          <w:lang w:val="en-US"/>
        </w:rPr>
      </w:pPr>
      <w:r w:rsidRPr="00677241">
        <w:rPr>
          <w:b/>
          <w:sz w:val="22"/>
          <w:lang w:val="en-US"/>
        </w:rPr>
        <w:t>BASIC COUNTRY DATA</w:t>
      </w:r>
    </w:p>
    <w:p w:rsidR="00877508" w:rsidRPr="000F456B" w:rsidRDefault="00877508" w:rsidP="00877508">
      <w:pPr>
        <w:rPr>
          <w:sz w:val="22"/>
          <w:lang w:val="en-US"/>
        </w:rPr>
      </w:pPr>
      <w:r w:rsidRPr="000F456B">
        <w:rPr>
          <w:sz w:val="22"/>
          <w:lang w:val="en-US"/>
        </w:rPr>
        <w:t>Total Population: 30</w:t>
      </w:r>
      <w:r>
        <w:rPr>
          <w:sz w:val="22"/>
          <w:lang w:val="en-US"/>
        </w:rPr>
        <w:t>9,050,816</w:t>
      </w:r>
      <w:r w:rsidRPr="000F456B">
        <w:rPr>
          <w:sz w:val="22"/>
          <w:lang w:val="en-US"/>
        </w:rPr>
        <w:t xml:space="preserve"> </w:t>
      </w:r>
    </w:p>
    <w:p w:rsidR="00877508" w:rsidRPr="000F456B" w:rsidRDefault="00877508" w:rsidP="00877508">
      <w:pPr>
        <w:rPr>
          <w:sz w:val="22"/>
          <w:lang w:val="en-US"/>
        </w:rPr>
      </w:pPr>
      <w:r w:rsidRPr="000F456B">
        <w:rPr>
          <w:sz w:val="22"/>
          <w:lang w:val="en-US"/>
        </w:rPr>
        <w:t>Population 0-14 years: 2</w:t>
      </w:r>
      <w:r>
        <w:rPr>
          <w:sz w:val="22"/>
          <w:lang w:val="en-US"/>
        </w:rPr>
        <w:t>0</w:t>
      </w:r>
      <w:r w:rsidRPr="000F456B">
        <w:rPr>
          <w:sz w:val="22"/>
          <w:lang w:val="en-US"/>
        </w:rPr>
        <w:t xml:space="preserve">% </w:t>
      </w:r>
    </w:p>
    <w:p w:rsidR="00877508" w:rsidRPr="000F456B" w:rsidRDefault="00877508" w:rsidP="00877508">
      <w:pPr>
        <w:rPr>
          <w:sz w:val="22"/>
          <w:lang w:val="en-US"/>
        </w:rPr>
      </w:pPr>
      <w:r w:rsidRPr="000F456B">
        <w:rPr>
          <w:sz w:val="22"/>
          <w:lang w:val="en-US"/>
        </w:rPr>
        <w:t>Rural population: 1</w:t>
      </w:r>
      <w:r>
        <w:rPr>
          <w:sz w:val="22"/>
          <w:lang w:val="en-US"/>
        </w:rPr>
        <w:t>8</w:t>
      </w:r>
      <w:r w:rsidRPr="000F456B">
        <w:rPr>
          <w:sz w:val="22"/>
          <w:lang w:val="en-US"/>
        </w:rPr>
        <w:t xml:space="preserve">% </w:t>
      </w:r>
    </w:p>
    <w:p w:rsidR="00877508" w:rsidRPr="008A78C6" w:rsidRDefault="00877508" w:rsidP="00877508">
      <w:pPr>
        <w:rPr>
          <w:sz w:val="22"/>
          <w:lang w:val="en-US"/>
        </w:rPr>
      </w:pPr>
      <w:r w:rsidRPr="008A78C6">
        <w:rPr>
          <w:sz w:val="22"/>
          <w:lang w:val="en-US"/>
        </w:rPr>
        <w:t>Population living under USD 1</w:t>
      </w:r>
      <w:r>
        <w:rPr>
          <w:sz w:val="22"/>
          <w:lang w:val="en-US"/>
        </w:rPr>
        <w:t>.</w:t>
      </w:r>
      <w:r w:rsidRPr="008A78C6">
        <w:rPr>
          <w:sz w:val="22"/>
          <w:lang w:val="en-US"/>
        </w:rPr>
        <w:t xml:space="preserve">25 a day: </w:t>
      </w:r>
      <w:r>
        <w:rPr>
          <w:sz w:val="22"/>
          <w:lang w:val="en-US"/>
        </w:rPr>
        <w:t>no data</w:t>
      </w:r>
    </w:p>
    <w:p w:rsidR="00877508" w:rsidRPr="008A78C6" w:rsidRDefault="00877508" w:rsidP="00877508">
      <w:pPr>
        <w:rPr>
          <w:sz w:val="22"/>
          <w:lang w:val="en-US"/>
        </w:rPr>
      </w:pPr>
      <w:r w:rsidRPr="008A78C6">
        <w:rPr>
          <w:sz w:val="22"/>
          <w:lang w:val="en-US"/>
        </w:rPr>
        <w:t>Population living under</w:t>
      </w:r>
      <w:r>
        <w:rPr>
          <w:sz w:val="22"/>
          <w:lang w:val="en-US"/>
        </w:rPr>
        <w:t xml:space="preserve"> the national poverty line: no data</w:t>
      </w:r>
    </w:p>
    <w:p w:rsidR="00877508" w:rsidRPr="000F456B" w:rsidRDefault="00877508" w:rsidP="00877508">
      <w:pPr>
        <w:rPr>
          <w:sz w:val="22"/>
          <w:lang w:val="en-US"/>
        </w:rPr>
      </w:pPr>
      <w:r w:rsidRPr="000F456B">
        <w:rPr>
          <w:sz w:val="22"/>
          <w:lang w:val="en-US"/>
        </w:rPr>
        <w:t>Income status: High income</w:t>
      </w:r>
      <w:r>
        <w:rPr>
          <w:sz w:val="22"/>
          <w:lang w:val="en-US"/>
        </w:rPr>
        <w:t xml:space="preserve"> economy</w:t>
      </w:r>
      <w:r w:rsidRPr="000F456B">
        <w:rPr>
          <w:sz w:val="22"/>
          <w:lang w:val="en-US"/>
        </w:rPr>
        <w:t xml:space="preserve">: OECD </w:t>
      </w:r>
    </w:p>
    <w:p w:rsidR="00877508" w:rsidRDefault="00877508" w:rsidP="00877508">
      <w:pPr>
        <w:rPr>
          <w:bCs/>
          <w:sz w:val="22"/>
          <w:lang w:val="en-US"/>
        </w:rPr>
      </w:pPr>
      <w:r w:rsidRPr="000F456B">
        <w:rPr>
          <w:sz w:val="22"/>
          <w:lang w:val="en-US"/>
        </w:rPr>
        <w:t>Ranking:</w:t>
      </w:r>
      <w:r w:rsidRPr="000F456B">
        <w:rPr>
          <w:i/>
          <w:iCs/>
          <w:color w:val="003399"/>
          <w:sz w:val="22"/>
          <w:lang w:val="en-US" w:eastAsia="es-CO"/>
        </w:rPr>
        <w:t xml:space="preserve"> </w:t>
      </w:r>
      <w:r w:rsidRPr="000F456B">
        <w:rPr>
          <w:bCs/>
          <w:sz w:val="22"/>
          <w:lang w:val="en-US"/>
        </w:rPr>
        <w:t xml:space="preserve">Very high </w:t>
      </w:r>
      <w:r>
        <w:rPr>
          <w:bCs/>
          <w:sz w:val="22"/>
          <w:lang w:val="en-US"/>
        </w:rPr>
        <w:t>h</w:t>
      </w:r>
      <w:r w:rsidRPr="000F456B">
        <w:rPr>
          <w:bCs/>
          <w:sz w:val="22"/>
          <w:lang w:val="en-US"/>
        </w:rPr>
        <w:t xml:space="preserve">uman </w:t>
      </w:r>
      <w:r>
        <w:rPr>
          <w:bCs/>
          <w:sz w:val="22"/>
          <w:lang w:val="en-US"/>
        </w:rPr>
        <w:t>d</w:t>
      </w:r>
      <w:r w:rsidRPr="000F456B">
        <w:rPr>
          <w:bCs/>
          <w:sz w:val="22"/>
          <w:lang w:val="en-US"/>
        </w:rPr>
        <w:t xml:space="preserve">evelopment </w:t>
      </w:r>
      <w:r>
        <w:rPr>
          <w:bCs/>
          <w:sz w:val="22"/>
          <w:lang w:val="en-US"/>
        </w:rPr>
        <w:t>(ranking 4)</w:t>
      </w:r>
    </w:p>
    <w:p w:rsidR="00877508" w:rsidRPr="000F456B" w:rsidRDefault="00877508" w:rsidP="00877508">
      <w:pPr>
        <w:rPr>
          <w:sz w:val="22"/>
          <w:lang w:val="en-US"/>
        </w:rPr>
      </w:pPr>
      <w:r w:rsidRPr="000F456B">
        <w:rPr>
          <w:sz w:val="22"/>
          <w:lang w:val="en-US"/>
        </w:rPr>
        <w:t xml:space="preserve">Per capita total expenditure on health at average exchange rate (US dollar): </w:t>
      </w:r>
      <w:r>
        <w:rPr>
          <w:sz w:val="22"/>
          <w:lang w:val="en-US"/>
        </w:rPr>
        <w:t>7,410</w:t>
      </w:r>
    </w:p>
    <w:p w:rsidR="00877508" w:rsidRPr="000F456B" w:rsidRDefault="00877508" w:rsidP="00877508">
      <w:pPr>
        <w:rPr>
          <w:sz w:val="22"/>
          <w:lang w:val="en-US"/>
        </w:rPr>
      </w:pPr>
      <w:r w:rsidRPr="000F456B">
        <w:rPr>
          <w:sz w:val="22"/>
          <w:lang w:val="en-US"/>
        </w:rPr>
        <w:t xml:space="preserve">Life expectancy at birth (years): 78 </w:t>
      </w:r>
    </w:p>
    <w:p w:rsidR="00877508" w:rsidRPr="000F456B" w:rsidRDefault="00877508" w:rsidP="00877508">
      <w:pPr>
        <w:rPr>
          <w:sz w:val="22"/>
          <w:lang w:val="en-US"/>
        </w:rPr>
      </w:pPr>
      <w:r w:rsidRPr="000F456B">
        <w:rPr>
          <w:sz w:val="22"/>
          <w:lang w:val="en-US"/>
        </w:rPr>
        <w:t>Health</w:t>
      </w:r>
      <w:r>
        <w:rPr>
          <w:sz w:val="22"/>
          <w:lang w:val="en-US"/>
        </w:rPr>
        <w:t>y</w:t>
      </w:r>
      <w:r w:rsidRPr="000F456B">
        <w:rPr>
          <w:sz w:val="22"/>
          <w:lang w:val="en-US"/>
        </w:rPr>
        <w:t xml:space="preserve"> life expectancy at birth (years): 69 </w:t>
      </w:r>
    </w:p>
    <w:p w:rsidR="00877508" w:rsidRPr="000F456B" w:rsidRDefault="00877508" w:rsidP="00877508">
      <w:pPr>
        <w:spacing w:line="276" w:lineRule="auto"/>
        <w:rPr>
          <w:sz w:val="22"/>
          <w:lang w:val="en-US"/>
        </w:rPr>
      </w:pPr>
    </w:p>
    <w:p w:rsidR="00877508" w:rsidRPr="00677241" w:rsidRDefault="00877508" w:rsidP="00877508">
      <w:pPr>
        <w:rPr>
          <w:bCs/>
          <w:sz w:val="22"/>
          <w:lang w:val="en-US"/>
        </w:rPr>
      </w:pPr>
    </w:p>
    <w:p w:rsidR="00877508" w:rsidRPr="005B3AA4" w:rsidRDefault="00877508" w:rsidP="00877508">
      <w:pPr>
        <w:spacing w:line="480" w:lineRule="auto"/>
        <w:rPr>
          <w:sz w:val="22"/>
          <w:lang w:val="en-GB"/>
        </w:rPr>
      </w:pPr>
      <w:r w:rsidRPr="00EB0427">
        <w:rPr>
          <w:b/>
          <w:sz w:val="22"/>
          <w:lang w:val="en-US"/>
        </w:rPr>
        <w:t xml:space="preserve">BACKGROUND INFORMATION </w:t>
      </w:r>
    </w:p>
    <w:p w:rsidR="00877508" w:rsidRPr="001012A6" w:rsidRDefault="00877508" w:rsidP="00877508">
      <w:pPr>
        <w:ind w:left="0" w:firstLine="0"/>
        <w:rPr>
          <w:sz w:val="22"/>
          <w:lang w:val="en-GB"/>
        </w:rPr>
      </w:pPr>
      <w:r w:rsidRPr="001012A6">
        <w:rPr>
          <w:sz w:val="22"/>
          <w:lang w:val="en-GB"/>
        </w:rPr>
        <w:t>Canine VL (</w:t>
      </w:r>
      <w:r w:rsidRPr="001012A6">
        <w:rPr>
          <w:i/>
          <w:sz w:val="22"/>
          <w:lang w:val="en-GB"/>
        </w:rPr>
        <w:t>L. infantum</w:t>
      </w:r>
      <w:r w:rsidRPr="001012A6">
        <w:rPr>
          <w:sz w:val="22"/>
          <w:lang w:val="en-GB"/>
        </w:rPr>
        <w:t>) is highly prevalent among dogs</w:t>
      </w:r>
      <w:r>
        <w:rPr>
          <w:sz w:val="22"/>
          <w:lang w:val="en-GB"/>
        </w:rPr>
        <w:t>,</w:t>
      </w:r>
      <w:r w:rsidRPr="001012A6">
        <w:rPr>
          <w:sz w:val="22"/>
          <w:lang w:val="en-GB"/>
        </w:rPr>
        <w:t xml:space="preserve"> but </w:t>
      </w:r>
      <w:proofErr w:type="spellStart"/>
      <w:r>
        <w:rPr>
          <w:sz w:val="22"/>
          <w:lang w:val="en-US"/>
        </w:rPr>
        <w:t>autochtonous</w:t>
      </w:r>
      <w:proofErr w:type="spellEnd"/>
      <w:r w:rsidRPr="001012A6">
        <w:rPr>
          <w:sz w:val="22"/>
          <w:lang w:val="en-US"/>
        </w:rPr>
        <w:t xml:space="preserve"> human cases have not been reported to date</w:t>
      </w:r>
      <w:r w:rsidRPr="001012A6">
        <w:rPr>
          <w:sz w:val="22"/>
          <w:lang w:val="en-GB"/>
        </w:rPr>
        <w:t xml:space="preserve">. Outbreaks in foxhound kennels occurred in 18 states (data only available for 2000-2003) and surveys in kennels demonstrated 326 </w:t>
      </w:r>
      <w:proofErr w:type="spellStart"/>
      <w:r w:rsidRPr="001012A6">
        <w:rPr>
          <w:sz w:val="22"/>
          <w:lang w:val="en-GB"/>
        </w:rPr>
        <w:t>seropositive</w:t>
      </w:r>
      <w:proofErr w:type="spellEnd"/>
      <w:r w:rsidRPr="001012A6">
        <w:rPr>
          <w:sz w:val="22"/>
          <w:lang w:val="en-GB"/>
        </w:rPr>
        <w:t xml:space="preserve"> dogs and 62 parasitologically confirmed infections</w:t>
      </w:r>
      <w:r>
        <w:rPr>
          <w:sz w:val="22"/>
          <w:lang w:val="en-GB"/>
        </w:rPr>
        <w:t xml:space="preserve"> [1]</w:t>
      </w:r>
      <w:r w:rsidRPr="001012A6">
        <w:rPr>
          <w:sz w:val="22"/>
          <w:lang w:val="en-GB"/>
        </w:rPr>
        <w:t>. VL is an imported disease among returning soldiers</w:t>
      </w:r>
      <w:r>
        <w:rPr>
          <w:sz w:val="22"/>
          <w:lang w:val="en-GB"/>
        </w:rPr>
        <w:t>,</w:t>
      </w:r>
      <w:r w:rsidRPr="001012A6">
        <w:rPr>
          <w:sz w:val="22"/>
          <w:lang w:val="en-GB"/>
        </w:rPr>
        <w:t xml:space="preserve"> </w:t>
      </w:r>
      <w:r>
        <w:rPr>
          <w:sz w:val="22"/>
          <w:lang w:val="en-GB"/>
        </w:rPr>
        <w:t>but it</w:t>
      </w:r>
      <w:r w:rsidRPr="001012A6">
        <w:rPr>
          <w:sz w:val="22"/>
          <w:lang w:val="en-GB"/>
        </w:rPr>
        <w:t xml:space="preserve"> is very rare</w:t>
      </w:r>
      <w:r>
        <w:rPr>
          <w:sz w:val="22"/>
          <w:lang w:val="en-GB"/>
        </w:rPr>
        <w:t xml:space="preserve"> [2]</w:t>
      </w:r>
      <w:r w:rsidRPr="001012A6">
        <w:rPr>
          <w:sz w:val="22"/>
          <w:lang w:val="en-GB"/>
        </w:rPr>
        <w:t>.</w:t>
      </w:r>
    </w:p>
    <w:p w:rsidR="00877508" w:rsidRPr="001012A6" w:rsidRDefault="00877508" w:rsidP="00877508">
      <w:pPr>
        <w:ind w:left="0" w:firstLine="0"/>
        <w:rPr>
          <w:sz w:val="22"/>
          <w:lang w:val="en-GB"/>
        </w:rPr>
      </w:pPr>
    </w:p>
    <w:p w:rsidR="00877508" w:rsidRPr="001012A6" w:rsidRDefault="00877508" w:rsidP="00877508">
      <w:pPr>
        <w:ind w:left="0" w:firstLine="0"/>
        <w:rPr>
          <w:sz w:val="22"/>
          <w:lang w:val="en-US"/>
        </w:rPr>
      </w:pPr>
      <w:r w:rsidRPr="001012A6">
        <w:rPr>
          <w:sz w:val="22"/>
          <w:lang w:val="en-GB"/>
        </w:rPr>
        <w:t xml:space="preserve">CL is very common among returning soldiers from </w:t>
      </w:r>
      <w:smartTag w:uri="urn:schemas-microsoft-com:office:smarttags" w:element="country-region">
        <w:r w:rsidRPr="001012A6">
          <w:rPr>
            <w:sz w:val="22"/>
            <w:lang w:val="en-GB"/>
          </w:rPr>
          <w:t>Iraq</w:t>
        </w:r>
      </w:smartTag>
      <w:r w:rsidRPr="001012A6">
        <w:rPr>
          <w:sz w:val="22"/>
          <w:lang w:val="en-GB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1012A6">
            <w:rPr>
              <w:sz w:val="22"/>
              <w:lang w:val="en-GB"/>
            </w:rPr>
            <w:t>Afghanistan</w:t>
          </w:r>
        </w:smartTag>
      </w:smartTag>
      <w:r w:rsidRPr="001012A6">
        <w:rPr>
          <w:sz w:val="22"/>
          <w:lang w:val="en-GB"/>
        </w:rPr>
        <w:t>; hundreds of cases have been reported</w:t>
      </w:r>
      <w:r>
        <w:rPr>
          <w:sz w:val="22"/>
          <w:lang w:val="en-GB"/>
        </w:rPr>
        <w:t xml:space="preserve"> [2]</w:t>
      </w:r>
      <w:r w:rsidRPr="001012A6">
        <w:rPr>
          <w:sz w:val="22"/>
          <w:lang w:val="en-GB"/>
        </w:rPr>
        <w:t xml:space="preserve">. CL is also often imported from Latin American countries. </w:t>
      </w:r>
      <w:proofErr w:type="spellStart"/>
      <w:r>
        <w:rPr>
          <w:sz w:val="22"/>
          <w:lang w:val="en-GB"/>
        </w:rPr>
        <w:t>Autochtonous</w:t>
      </w:r>
      <w:proofErr w:type="spellEnd"/>
      <w:r w:rsidRPr="001012A6">
        <w:rPr>
          <w:sz w:val="22"/>
          <w:lang w:val="en-GB"/>
        </w:rPr>
        <w:t xml:space="preserve"> CL in humans is very rare</w:t>
      </w:r>
      <w:r>
        <w:rPr>
          <w:sz w:val="22"/>
          <w:lang w:val="en-GB"/>
        </w:rPr>
        <w:t>,</w:t>
      </w:r>
      <w:r w:rsidRPr="001012A6">
        <w:rPr>
          <w:sz w:val="22"/>
          <w:lang w:val="en-GB"/>
        </w:rPr>
        <w:t xml:space="preserve"> but occurs in Texas and Oklah</w:t>
      </w:r>
      <w:r>
        <w:rPr>
          <w:sz w:val="22"/>
          <w:lang w:val="en-GB"/>
        </w:rPr>
        <w:t>o</w:t>
      </w:r>
      <w:r w:rsidRPr="001012A6">
        <w:rPr>
          <w:sz w:val="22"/>
          <w:lang w:val="en-GB"/>
        </w:rPr>
        <w:t>ma</w:t>
      </w:r>
      <w:r>
        <w:rPr>
          <w:sz w:val="22"/>
          <w:lang w:val="en-GB"/>
        </w:rPr>
        <w:t>;</w:t>
      </w:r>
      <w:r w:rsidRPr="001012A6">
        <w:rPr>
          <w:sz w:val="22"/>
          <w:lang w:val="en-GB"/>
        </w:rPr>
        <w:t xml:space="preserve"> zoonotic </w:t>
      </w:r>
      <w:r w:rsidRPr="001012A6">
        <w:rPr>
          <w:i/>
          <w:color w:val="000000"/>
          <w:sz w:val="22"/>
          <w:lang w:val="en-GB"/>
        </w:rPr>
        <w:t>L</w:t>
      </w:r>
      <w:r>
        <w:rPr>
          <w:i/>
          <w:color w:val="000000"/>
          <w:sz w:val="22"/>
          <w:lang w:val="en-GB"/>
        </w:rPr>
        <w:t>.</w:t>
      </w:r>
      <w:r w:rsidRPr="001012A6">
        <w:rPr>
          <w:i/>
          <w:color w:val="000000"/>
          <w:sz w:val="22"/>
          <w:lang w:val="en-GB"/>
        </w:rPr>
        <w:t xml:space="preserve"> mexicana</w:t>
      </w:r>
      <w:r w:rsidRPr="001012A6">
        <w:rPr>
          <w:color w:val="000000"/>
          <w:sz w:val="22"/>
          <w:lang w:val="en-GB"/>
        </w:rPr>
        <w:t xml:space="preserve"> transmission was demonstrated in </w:t>
      </w:r>
      <w:smartTag w:uri="urn:schemas-microsoft-com:office:smarttags" w:element="State">
        <w:r w:rsidRPr="001012A6">
          <w:rPr>
            <w:color w:val="000000"/>
            <w:sz w:val="22"/>
            <w:lang w:val="en-GB"/>
          </w:rPr>
          <w:t>Texas</w:t>
        </w:r>
      </w:smartTag>
      <w:r w:rsidRPr="001012A6">
        <w:rPr>
          <w:color w:val="000000"/>
          <w:sz w:val="22"/>
          <w:lang w:val="en-GB"/>
        </w:rPr>
        <w:t xml:space="preserve">, </w:t>
      </w:r>
      <w:smartTag w:uri="urn:schemas-microsoft-com:office:smarttags" w:element="State">
        <w:r w:rsidRPr="001012A6">
          <w:rPr>
            <w:color w:val="000000"/>
            <w:sz w:val="22"/>
            <w:lang w:val="en-GB"/>
          </w:rPr>
          <w:t>Oklahoma</w:t>
        </w:r>
      </w:smartTag>
      <w:r w:rsidRPr="001012A6">
        <w:rPr>
          <w:color w:val="000000"/>
          <w:sz w:val="22"/>
          <w:lang w:val="en-GB"/>
        </w:rPr>
        <w:t xml:space="preserve"> and </w:t>
      </w:r>
      <w:smartTag w:uri="urn:schemas-microsoft-com:office:smarttags" w:element="State">
        <w:smartTag w:uri="urn:schemas-microsoft-com:office:smarttags" w:element="place">
          <w:r w:rsidRPr="001012A6">
            <w:rPr>
              <w:color w:val="000000"/>
              <w:sz w:val="22"/>
              <w:lang w:val="en-GB"/>
            </w:rPr>
            <w:t>Arizona</w:t>
          </w:r>
        </w:smartTag>
      </w:smartTag>
      <w:r>
        <w:rPr>
          <w:color w:val="000000"/>
          <w:sz w:val="22"/>
          <w:lang w:val="en-GB"/>
        </w:rPr>
        <w:t xml:space="preserve"> [3]</w:t>
      </w:r>
      <w:r w:rsidRPr="001012A6">
        <w:rPr>
          <w:color w:val="000000"/>
          <w:sz w:val="22"/>
          <w:lang w:val="en-GB"/>
        </w:rPr>
        <w:t xml:space="preserve">. </w:t>
      </w:r>
      <w:r w:rsidRPr="001012A6">
        <w:rPr>
          <w:sz w:val="22"/>
          <w:lang w:val="en-US"/>
        </w:rPr>
        <w:t xml:space="preserve">The first </w:t>
      </w:r>
      <w:proofErr w:type="spellStart"/>
      <w:r>
        <w:rPr>
          <w:sz w:val="22"/>
          <w:lang w:val="en-US"/>
        </w:rPr>
        <w:t>autochtonous</w:t>
      </w:r>
      <w:proofErr w:type="spellEnd"/>
      <w:r w:rsidRPr="001012A6">
        <w:rPr>
          <w:sz w:val="22"/>
          <w:lang w:val="en-US"/>
        </w:rPr>
        <w:t xml:space="preserve"> case of CL was reported in </w:t>
      </w:r>
      <w:smartTag w:uri="urn:schemas-microsoft-com:office:smarttags" w:element="State">
        <w:smartTag w:uri="urn:schemas-microsoft-com:office:smarttags" w:element="place">
          <w:r w:rsidRPr="001012A6">
            <w:rPr>
              <w:sz w:val="22"/>
              <w:lang w:val="en-US"/>
            </w:rPr>
            <w:t>Texas</w:t>
          </w:r>
        </w:smartTag>
      </w:smartTag>
      <w:r>
        <w:rPr>
          <w:sz w:val="22"/>
          <w:lang w:val="en-US"/>
        </w:rPr>
        <w:t>,</w:t>
      </w:r>
      <w:r w:rsidRPr="001012A6">
        <w:rPr>
          <w:sz w:val="22"/>
          <w:lang w:val="en-US"/>
        </w:rPr>
        <w:t xml:space="preserve"> near the </w:t>
      </w:r>
      <w:r>
        <w:rPr>
          <w:sz w:val="22"/>
          <w:lang w:val="en-US"/>
        </w:rPr>
        <w:t xml:space="preserve">Mexican </w:t>
      </w:r>
      <w:r w:rsidRPr="001012A6">
        <w:rPr>
          <w:sz w:val="22"/>
          <w:lang w:val="en-US"/>
        </w:rPr>
        <w:t>border</w:t>
      </w:r>
      <w:r>
        <w:rPr>
          <w:sz w:val="22"/>
          <w:lang w:val="en-US"/>
        </w:rPr>
        <w:t>,</w:t>
      </w:r>
      <w:r w:rsidRPr="001012A6">
        <w:rPr>
          <w:sz w:val="22"/>
          <w:lang w:val="en-US"/>
        </w:rPr>
        <w:t xml:space="preserve"> in 1903</w:t>
      </w:r>
      <w:r>
        <w:rPr>
          <w:sz w:val="22"/>
          <w:lang w:val="en-US"/>
        </w:rPr>
        <w:t>. Until</w:t>
      </w:r>
      <w:r w:rsidRPr="001012A6">
        <w:rPr>
          <w:sz w:val="22"/>
          <w:lang w:val="en-US"/>
        </w:rPr>
        <w:t xml:space="preserve"> 1993, 26 more </w:t>
      </w:r>
      <w:proofErr w:type="spellStart"/>
      <w:r>
        <w:rPr>
          <w:sz w:val="22"/>
          <w:lang w:val="en-US"/>
        </w:rPr>
        <w:t>autochtonous</w:t>
      </w:r>
      <w:proofErr w:type="spellEnd"/>
      <w:r w:rsidRPr="001012A6">
        <w:rPr>
          <w:sz w:val="22"/>
          <w:lang w:val="en-US"/>
        </w:rPr>
        <w:t xml:space="preserve"> cases were documented in </w:t>
      </w:r>
      <w:smartTag w:uri="urn:schemas-microsoft-com:office:smarttags" w:element="State">
        <w:smartTag w:uri="urn:schemas-microsoft-com:office:smarttags" w:element="place">
          <w:r w:rsidRPr="001012A6">
            <w:rPr>
              <w:sz w:val="22"/>
              <w:lang w:val="en-US"/>
            </w:rPr>
            <w:t>Texas</w:t>
          </w:r>
        </w:smartTag>
      </w:smartTag>
      <w:r w:rsidRPr="001012A6">
        <w:rPr>
          <w:sz w:val="22"/>
          <w:lang w:val="en-US"/>
        </w:rPr>
        <w:t xml:space="preserve"> alone</w:t>
      </w:r>
      <w:r>
        <w:rPr>
          <w:sz w:val="22"/>
          <w:lang w:val="en-US"/>
        </w:rPr>
        <w:t xml:space="preserve"> [4]</w:t>
      </w:r>
      <w:r w:rsidRPr="001012A6">
        <w:rPr>
          <w:sz w:val="22"/>
          <w:lang w:val="en-US"/>
        </w:rPr>
        <w:t xml:space="preserve">. Exposure to vector and reservoir is predicted to </w:t>
      </w:r>
      <w:r>
        <w:rPr>
          <w:sz w:val="22"/>
          <w:lang w:val="en-US"/>
        </w:rPr>
        <w:t>have</w:t>
      </w:r>
      <w:r w:rsidRPr="001012A6">
        <w:rPr>
          <w:sz w:val="22"/>
          <w:lang w:val="en-US"/>
        </w:rPr>
        <w:t xml:space="preserve"> double</w:t>
      </w:r>
      <w:r>
        <w:rPr>
          <w:sz w:val="22"/>
          <w:lang w:val="en-US"/>
        </w:rPr>
        <w:t>d</w:t>
      </w:r>
      <w:r w:rsidRPr="001012A6">
        <w:rPr>
          <w:sz w:val="22"/>
          <w:lang w:val="en-US"/>
        </w:rPr>
        <w:t xml:space="preserve"> by 2080</w:t>
      </w:r>
      <w:r>
        <w:rPr>
          <w:sz w:val="22"/>
          <w:lang w:val="en-US"/>
        </w:rPr>
        <w:t>,</w:t>
      </w:r>
      <w:r w:rsidRPr="001012A6">
        <w:rPr>
          <w:sz w:val="22"/>
          <w:lang w:val="en-US"/>
        </w:rPr>
        <w:t xml:space="preserve"> as the presence of both will extend northwards</w:t>
      </w:r>
      <w:r>
        <w:rPr>
          <w:sz w:val="22"/>
          <w:lang w:val="en-US"/>
        </w:rPr>
        <w:t>,</w:t>
      </w:r>
      <w:r w:rsidRPr="001012A6">
        <w:rPr>
          <w:sz w:val="22"/>
          <w:lang w:val="en-US"/>
        </w:rPr>
        <w:t xml:space="preserve"> in line with climate change</w:t>
      </w:r>
      <w:r>
        <w:rPr>
          <w:sz w:val="22"/>
          <w:lang w:val="en-US"/>
        </w:rPr>
        <w:t xml:space="preserve"> [5]</w:t>
      </w:r>
      <w:r w:rsidRPr="001012A6">
        <w:rPr>
          <w:sz w:val="22"/>
          <w:lang w:val="en-US"/>
        </w:rPr>
        <w:t>.</w:t>
      </w:r>
    </w:p>
    <w:p w:rsidR="00877508" w:rsidRPr="001012A6" w:rsidRDefault="00877508" w:rsidP="00877508">
      <w:pPr>
        <w:ind w:left="0" w:firstLine="0"/>
        <w:rPr>
          <w:sz w:val="22"/>
          <w:lang w:val="en-US"/>
        </w:rPr>
      </w:pPr>
      <w:r w:rsidRPr="001012A6">
        <w:rPr>
          <w:sz w:val="22"/>
          <w:lang w:val="en-US"/>
        </w:rPr>
        <w:t xml:space="preserve">  </w:t>
      </w:r>
    </w:p>
    <w:p w:rsidR="00877508" w:rsidRPr="001012A6" w:rsidRDefault="00877508" w:rsidP="00877508">
      <w:pPr>
        <w:ind w:left="0" w:firstLine="0"/>
        <w:rPr>
          <w:sz w:val="22"/>
          <w:lang w:val="en-US"/>
        </w:rPr>
      </w:pPr>
      <w:r w:rsidRPr="001012A6">
        <w:rPr>
          <w:sz w:val="22"/>
          <w:lang w:val="en-US"/>
        </w:rPr>
        <w:t>HIV/</w:t>
      </w:r>
      <w:r w:rsidRPr="001012A6">
        <w:rPr>
          <w:i/>
          <w:sz w:val="22"/>
          <w:lang w:val="en-US"/>
        </w:rPr>
        <w:t>Leishmania</w:t>
      </w:r>
      <w:r w:rsidRPr="001012A6">
        <w:rPr>
          <w:sz w:val="22"/>
          <w:lang w:val="en-US"/>
        </w:rPr>
        <w:t xml:space="preserve"> co</w:t>
      </w:r>
      <w:r>
        <w:rPr>
          <w:sz w:val="22"/>
          <w:lang w:val="en-US"/>
        </w:rPr>
        <w:t>-</w:t>
      </w:r>
      <w:r w:rsidRPr="001012A6">
        <w:rPr>
          <w:sz w:val="22"/>
          <w:lang w:val="en-US"/>
        </w:rPr>
        <w:t>infection is very rare (to date</w:t>
      </w:r>
      <w:r>
        <w:rPr>
          <w:sz w:val="22"/>
          <w:lang w:val="en-US"/>
        </w:rPr>
        <w:t>,</w:t>
      </w:r>
      <w:r w:rsidRPr="001012A6">
        <w:rPr>
          <w:sz w:val="22"/>
          <w:lang w:val="en-US"/>
        </w:rPr>
        <w:t xml:space="preserve"> </w:t>
      </w:r>
      <w:r>
        <w:rPr>
          <w:sz w:val="22"/>
          <w:lang w:val="en-US"/>
        </w:rPr>
        <w:t xml:space="preserve">less than </w:t>
      </w:r>
      <w:smartTag w:uri="urn:schemas-microsoft-com:office:smarttags" w:element="metricconverter">
        <w:smartTagPr>
          <w:attr w:name="ProductID" w:val="5 in"/>
        </w:smartTagPr>
        <w:r w:rsidRPr="001012A6">
          <w:rPr>
            <w:sz w:val="22"/>
            <w:lang w:val="en-US"/>
          </w:rPr>
          <w:t>5 in</w:t>
        </w:r>
      </w:smartTag>
      <w:r w:rsidRPr="001012A6">
        <w:rPr>
          <w:sz w:val="22"/>
          <w:lang w:val="en-US"/>
        </w:rPr>
        <w:t xml:space="preserve"> total) and </w:t>
      </w:r>
      <w:r>
        <w:rPr>
          <w:sz w:val="22"/>
          <w:lang w:val="en-US"/>
        </w:rPr>
        <w:t xml:space="preserve">there have </w:t>
      </w:r>
      <w:r w:rsidRPr="001012A6">
        <w:rPr>
          <w:sz w:val="22"/>
          <w:lang w:val="en-US"/>
        </w:rPr>
        <w:t xml:space="preserve">only </w:t>
      </w:r>
      <w:r>
        <w:rPr>
          <w:sz w:val="22"/>
          <w:lang w:val="en-US"/>
        </w:rPr>
        <w:t xml:space="preserve">been </w:t>
      </w:r>
      <w:r w:rsidRPr="001012A6">
        <w:rPr>
          <w:sz w:val="22"/>
          <w:lang w:val="en-US"/>
        </w:rPr>
        <w:t xml:space="preserve">imported </w:t>
      </w:r>
      <w:r>
        <w:rPr>
          <w:sz w:val="22"/>
          <w:lang w:val="en-US"/>
        </w:rPr>
        <w:t xml:space="preserve">cases </w:t>
      </w:r>
      <w:r>
        <w:rPr>
          <w:sz w:val="22"/>
          <w:lang w:val="en-US"/>
        </w:rPr>
        <w:t>so far</w:t>
      </w:r>
      <w:r w:rsidRPr="001012A6">
        <w:rPr>
          <w:sz w:val="22"/>
          <w:lang w:val="en-US"/>
        </w:rPr>
        <w:t xml:space="preserve">. </w:t>
      </w:r>
    </w:p>
    <w:p w:rsidR="00877508" w:rsidRDefault="00877508" w:rsidP="00877508">
      <w:pPr>
        <w:rPr>
          <w:sz w:val="22"/>
          <w:lang w:val="en-US"/>
        </w:rPr>
      </w:pPr>
    </w:p>
    <w:p w:rsidR="00877508" w:rsidRDefault="00877508" w:rsidP="00877508">
      <w:pPr>
        <w:rPr>
          <w:b/>
          <w:bCs/>
          <w:sz w:val="22"/>
        </w:rPr>
      </w:pPr>
    </w:p>
    <w:p w:rsidR="00877508" w:rsidRPr="006A6444" w:rsidRDefault="00877508" w:rsidP="00877508">
      <w:pPr>
        <w:rPr>
          <w:b/>
          <w:bCs/>
          <w:sz w:val="22"/>
        </w:rPr>
      </w:pPr>
      <w:r w:rsidRPr="006A6444">
        <w:rPr>
          <w:b/>
          <w:bCs/>
          <w:sz w:val="22"/>
        </w:rPr>
        <w:lastRenderedPageBreak/>
        <w:t>PARASITOLOGICAL INFORMATION</w:t>
      </w:r>
    </w:p>
    <w:p w:rsidR="00877508" w:rsidRPr="006A6444" w:rsidRDefault="00877508" w:rsidP="00877508">
      <w:pPr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0"/>
        <w:gridCol w:w="1758"/>
        <w:gridCol w:w="2863"/>
        <w:gridCol w:w="2311"/>
      </w:tblGrid>
      <w:tr w:rsidR="00877508" w:rsidRPr="006A6444" w:rsidTr="00A7768B">
        <w:trPr>
          <w:jc w:val="center"/>
        </w:trPr>
        <w:tc>
          <w:tcPr>
            <w:tcW w:w="2310" w:type="dxa"/>
            <w:vAlign w:val="center"/>
          </w:tcPr>
          <w:p w:rsidR="00877508" w:rsidRDefault="00877508" w:rsidP="00A7768B">
            <w:pPr>
              <w:jc w:val="center"/>
              <w:rPr>
                <w:b/>
                <w:bCs/>
                <w:i/>
                <w:iCs/>
                <w:sz w:val="22"/>
              </w:rPr>
            </w:pPr>
            <w:r w:rsidRPr="006A6444">
              <w:rPr>
                <w:b/>
                <w:bCs/>
                <w:i/>
                <w:iCs/>
                <w:sz w:val="22"/>
              </w:rPr>
              <w:t>Leishmania</w:t>
            </w:r>
          </w:p>
          <w:p w:rsidR="00877508" w:rsidRPr="006A6444" w:rsidRDefault="00877508" w:rsidP="00A7768B">
            <w:pPr>
              <w:jc w:val="center"/>
              <w:rPr>
                <w:sz w:val="22"/>
              </w:rPr>
            </w:pPr>
            <w:proofErr w:type="spellStart"/>
            <w:r w:rsidRPr="006A6444">
              <w:rPr>
                <w:b/>
                <w:bCs/>
                <w:sz w:val="22"/>
              </w:rPr>
              <w:t>species</w:t>
            </w:r>
            <w:proofErr w:type="spellEnd"/>
          </w:p>
        </w:tc>
        <w:tc>
          <w:tcPr>
            <w:tcW w:w="1758" w:type="dxa"/>
            <w:vAlign w:val="center"/>
          </w:tcPr>
          <w:p w:rsidR="00877508" w:rsidRPr="006A6444" w:rsidRDefault="00877508" w:rsidP="00A7768B">
            <w:pPr>
              <w:jc w:val="center"/>
              <w:rPr>
                <w:sz w:val="22"/>
              </w:rPr>
            </w:pPr>
            <w:proofErr w:type="spellStart"/>
            <w:r w:rsidRPr="006A6444">
              <w:rPr>
                <w:b/>
                <w:bCs/>
                <w:sz w:val="22"/>
              </w:rPr>
              <w:t>Clinical</w:t>
            </w:r>
            <w:proofErr w:type="spellEnd"/>
            <w:r w:rsidRPr="006A6444">
              <w:rPr>
                <w:b/>
                <w:bCs/>
                <w:sz w:val="22"/>
              </w:rPr>
              <w:t xml:space="preserve"> </w:t>
            </w:r>
            <w:proofErr w:type="spellStart"/>
            <w:r w:rsidRPr="006A6444">
              <w:rPr>
                <w:b/>
                <w:bCs/>
                <w:sz w:val="22"/>
              </w:rPr>
              <w:t>form</w:t>
            </w:r>
            <w:proofErr w:type="spellEnd"/>
          </w:p>
        </w:tc>
        <w:tc>
          <w:tcPr>
            <w:tcW w:w="2863" w:type="dxa"/>
            <w:vAlign w:val="center"/>
          </w:tcPr>
          <w:p w:rsidR="00877508" w:rsidRPr="006A6444" w:rsidRDefault="00877508" w:rsidP="00A7768B">
            <w:pPr>
              <w:jc w:val="center"/>
              <w:rPr>
                <w:sz w:val="22"/>
              </w:rPr>
            </w:pPr>
            <w:r w:rsidRPr="006A6444">
              <w:rPr>
                <w:b/>
                <w:bCs/>
                <w:sz w:val="22"/>
              </w:rPr>
              <w:t xml:space="preserve">Vector </w:t>
            </w:r>
            <w:proofErr w:type="spellStart"/>
            <w:r w:rsidRPr="006A6444">
              <w:rPr>
                <w:b/>
                <w:bCs/>
                <w:sz w:val="22"/>
              </w:rPr>
              <w:t>species</w:t>
            </w:r>
            <w:proofErr w:type="spellEnd"/>
          </w:p>
        </w:tc>
        <w:tc>
          <w:tcPr>
            <w:tcW w:w="2311" w:type="dxa"/>
            <w:vAlign w:val="center"/>
          </w:tcPr>
          <w:p w:rsidR="00877508" w:rsidRPr="006A6444" w:rsidRDefault="00877508" w:rsidP="00A7768B">
            <w:pPr>
              <w:jc w:val="center"/>
              <w:rPr>
                <w:sz w:val="22"/>
              </w:rPr>
            </w:pPr>
            <w:proofErr w:type="spellStart"/>
            <w:r w:rsidRPr="006A6444">
              <w:rPr>
                <w:b/>
                <w:bCs/>
                <w:sz w:val="22"/>
              </w:rPr>
              <w:t>Reservoirs</w:t>
            </w:r>
            <w:proofErr w:type="spellEnd"/>
          </w:p>
        </w:tc>
      </w:tr>
      <w:tr w:rsidR="00877508" w:rsidRPr="006A6444" w:rsidTr="00A7768B">
        <w:trPr>
          <w:jc w:val="center"/>
        </w:trPr>
        <w:tc>
          <w:tcPr>
            <w:tcW w:w="2310" w:type="dxa"/>
            <w:vAlign w:val="center"/>
          </w:tcPr>
          <w:p w:rsidR="00877508" w:rsidRPr="00125FDE" w:rsidRDefault="00877508" w:rsidP="00A7768B">
            <w:pPr>
              <w:pStyle w:val="NormalWeb"/>
              <w:spacing w:before="0" w:beforeAutospacing="0" w:after="0" w:afterAutospacing="0" w:line="313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25FDE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>L. mexicana</w:t>
            </w:r>
          </w:p>
        </w:tc>
        <w:tc>
          <w:tcPr>
            <w:tcW w:w="1758" w:type="dxa"/>
            <w:vAlign w:val="center"/>
          </w:tcPr>
          <w:p w:rsidR="00877508" w:rsidRPr="00125FDE" w:rsidRDefault="00877508" w:rsidP="00A7768B">
            <w:pPr>
              <w:pStyle w:val="NormalWeb"/>
              <w:spacing w:before="0" w:beforeAutospacing="0" w:after="0" w:afterAutospacing="0" w:line="313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25FDE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ZCL, DCL</w:t>
            </w:r>
          </w:p>
        </w:tc>
        <w:tc>
          <w:tcPr>
            <w:tcW w:w="2863" w:type="dxa"/>
            <w:vAlign w:val="center"/>
          </w:tcPr>
          <w:p w:rsidR="00877508" w:rsidRPr="00125FDE" w:rsidRDefault="00877508" w:rsidP="00A7768B">
            <w:pPr>
              <w:pStyle w:val="NormalWeb"/>
              <w:spacing w:before="0" w:beforeAutospacing="0" w:after="0" w:afterAutospacing="0" w:line="313" w:lineRule="atLeast"/>
              <w:jc w:val="center"/>
              <w:textAlignment w:val="baseline"/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</w:pPr>
            <w:r w:rsidRPr="00125FDE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 xml:space="preserve">Lu. </w:t>
            </w:r>
            <w:proofErr w:type="spellStart"/>
            <w:r w:rsidRPr="00125FDE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>anthophora</w:t>
            </w:r>
            <w:proofErr w:type="spellEnd"/>
            <w:r w:rsidRPr="00125FDE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>,</w:t>
            </w:r>
          </w:p>
          <w:p w:rsidR="00877508" w:rsidRPr="00125FDE" w:rsidRDefault="00877508" w:rsidP="00A7768B">
            <w:pPr>
              <w:pStyle w:val="NormalWeb"/>
              <w:spacing w:before="0" w:beforeAutospacing="0" w:after="0" w:afterAutospacing="0" w:line="313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25FDE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 xml:space="preserve"> Lu. </w:t>
            </w:r>
            <w:proofErr w:type="spellStart"/>
            <w:r w:rsidRPr="00125FDE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>diabolica</w:t>
            </w:r>
            <w:proofErr w:type="spellEnd"/>
          </w:p>
        </w:tc>
        <w:tc>
          <w:tcPr>
            <w:tcW w:w="2311" w:type="dxa"/>
            <w:vAlign w:val="center"/>
          </w:tcPr>
          <w:p w:rsidR="00877508" w:rsidRPr="00125FDE" w:rsidRDefault="00877508" w:rsidP="00A7768B">
            <w:pPr>
              <w:pStyle w:val="NormalWeb"/>
              <w:spacing w:before="0" w:beforeAutospacing="0" w:after="0" w:afterAutospacing="0" w:line="313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25FDE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>Neotoma</w:t>
            </w:r>
            <w:proofErr w:type="spellEnd"/>
            <w:r w:rsidRPr="00125FDE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 xml:space="preserve"> </w:t>
            </w:r>
            <w:r w:rsidRPr="00125FDE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spp.</w:t>
            </w:r>
          </w:p>
        </w:tc>
      </w:tr>
      <w:tr w:rsidR="00877508" w:rsidRPr="006A6444" w:rsidTr="00A7768B">
        <w:trPr>
          <w:jc w:val="center"/>
        </w:trPr>
        <w:tc>
          <w:tcPr>
            <w:tcW w:w="2310" w:type="dxa"/>
            <w:vAlign w:val="center"/>
          </w:tcPr>
          <w:p w:rsidR="00877508" w:rsidRPr="00125FDE" w:rsidRDefault="00877508" w:rsidP="00A7768B">
            <w:pPr>
              <w:pStyle w:val="NormalWeb"/>
              <w:spacing w:before="0" w:beforeAutospacing="0" w:after="0" w:afterAutospacing="0" w:line="313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25FDE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>L. infantum</w:t>
            </w:r>
          </w:p>
        </w:tc>
        <w:tc>
          <w:tcPr>
            <w:tcW w:w="1758" w:type="dxa"/>
            <w:vAlign w:val="center"/>
          </w:tcPr>
          <w:p w:rsidR="00877508" w:rsidRPr="00125FDE" w:rsidRDefault="00877508" w:rsidP="00A7768B">
            <w:pPr>
              <w:pStyle w:val="NormalWeb"/>
              <w:spacing w:before="0" w:beforeAutospacing="0" w:after="0" w:afterAutospacing="0" w:line="313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25FDE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Unknown</w:t>
            </w:r>
          </w:p>
        </w:tc>
        <w:tc>
          <w:tcPr>
            <w:tcW w:w="2863" w:type="dxa"/>
            <w:vAlign w:val="center"/>
          </w:tcPr>
          <w:p w:rsidR="00877508" w:rsidRPr="00125FDE" w:rsidRDefault="00877508" w:rsidP="00A7768B">
            <w:pPr>
              <w:pStyle w:val="NormalWeb"/>
              <w:spacing w:before="0" w:beforeAutospacing="0" w:after="0" w:afterAutospacing="0" w:line="313" w:lineRule="atLeast"/>
              <w:jc w:val="center"/>
              <w:textAlignment w:val="baseline"/>
              <w:rPr>
                <w:rFonts w:ascii="Arial" w:hAnsi="Arial" w:cs="Arial"/>
                <w:sz w:val="22"/>
                <w:szCs w:val="22"/>
              </w:rPr>
            </w:pPr>
            <w:r w:rsidRPr="00125FDE">
              <w:rPr>
                <w:rFonts w:ascii="Arial" w:hAnsi="Arial" w:cs="Arial"/>
                <w:color w:val="000000"/>
                <w:kern w:val="24"/>
                <w:sz w:val="22"/>
                <w:szCs w:val="22"/>
              </w:rPr>
              <w:t>Unknown</w:t>
            </w:r>
          </w:p>
        </w:tc>
        <w:tc>
          <w:tcPr>
            <w:tcW w:w="2311" w:type="dxa"/>
            <w:vAlign w:val="center"/>
          </w:tcPr>
          <w:p w:rsidR="00877508" w:rsidRPr="00125FDE" w:rsidRDefault="00877508" w:rsidP="00A7768B">
            <w:pPr>
              <w:pStyle w:val="NormalWeb"/>
              <w:spacing w:before="0" w:beforeAutospacing="0" w:after="0" w:afterAutospacing="0" w:line="313" w:lineRule="atLeast"/>
              <w:jc w:val="center"/>
              <w:textAlignment w:val="baseline"/>
              <w:rPr>
                <w:rFonts w:ascii="Arial" w:hAnsi="Arial" w:cs="Arial"/>
                <w:i/>
                <w:iCs/>
                <w:sz w:val="22"/>
                <w:szCs w:val="22"/>
              </w:rPr>
            </w:pPr>
            <w:proofErr w:type="spellStart"/>
            <w:r w:rsidRPr="00125FDE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>Canis</w:t>
            </w:r>
            <w:proofErr w:type="spellEnd"/>
            <w:r w:rsidRPr="00125FDE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125FDE">
              <w:rPr>
                <w:rFonts w:ascii="Arial" w:hAnsi="Arial" w:cs="Arial"/>
                <w:i/>
                <w:iCs/>
                <w:color w:val="000000"/>
                <w:kern w:val="24"/>
                <w:sz w:val="22"/>
                <w:szCs w:val="22"/>
              </w:rPr>
              <w:t>familiaris</w:t>
            </w:r>
            <w:proofErr w:type="spellEnd"/>
          </w:p>
        </w:tc>
      </w:tr>
    </w:tbl>
    <w:p w:rsidR="00877508" w:rsidRDefault="00877508" w:rsidP="00877508">
      <w:pPr>
        <w:rPr>
          <w:b/>
          <w:bCs/>
          <w:sz w:val="22"/>
        </w:rPr>
      </w:pPr>
    </w:p>
    <w:p w:rsidR="00877508" w:rsidRDefault="00877508" w:rsidP="00877508">
      <w:pPr>
        <w:rPr>
          <w:b/>
          <w:bCs/>
          <w:sz w:val="22"/>
        </w:rPr>
      </w:pPr>
    </w:p>
    <w:p w:rsidR="00877508" w:rsidRDefault="00877508" w:rsidP="00877508">
      <w:pPr>
        <w:rPr>
          <w:b/>
          <w:bCs/>
          <w:sz w:val="22"/>
        </w:rPr>
      </w:pPr>
    </w:p>
    <w:p w:rsidR="00877508" w:rsidRPr="006A6444" w:rsidRDefault="00877508" w:rsidP="00877508">
      <w:pPr>
        <w:rPr>
          <w:b/>
          <w:bCs/>
          <w:sz w:val="22"/>
        </w:rPr>
      </w:pPr>
      <w:r w:rsidRPr="006A6444">
        <w:rPr>
          <w:b/>
          <w:bCs/>
          <w:sz w:val="22"/>
        </w:rPr>
        <w:t>MAPS AND TRENDS</w:t>
      </w:r>
    </w:p>
    <w:p w:rsidR="00877508" w:rsidRDefault="00877508" w:rsidP="00877508">
      <w:pPr>
        <w:rPr>
          <w:b/>
          <w:bCs/>
          <w:sz w:val="22"/>
        </w:rPr>
      </w:pPr>
    </w:p>
    <w:p w:rsidR="00877508" w:rsidRDefault="00877508" w:rsidP="00877508">
      <w:pPr>
        <w:rPr>
          <w:b/>
          <w:bCs/>
          <w:sz w:val="22"/>
        </w:rPr>
      </w:pPr>
      <w:r w:rsidRPr="006A6444">
        <w:rPr>
          <w:b/>
          <w:bCs/>
          <w:sz w:val="22"/>
        </w:rPr>
        <w:t>Cutaneous leishmaniasis</w:t>
      </w:r>
    </w:p>
    <w:p w:rsidR="00877508" w:rsidRDefault="00877508" w:rsidP="00877508">
      <w:r>
        <w:rPr>
          <w:noProof/>
          <w:lang w:val="en-US"/>
        </w:rPr>
        <w:drawing>
          <wp:inline distT="0" distB="0" distL="0" distR="0">
            <wp:extent cx="3115945" cy="2203450"/>
            <wp:effectExtent l="19050" t="0" r="8255" b="0"/>
            <wp:docPr id="1" name="Picture 2" descr="USCLmo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SCLmod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945" cy="220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7508" w:rsidRDefault="00877508" w:rsidP="00877508">
      <w:pPr>
        <w:rPr>
          <w:b/>
          <w:bCs/>
          <w:sz w:val="22"/>
        </w:rPr>
      </w:pPr>
      <w:r>
        <w:rPr>
          <w:b/>
          <w:bCs/>
          <w:sz w:val="22"/>
        </w:rPr>
        <w:t>C</w:t>
      </w:r>
      <w:r w:rsidRPr="00262C9B">
        <w:rPr>
          <w:b/>
          <w:bCs/>
          <w:sz w:val="22"/>
        </w:rPr>
        <w:t xml:space="preserve">utaneous </w:t>
      </w:r>
      <w:r>
        <w:rPr>
          <w:b/>
          <w:bCs/>
          <w:sz w:val="22"/>
        </w:rPr>
        <w:t>l</w:t>
      </w:r>
      <w:r>
        <w:rPr>
          <w:b/>
          <w:bCs/>
          <w:sz w:val="22"/>
        </w:rPr>
        <w:t>eishmaniasis</w:t>
      </w:r>
      <w:r>
        <w:rPr>
          <w:b/>
          <w:bCs/>
          <w:sz w:val="22"/>
        </w:rPr>
        <w:t xml:space="preserve"> cases</w:t>
      </w:r>
    </w:p>
    <w:p w:rsidR="00877508" w:rsidRDefault="00877508" w:rsidP="00877508"/>
    <w:tbl>
      <w:tblPr>
        <w:tblW w:w="0" w:type="auto"/>
        <w:tblInd w:w="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3"/>
        <w:gridCol w:w="1293"/>
        <w:gridCol w:w="1293"/>
        <w:gridCol w:w="1294"/>
        <w:gridCol w:w="1294"/>
        <w:gridCol w:w="1294"/>
      </w:tblGrid>
      <w:tr w:rsidR="00877508" w:rsidTr="00A7768B">
        <w:tc>
          <w:tcPr>
            <w:tcW w:w="1293" w:type="dxa"/>
          </w:tcPr>
          <w:p w:rsidR="00877508" w:rsidRPr="00632CA8" w:rsidRDefault="00877508" w:rsidP="00A7768B">
            <w:pPr>
              <w:ind w:left="0" w:firstLine="0"/>
              <w:jc w:val="center"/>
              <w:rPr>
                <w:b/>
                <w:bCs/>
                <w:sz w:val="22"/>
              </w:rPr>
            </w:pPr>
            <w:r w:rsidRPr="00632CA8">
              <w:rPr>
                <w:b/>
                <w:bCs/>
                <w:sz w:val="22"/>
              </w:rPr>
              <w:t>2005</w:t>
            </w:r>
          </w:p>
        </w:tc>
        <w:tc>
          <w:tcPr>
            <w:tcW w:w="1293" w:type="dxa"/>
          </w:tcPr>
          <w:p w:rsidR="00877508" w:rsidRPr="00632CA8" w:rsidRDefault="00877508" w:rsidP="00A7768B">
            <w:pPr>
              <w:ind w:left="0" w:firstLine="0"/>
              <w:jc w:val="center"/>
              <w:rPr>
                <w:b/>
                <w:bCs/>
                <w:sz w:val="22"/>
              </w:rPr>
            </w:pPr>
            <w:r w:rsidRPr="00632CA8">
              <w:rPr>
                <w:b/>
                <w:bCs/>
                <w:sz w:val="22"/>
              </w:rPr>
              <w:t>2006</w:t>
            </w:r>
          </w:p>
        </w:tc>
        <w:tc>
          <w:tcPr>
            <w:tcW w:w="1293" w:type="dxa"/>
          </w:tcPr>
          <w:p w:rsidR="00877508" w:rsidRPr="00632CA8" w:rsidRDefault="00877508" w:rsidP="00A7768B">
            <w:pPr>
              <w:ind w:left="0" w:firstLine="0"/>
              <w:jc w:val="center"/>
              <w:rPr>
                <w:b/>
                <w:bCs/>
                <w:sz w:val="22"/>
              </w:rPr>
            </w:pPr>
            <w:r w:rsidRPr="00632CA8">
              <w:rPr>
                <w:b/>
                <w:bCs/>
                <w:sz w:val="22"/>
              </w:rPr>
              <w:t>2007</w:t>
            </w:r>
          </w:p>
        </w:tc>
        <w:tc>
          <w:tcPr>
            <w:tcW w:w="1294" w:type="dxa"/>
          </w:tcPr>
          <w:p w:rsidR="00877508" w:rsidRPr="00632CA8" w:rsidRDefault="00877508" w:rsidP="00A7768B">
            <w:pPr>
              <w:ind w:left="0" w:firstLine="0"/>
              <w:jc w:val="center"/>
              <w:rPr>
                <w:b/>
                <w:bCs/>
                <w:sz w:val="22"/>
              </w:rPr>
            </w:pPr>
            <w:r w:rsidRPr="00632CA8">
              <w:rPr>
                <w:b/>
                <w:bCs/>
                <w:sz w:val="22"/>
              </w:rPr>
              <w:t>2008</w:t>
            </w:r>
          </w:p>
        </w:tc>
        <w:tc>
          <w:tcPr>
            <w:tcW w:w="1294" w:type="dxa"/>
          </w:tcPr>
          <w:p w:rsidR="00877508" w:rsidRPr="00632CA8" w:rsidRDefault="00877508" w:rsidP="00A7768B">
            <w:pPr>
              <w:ind w:left="0" w:firstLine="0"/>
              <w:jc w:val="center"/>
              <w:rPr>
                <w:b/>
                <w:bCs/>
                <w:sz w:val="22"/>
              </w:rPr>
            </w:pPr>
            <w:r w:rsidRPr="00632CA8">
              <w:rPr>
                <w:b/>
                <w:bCs/>
                <w:sz w:val="22"/>
              </w:rPr>
              <w:t>2009</w:t>
            </w:r>
          </w:p>
        </w:tc>
        <w:tc>
          <w:tcPr>
            <w:tcW w:w="1294" w:type="dxa"/>
          </w:tcPr>
          <w:p w:rsidR="00877508" w:rsidRPr="00632CA8" w:rsidRDefault="00877508" w:rsidP="00A7768B">
            <w:pPr>
              <w:ind w:left="0" w:firstLine="0"/>
              <w:jc w:val="center"/>
              <w:rPr>
                <w:b/>
                <w:bCs/>
                <w:sz w:val="22"/>
              </w:rPr>
            </w:pPr>
            <w:r w:rsidRPr="00632CA8">
              <w:rPr>
                <w:b/>
                <w:bCs/>
                <w:sz w:val="22"/>
              </w:rPr>
              <w:t>2010</w:t>
            </w:r>
          </w:p>
        </w:tc>
      </w:tr>
      <w:tr w:rsidR="00877508" w:rsidTr="00A7768B">
        <w:tc>
          <w:tcPr>
            <w:tcW w:w="1293" w:type="dxa"/>
          </w:tcPr>
          <w:p w:rsidR="00877508" w:rsidRPr="00632CA8" w:rsidRDefault="00877508" w:rsidP="00A7768B">
            <w:pPr>
              <w:ind w:left="0" w:firstLine="0"/>
              <w:jc w:val="center"/>
              <w:rPr>
                <w:sz w:val="22"/>
              </w:rPr>
            </w:pPr>
            <w:r w:rsidRPr="00632CA8">
              <w:rPr>
                <w:sz w:val="22"/>
              </w:rPr>
              <w:t>2</w:t>
            </w:r>
          </w:p>
        </w:tc>
        <w:tc>
          <w:tcPr>
            <w:tcW w:w="1293" w:type="dxa"/>
          </w:tcPr>
          <w:p w:rsidR="00877508" w:rsidRPr="00632CA8" w:rsidRDefault="00877508" w:rsidP="00A7768B">
            <w:pPr>
              <w:ind w:left="0" w:firstLine="0"/>
              <w:jc w:val="center"/>
              <w:rPr>
                <w:sz w:val="22"/>
              </w:rPr>
            </w:pPr>
            <w:r w:rsidRPr="00632CA8">
              <w:rPr>
                <w:sz w:val="22"/>
              </w:rPr>
              <w:t>6</w:t>
            </w:r>
          </w:p>
        </w:tc>
        <w:tc>
          <w:tcPr>
            <w:tcW w:w="1293" w:type="dxa"/>
          </w:tcPr>
          <w:p w:rsidR="00877508" w:rsidRPr="00632CA8" w:rsidRDefault="00877508" w:rsidP="00A7768B">
            <w:pPr>
              <w:ind w:left="0" w:firstLine="0"/>
              <w:jc w:val="center"/>
              <w:rPr>
                <w:sz w:val="22"/>
              </w:rPr>
            </w:pPr>
            <w:r w:rsidRPr="00632CA8">
              <w:rPr>
                <w:sz w:val="22"/>
              </w:rPr>
              <w:t>3</w:t>
            </w:r>
          </w:p>
        </w:tc>
        <w:tc>
          <w:tcPr>
            <w:tcW w:w="1294" w:type="dxa"/>
          </w:tcPr>
          <w:p w:rsidR="00877508" w:rsidRPr="00632CA8" w:rsidRDefault="00877508" w:rsidP="00A7768B">
            <w:pPr>
              <w:ind w:left="0" w:firstLine="0"/>
              <w:jc w:val="center"/>
              <w:rPr>
                <w:sz w:val="22"/>
              </w:rPr>
            </w:pPr>
            <w:r w:rsidRPr="00632CA8">
              <w:rPr>
                <w:sz w:val="22"/>
              </w:rPr>
              <w:t>0</w:t>
            </w:r>
          </w:p>
        </w:tc>
        <w:tc>
          <w:tcPr>
            <w:tcW w:w="1294" w:type="dxa"/>
          </w:tcPr>
          <w:p w:rsidR="00877508" w:rsidRPr="00632CA8" w:rsidRDefault="00877508" w:rsidP="00A7768B">
            <w:pPr>
              <w:ind w:left="0" w:firstLine="0"/>
              <w:jc w:val="center"/>
              <w:rPr>
                <w:sz w:val="22"/>
              </w:rPr>
            </w:pPr>
            <w:r w:rsidRPr="00632CA8">
              <w:rPr>
                <w:sz w:val="22"/>
              </w:rPr>
              <w:t>2</w:t>
            </w:r>
          </w:p>
        </w:tc>
        <w:tc>
          <w:tcPr>
            <w:tcW w:w="1294" w:type="dxa"/>
          </w:tcPr>
          <w:p w:rsidR="00877508" w:rsidRPr="00632CA8" w:rsidRDefault="00877508" w:rsidP="00A7768B">
            <w:pPr>
              <w:ind w:left="0" w:firstLine="0"/>
              <w:jc w:val="center"/>
              <w:rPr>
                <w:sz w:val="22"/>
              </w:rPr>
            </w:pPr>
            <w:r w:rsidRPr="00632CA8">
              <w:rPr>
                <w:sz w:val="22"/>
              </w:rPr>
              <w:t>0</w:t>
            </w:r>
          </w:p>
        </w:tc>
      </w:tr>
    </w:tbl>
    <w:p w:rsidR="00877508" w:rsidRDefault="00877508" w:rsidP="00877508"/>
    <w:p w:rsidR="00877508" w:rsidRDefault="00877508" w:rsidP="00877508">
      <w:pPr>
        <w:rPr>
          <w:rFonts w:eastAsia="Times New Roman"/>
          <w:b/>
          <w:bCs/>
          <w:sz w:val="22"/>
          <w:lang w:val="en-GB" w:eastAsia="es-ES"/>
        </w:rPr>
      </w:pPr>
    </w:p>
    <w:p w:rsidR="00877508" w:rsidRPr="00262C9B" w:rsidRDefault="00877508" w:rsidP="00877508">
      <w:pPr>
        <w:rPr>
          <w:rFonts w:eastAsia="Times New Roman"/>
          <w:b/>
          <w:bCs/>
          <w:sz w:val="22"/>
          <w:lang w:val="en-GB" w:eastAsia="es-ES"/>
        </w:rPr>
      </w:pPr>
      <w:r w:rsidRPr="00262C9B">
        <w:rPr>
          <w:rFonts w:eastAsia="Times New Roman"/>
          <w:b/>
          <w:bCs/>
          <w:sz w:val="22"/>
          <w:lang w:val="en-GB" w:eastAsia="es-ES"/>
        </w:rPr>
        <w:t>CONTROL</w:t>
      </w:r>
    </w:p>
    <w:p w:rsidR="00877508" w:rsidRPr="00262C9B" w:rsidRDefault="00877508" w:rsidP="00877508">
      <w:pPr>
        <w:ind w:left="0"/>
        <w:rPr>
          <w:rFonts w:eastAsia="Times New Roman"/>
          <w:sz w:val="22"/>
          <w:lang w:val="en-GB" w:eastAsia="es-ES"/>
        </w:rPr>
      </w:pPr>
    </w:p>
    <w:p w:rsidR="00877508" w:rsidRPr="000F456B" w:rsidRDefault="00877508" w:rsidP="00877508">
      <w:pPr>
        <w:ind w:left="0" w:firstLine="0"/>
        <w:rPr>
          <w:sz w:val="22"/>
          <w:lang w:val="en-US"/>
        </w:rPr>
      </w:pPr>
      <w:r>
        <w:rPr>
          <w:rFonts w:eastAsia="Times New Roman"/>
          <w:sz w:val="22"/>
          <w:lang w:val="en-US" w:eastAsia="es-ES"/>
        </w:rPr>
        <w:t>A</w:t>
      </w:r>
      <w:r w:rsidRPr="007E0B85">
        <w:rPr>
          <w:rFonts w:eastAsia="Times New Roman"/>
          <w:sz w:val="22"/>
          <w:lang w:val="en-US" w:eastAsia="es-ES"/>
        </w:rPr>
        <w:t>n epidemiological</w:t>
      </w:r>
      <w:r>
        <w:rPr>
          <w:rFonts w:eastAsia="Times New Roman"/>
          <w:sz w:val="22"/>
          <w:lang w:val="en-US" w:eastAsia="es-ES"/>
        </w:rPr>
        <w:t xml:space="preserve"> surveillance system has been in place since 1980. No</w:t>
      </w:r>
      <w:r w:rsidRPr="007E0B85">
        <w:rPr>
          <w:rFonts w:eastAsia="Times New Roman"/>
          <w:sz w:val="22"/>
          <w:lang w:val="en-US" w:eastAsia="es-ES"/>
        </w:rPr>
        <w:t xml:space="preserve">tification of leishmaniasis is </w:t>
      </w:r>
      <w:r>
        <w:rPr>
          <w:rFonts w:eastAsia="Times New Roman"/>
          <w:sz w:val="22"/>
          <w:lang w:val="en-US" w:eastAsia="es-ES"/>
        </w:rPr>
        <w:t xml:space="preserve">not </w:t>
      </w:r>
      <w:r w:rsidRPr="007E0B85">
        <w:rPr>
          <w:rFonts w:eastAsia="Times New Roman"/>
          <w:sz w:val="22"/>
          <w:lang w:val="en-US" w:eastAsia="es-ES"/>
        </w:rPr>
        <w:t>mandatory</w:t>
      </w:r>
      <w:r>
        <w:rPr>
          <w:rFonts w:eastAsia="Times New Roman"/>
          <w:sz w:val="22"/>
          <w:lang w:val="en-US" w:eastAsia="es-ES"/>
        </w:rPr>
        <w:t xml:space="preserve"> and there is no national leishmaniasis control program</w:t>
      </w:r>
      <w:r w:rsidRPr="007E0B85">
        <w:rPr>
          <w:rFonts w:eastAsia="Times New Roman"/>
          <w:sz w:val="22"/>
          <w:lang w:val="en-US" w:eastAsia="es-ES"/>
        </w:rPr>
        <w:t>. Case detection is passive</w:t>
      </w:r>
      <w:r>
        <w:rPr>
          <w:rFonts w:eastAsia="Times New Roman"/>
          <w:sz w:val="22"/>
          <w:lang w:val="en-US" w:eastAsia="es-ES"/>
        </w:rPr>
        <w:t>. Ve</w:t>
      </w:r>
      <w:r w:rsidRPr="007E0B85">
        <w:rPr>
          <w:rFonts w:eastAsia="Times New Roman"/>
          <w:sz w:val="22"/>
          <w:lang w:val="en-US" w:eastAsia="es-ES"/>
        </w:rPr>
        <w:t>ctor control, which relies on education and spraying, is carried out whenever cases are detected</w:t>
      </w:r>
      <w:r>
        <w:rPr>
          <w:rFonts w:eastAsia="Times New Roman"/>
          <w:sz w:val="22"/>
          <w:lang w:val="en-US" w:eastAsia="es-ES"/>
        </w:rPr>
        <w:t>.</w:t>
      </w:r>
      <w:r w:rsidRPr="007E0B85">
        <w:rPr>
          <w:rFonts w:eastAsia="Times New Roman"/>
          <w:sz w:val="22"/>
          <w:lang w:val="en-US" w:eastAsia="es-ES"/>
        </w:rPr>
        <w:t xml:space="preserve"> </w:t>
      </w:r>
      <w:r>
        <w:rPr>
          <w:rFonts w:eastAsia="Times New Roman"/>
          <w:sz w:val="22"/>
          <w:lang w:val="en-US" w:eastAsia="es-ES"/>
        </w:rPr>
        <w:t>H</w:t>
      </w:r>
      <w:r w:rsidRPr="007E0B85">
        <w:rPr>
          <w:rFonts w:eastAsia="Times New Roman"/>
          <w:sz w:val="22"/>
          <w:lang w:val="en-US" w:eastAsia="es-ES"/>
        </w:rPr>
        <w:t xml:space="preserve">owever, the current </w:t>
      </w:r>
      <w:r>
        <w:rPr>
          <w:rFonts w:eastAsia="Times New Roman"/>
          <w:sz w:val="22"/>
          <w:lang w:val="en-US" w:eastAsia="es-ES"/>
        </w:rPr>
        <w:t xml:space="preserve">registration </w:t>
      </w:r>
      <w:r w:rsidRPr="007E0B85">
        <w:rPr>
          <w:rFonts w:eastAsia="Times New Roman"/>
          <w:sz w:val="22"/>
          <w:lang w:val="en-US" w:eastAsia="es-ES"/>
        </w:rPr>
        <w:t>system does not record these activities.</w:t>
      </w:r>
      <w:r w:rsidRPr="001012A6">
        <w:rPr>
          <w:sz w:val="22"/>
          <w:lang w:val="en-GB"/>
        </w:rPr>
        <w:t xml:space="preserve"> Positive dogs are sacrificed only if the owner agrees. </w:t>
      </w:r>
    </w:p>
    <w:p w:rsidR="00877508" w:rsidRDefault="00877508" w:rsidP="00877508">
      <w:pPr>
        <w:ind w:left="0"/>
        <w:rPr>
          <w:rFonts w:eastAsia="Times New Roman"/>
          <w:sz w:val="22"/>
          <w:lang w:val="en-US" w:eastAsia="es-ES"/>
        </w:rPr>
      </w:pPr>
    </w:p>
    <w:p w:rsidR="00877508" w:rsidRDefault="00877508" w:rsidP="00877508">
      <w:pPr>
        <w:ind w:left="0"/>
        <w:rPr>
          <w:rFonts w:eastAsia="Times New Roman"/>
          <w:sz w:val="22"/>
          <w:lang w:val="en-US" w:eastAsia="es-ES"/>
        </w:rPr>
      </w:pPr>
    </w:p>
    <w:p w:rsidR="00877508" w:rsidRPr="00512E47" w:rsidRDefault="00877508" w:rsidP="00877508">
      <w:pPr>
        <w:spacing w:line="360" w:lineRule="auto"/>
        <w:rPr>
          <w:b/>
          <w:sz w:val="22"/>
          <w:lang w:val="en-US"/>
        </w:rPr>
      </w:pPr>
      <w:r w:rsidRPr="00512E47">
        <w:rPr>
          <w:b/>
          <w:sz w:val="22"/>
          <w:lang w:val="en-US"/>
        </w:rPr>
        <w:t xml:space="preserve">DIAGNOSIS, TREATMENT </w:t>
      </w:r>
    </w:p>
    <w:p w:rsidR="00877508" w:rsidRDefault="00877508" w:rsidP="00877508">
      <w:pPr>
        <w:spacing w:line="276" w:lineRule="auto"/>
        <w:rPr>
          <w:b/>
          <w:sz w:val="22"/>
          <w:lang w:val="en-US"/>
        </w:rPr>
      </w:pPr>
      <w:r>
        <w:rPr>
          <w:b/>
          <w:sz w:val="22"/>
          <w:lang w:val="en-US"/>
        </w:rPr>
        <w:t xml:space="preserve">Diagnosis: </w:t>
      </w:r>
    </w:p>
    <w:p w:rsidR="00877508" w:rsidRPr="00765ECB" w:rsidRDefault="00877508" w:rsidP="00877508">
      <w:pPr>
        <w:spacing w:line="276" w:lineRule="auto"/>
        <w:rPr>
          <w:sz w:val="22"/>
          <w:lang w:val="en-US"/>
        </w:rPr>
      </w:pPr>
      <w:r w:rsidRPr="00562689">
        <w:rPr>
          <w:sz w:val="22"/>
          <w:lang w:val="en-US"/>
        </w:rPr>
        <w:t>CL:</w:t>
      </w:r>
      <w:r>
        <w:rPr>
          <w:b/>
          <w:sz w:val="22"/>
          <w:lang w:val="en-US"/>
        </w:rPr>
        <w:t xml:space="preserve"> </w:t>
      </w:r>
      <w:r w:rsidRPr="00765ECB">
        <w:rPr>
          <w:sz w:val="22"/>
          <w:lang w:val="en-US"/>
        </w:rPr>
        <w:t>microscopic examination of skin samples and PCR</w:t>
      </w:r>
      <w:r>
        <w:rPr>
          <w:sz w:val="22"/>
          <w:lang w:val="en-US"/>
        </w:rPr>
        <w:t>.</w:t>
      </w:r>
    </w:p>
    <w:p w:rsidR="00877508" w:rsidRDefault="00877508" w:rsidP="00877508">
      <w:pPr>
        <w:spacing w:line="276" w:lineRule="auto"/>
        <w:rPr>
          <w:b/>
          <w:sz w:val="22"/>
          <w:lang w:val="en-US"/>
        </w:rPr>
      </w:pPr>
    </w:p>
    <w:p w:rsidR="00877508" w:rsidRDefault="00877508" w:rsidP="00877508">
      <w:pPr>
        <w:spacing w:line="276" w:lineRule="auto"/>
        <w:rPr>
          <w:b/>
          <w:sz w:val="22"/>
          <w:lang w:val="en-US"/>
        </w:rPr>
      </w:pPr>
      <w:r>
        <w:rPr>
          <w:b/>
          <w:sz w:val="22"/>
          <w:lang w:val="en-US"/>
        </w:rPr>
        <w:t xml:space="preserve">Treatment </w:t>
      </w:r>
    </w:p>
    <w:p w:rsidR="00877508" w:rsidRDefault="00877508" w:rsidP="00877508">
      <w:pPr>
        <w:spacing w:line="276" w:lineRule="auto"/>
        <w:ind w:left="0" w:firstLine="0"/>
        <w:rPr>
          <w:b/>
          <w:sz w:val="22"/>
          <w:lang w:val="en-US"/>
        </w:rPr>
      </w:pPr>
      <w:r w:rsidRPr="00562689">
        <w:rPr>
          <w:sz w:val="22"/>
          <w:lang w:val="en-US"/>
        </w:rPr>
        <w:t>CL:</w:t>
      </w:r>
      <w:r>
        <w:rPr>
          <w:b/>
          <w:sz w:val="22"/>
          <w:lang w:val="en-US"/>
        </w:rPr>
        <w:t xml:space="preserve"> </w:t>
      </w:r>
      <w:r w:rsidRPr="001012A6">
        <w:rPr>
          <w:bCs/>
          <w:color w:val="000000"/>
          <w:sz w:val="22"/>
          <w:lang w:val="en-GB"/>
        </w:rPr>
        <w:t xml:space="preserve">antimonials, 20 mg </w:t>
      </w:r>
      <w:proofErr w:type="spellStart"/>
      <w:r w:rsidRPr="00434EFA">
        <w:rPr>
          <w:bCs/>
          <w:color w:val="000000"/>
          <w:sz w:val="22"/>
          <w:lang w:val="en-GB"/>
        </w:rPr>
        <w:t>Sb</w:t>
      </w:r>
      <w:r w:rsidRPr="00454EC6">
        <w:rPr>
          <w:bCs/>
          <w:color w:val="000000"/>
          <w:sz w:val="22"/>
          <w:vertAlign w:val="superscript"/>
          <w:lang w:val="en-GB"/>
        </w:rPr>
        <w:t>v</w:t>
      </w:r>
      <w:proofErr w:type="spellEnd"/>
      <w:r>
        <w:rPr>
          <w:bCs/>
          <w:color w:val="000000"/>
          <w:sz w:val="22"/>
          <w:lang w:val="en-GB"/>
        </w:rPr>
        <w:t>/</w:t>
      </w:r>
      <w:r w:rsidRPr="00434EFA">
        <w:rPr>
          <w:bCs/>
          <w:color w:val="000000"/>
          <w:sz w:val="22"/>
          <w:lang w:val="en-GB"/>
        </w:rPr>
        <w:t>kg</w:t>
      </w:r>
      <w:r w:rsidRPr="001012A6">
        <w:rPr>
          <w:bCs/>
          <w:color w:val="000000"/>
          <w:sz w:val="22"/>
          <w:lang w:val="en-GB"/>
        </w:rPr>
        <w:t>/day for 20 days. Second line is with liposomal amphotericin B.</w:t>
      </w:r>
    </w:p>
    <w:p w:rsidR="00877508" w:rsidRPr="001012A6" w:rsidRDefault="00877508" w:rsidP="00877508">
      <w:pPr>
        <w:ind w:left="0" w:firstLine="0"/>
        <w:rPr>
          <w:sz w:val="22"/>
          <w:lang w:val="en-GB"/>
        </w:rPr>
      </w:pPr>
    </w:p>
    <w:p w:rsidR="00877508" w:rsidRPr="00313FE3" w:rsidRDefault="00877508" w:rsidP="00877508">
      <w:pPr>
        <w:spacing w:line="360" w:lineRule="auto"/>
        <w:ind w:left="0" w:firstLine="0"/>
        <w:rPr>
          <w:sz w:val="22"/>
          <w:lang w:val="en-US"/>
        </w:rPr>
      </w:pPr>
      <w:r w:rsidRPr="00313FE3">
        <w:rPr>
          <w:b/>
          <w:bCs/>
          <w:sz w:val="22"/>
          <w:lang w:val="en-US"/>
        </w:rPr>
        <w:lastRenderedPageBreak/>
        <w:t xml:space="preserve">ACCESS TO CARE </w:t>
      </w:r>
    </w:p>
    <w:p w:rsidR="00877508" w:rsidRPr="001012A6" w:rsidRDefault="00877508" w:rsidP="00877508">
      <w:pPr>
        <w:ind w:left="0" w:firstLine="0"/>
        <w:rPr>
          <w:sz w:val="22"/>
          <w:lang w:val="en-GB"/>
        </w:rPr>
      </w:pPr>
    </w:p>
    <w:p w:rsidR="00877508" w:rsidRPr="000D5AEE" w:rsidRDefault="00877508" w:rsidP="00877508">
      <w:pPr>
        <w:ind w:left="0" w:firstLine="0"/>
        <w:rPr>
          <w:sz w:val="22"/>
          <w:lang w:val="en-GB"/>
        </w:rPr>
      </w:pPr>
      <w:r w:rsidRPr="00313FE3">
        <w:rPr>
          <w:sz w:val="22"/>
          <w:lang w:val="en-US"/>
        </w:rPr>
        <w:t>Care for leishmaniasis is not free</w:t>
      </w:r>
      <w:r>
        <w:rPr>
          <w:sz w:val="22"/>
          <w:lang w:val="en-US"/>
        </w:rPr>
        <w:t xml:space="preserve">; the cost </w:t>
      </w:r>
      <w:r w:rsidRPr="00313FE3">
        <w:rPr>
          <w:sz w:val="22"/>
          <w:lang w:val="en-US"/>
        </w:rPr>
        <w:t>depend</w:t>
      </w:r>
      <w:r>
        <w:rPr>
          <w:sz w:val="22"/>
          <w:lang w:val="en-US"/>
        </w:rPr>
        <w:t>s</w:t>
      </w:r>
      <w:r w:rsidRPr="00313FE3">
        <w:rPr>
          <w:sz w:val="22"/>
          <w:lang w:val="en-US"/>
        </w:rPr>
        <w:t xml:space="preserve"> on the individual health insurance of the patient. Antimonials (</w:t>
      </w:r>
      <w:r w:rsidRPr="001012A6">
        <w:rPr>
          <w:sz w:val="22"/>
          <w:lang w:val="en-GB"/>
        </w:rPr>
        <w:t xml:space="preserve">Pentostam, GSK) is provided for free through the CDC drug service, but other drugs must be obtained through </w:t>
      </w:r>
      <w:r>
        <w:rPr>
          <w:sz w:val="22"/>
          <w:lang w:val="en-GB"/>
        </w:rPr>
        <w:t xml:space="preserve">the </w:t>
      </w:r>
      <w:r w:rsidRPr="001012A6">
        <w:rPr>
          <w:sz w:val="22"/>
          <w:lang w:val="en-GB"/>
        </w:rPr>
        <w:t xml:space="preserve">private sector (may be covered by insurance). The military service treats cases in military personnel. </w:t>
      </w:r>
    </w:p>
    <w:p w:rsidR="00877508" w:rsidRPr="001012A6" w:rsidRDefault="00877508" w:rsidP="00877508">
      <w:pPr>
        <w:ind w:left="0" w:firstLine="0"/>
        <w:rPr>
          <w:sz w:val="22"/>
          <w:lang w:val="en-GB"/>
        </w:rPr>
      </w:pPr>
    </w:p>
    <w:p w:rsidR="00877508" w:rsidRPr="001012A6" w:rsidRDefault="00877508" w:rsidP="00877508">
      <w:pPr>
        <w:ind w:left="0" w:firstLine="0"/>
        <w:rPr>
          <w:sz w:val="22"/>
          <w:lang w:val="en-GB"/>
        </w:rPr>
      </w:pPr>
    </w:p>
    <w:p w:rsidR="00877508" w:rsidRPr="001012A6" w:rsidRDefault="00877508" w:rsidP="00877508">
      <w:pPr>
        <w:ind w:left="0" w:firstLine="0"/>
        <w:rPr>
          <w:sz w:val="22"/>
          <w:lang w:val="en-GB"/>
        </w:rPr>
      </w:pPr>
      <w:r w:rsidRPr="001012A6">
        <w:rPr>
          <w:b/>
          <w:sz w:val="22"/>
          <w:lang w:val="en-GB"/>
        </w:rPr>
        <w:t>ACCESS TO DRUGS</w:t>
      </w:r>
      <w:r w:rsidRPr="001012A6">
        <w:rPr>
          <w:sz w:val="22"/>
          <w:lang w:val="en-GB"/>
        </w:rPr>
        <w:t xml:space="preserve"> </w:t>
      </w:r>
    </w:p>
    <w:p w:rsidR="00877508" w:rsidRPr="001012A6" w:rsidRDefault="00877508" w:rsidP="00877508">
      <w:pPr>
        <w:ind w:left="0" w:firstLine="0"/>
        <w:rPr>
          <w:sz w:val="22"/>
          <w:lang w:val="en-GB"/>
        </w:rPr>
      </w:pPr>
    </w:p>
    <w:p w:rsidR="00877508" w:rsidRPr="00313FE3" w:rsidRDefault="00877508" w:rsidP="00877508">
      <w:pPr>
        <w:ind w:left="0" w:firstLine="0"/>
        <w:rPr>
          <w:bCs/>
          <w:sz w:val="22"/>
          <w:lang w:val="en-US"/>
        </w:rPr>
      </w:pPr>
      <w:r>
        <w:rPr>
          <w:sz w:val="22"/>
          <w:lang w:val="en-US"/>
        </w:rPr>
        <w:t xml:space="preserve">The </w:t>
      </w:r>
      <w:smartTag w:uri="urn:schemas-microsoft-com:office:smarttags" w:element="country-region">
        <w:smartTag w:uri="urn:schemas-microsoft-com:office:smarttags" w:element="place">
          <w:r w:rsidRPr="00313FE3">
            <w:rPr>
              <w:sz w:val="22"/>
              <w:lang w:val="en-US"/>
            </w:rPr>
            <w:t>USA</w:t>
          </w:r>
        </w:smartTag>
      </w:smartTag>
      <w:r w:rsidRPr="00313FE3">
        <w:rPr>
          <w:sz w:val="22"/>
          <w:lang w:val="en-US"/>
        </w:rPr>
        <w:t xml:space="preserve"> does not have an essential drug list. Drugs for leishmaniasis</w:t>
      </w:r>
      <w:r>
        <w:rPr>
          <w:sz w:val="22"/>
          <w:lang w:val="en-US"/>
        </w:rPr>
        <w:t>,</w:t>
      </w:r>
      <w:r w:rsidRPr="00313FE3">
        <w:rPr>
          <w:sz w:val="22"/>
          <w:lang w:val="en-US"/>
        </w:rPr>
        <w:t xml:space="preserve"> such as </w:t>
      </w:r>
      <w:r w:rsidRPr="001012A6">
        <w:rPr>
          <w:bCs/>
          <w:sz w:val="22"/>
          <w:lang w:val="en-GB"/>
        </w:rPr>
        <w:t xml:space="preserve">liposomal amphotericin (AmBisome, </w:t>
      </w:r>
      <w:smartTag w:uri="urn:schemas-microsoft-com:office:smarttags" w:element="place">
        <w:r w:rsidRPr="001012A6">
          <w:rPr>
            <w:bCs/>
            <w:sz w:val="22"/>
            <w:lang w:val="en-GB"/>
          </w:rPr>
          <w:t>Gilead</w:t>
        </w:r>
      </w:smartTag>
      <w:r w:rsidRPr="001012A6">
        <w:rPr>
          <w:bCs/>
          <w:sz w:val="22"/>
          <w:lang w:val="en-GB"/>
        </w:rPr>
        <w:t>)</w:t>
      </w:r>
      <w:r>
        <w:rPr>
          <w:bCs/>
          <w:sz w:val="22"/>
          <w:lang w:val="en-GB"/>
        </w:rPr>
        <w:t>,</w:t>
      </w:r>
      <w:r w:rsidRPr="001012A6">
        <w:rPr>
          <w:bCs/>
          <w:sz w:val="22"/>
          <w:lang w:val="en-GB"/>
        </w:rPr>
        <w:t xml:space="preserve"> </w:t>
      </w:r>
      <w:r w:rsidRPr="00313FE3">
        <w:rPr>
          <w:sz w:val="22"/>
          <w:lang w:val="en-US"/>
        </w:rPr>
        <w:t>are sold in private pharmacies</w:t>
      </w:r>
      <w:r>
        <w:rPr>
          <w:sz w:val="22"/>
          <w:lang w:val="en-US"/>
        </w:rPr>
        <w:t>,</w:t>
      </w:r>
      <w:r w:rsidRPr="00313FE3">
        <w:rPr>
          <w:sz w:val="22"/>
          <w:lang w:val="en-US"/>
        </w:rPr>
        <w:t xml:space="preserve"> for commercial prices. Miltefosine is available</w:t>
      </w:r>
      <w:r>
        <w:rPr>
          <w:sz w:val="22"/>
          <w:lang w:val="en-US"/>
        </w:rPr>
        <w:t>,</w:t>
      </w:r>
      <w:r w:rsidRPr="00313FE3">
        <w:rPr>
          <w:sz w:val="22"/>
          <w:lang w:val="en-US"/>
        </w:rPr>
        <w:t xml:space="preserve"> but very expensive (one adult treatment c</w:t>
      </w:r>
      <w:proofErr w:type="spellStart"/>
      <w:r w:rsidRPr="001012A6">
        <w:rPr>
          <w:rFonts w:eastAsia="MS Mincho"/>
          <w:sz w:val="22"/>
          <w:lang w:val="en-GB" w:eastAsia="ja-JP"/>
        </w:rPr>
        <w:t>osts</w:t>
      </w:r>
      <w:proofErr w:type="spellEnd"/>
      <w:r w:rsidRPr="001012A6">
        <w:rPr>
          <w:rFonts w:eastAsia="MS Mincho"/>
          <w:sz w:val="22"/>
          <w:lang w:val="en-GB" w:eastAsia="ja-JP"/>
        </w:rPr>
        <w:t xml:space="preserve"> $5</w:t>
      </w:r>
      <w:r>
        <w:rPr>
          <w:rFonts w:eastAsia="MS Mincho"/>
          <w:sz w:val="22"/>
          <w:lang w:val="en-GB" w:eastAsia="ja-JP"/>
        </w:rPr>
        <w:t>,</w:t>
      </w:r>
      <w:r w:rsidRPr="001012A6">
        <w:rPr>
          <w:rFonts w:eastAsia="MS Mincho"/>
          <w:sz w:val="22"/>
          <w:lang w:val="en-GB" w:eastAsia="ja-JP"/>
        </w:rPr>
        <w:t>714.80)</w:t>
      </w:r>
      <w:r>
        <w:rPr>
          <w:rFonts w:eastAsia="MS Mincho"/>
          <w:sz w:val="22"/>
          <w:lang w:val="en-GB" w:eastAsia="ja-JP"/>
        </w:rPr>
        <w:t>.</w:t>
      </w:r>
      <w:r w:rsidRPr="001012A6">
        <w:rPr>
          <w:rFonts w:eastAsia="MS Mincho"/>
          <w:sz w:val="22"/>
          <w:lang w:val="en-GB" w:eastAsia="ja-JP"/>
        </w:rPr>
        <w:t xml:space="preserve"> Antimonials and miltefosine are not registered. </w:t>
      </w:r>
      <w:r w:rsidRPr="00313FE3">
        <w:rPr>
          <w:sz w:val="22"/>
          <w:lang w:val="en-US"/>
        </w:rPr>
        <w:t>There are plans to register miltefosine (</w:t>
      </w:r>
      <w:smartTag w:uri="urn:schemas-microsoft-com:office:smarttags" w:element="place">
        <w:smartTag w:uri="urn:schemas-microsoft-com:office:smarttags" w:element="City">
          <w:r w:rsidRPr="00313FE3">
            <w:rPr>
              <w:sz w:val="22"/>
              <w:lang w:val="en-US"/>
            </w:rPr>
            <w:t>Paladin</w:t>
          </w:r>
        </w:smartTag>
        <w:r w:rsidRPr="00313FE3">
          <w:rPr>
            <w:sz w:val="22"/>
            <w:lang w:val="en-US"/>
          </w:rPr>
          <w:t xml:space="preserve">, </w:t>
        </w:r>
        <w:smartTag w:uri="urn:schemas-microsoft-com:office:smarttags" w:element="country-region">
          <w:r w:rsidRPr="00313FE3">
            <w:rPr>
              <w:sz w:val="22"/>
              <w:lang w:val="en-US"/>
            </w:rPr>
            <w:t>Canada</w:t>
          </w:r>
        </w:smartTag>
      </w:smartTag>
      <w:r w:rsidRPr="00313FE3">
        <w:rPr>
          <w:sz w:val="22"/>
          <w:lang w:val="en-US"/>
        </w:rPr>
        <w:t xml:space="preserve">) in 2010. </w:t>
      </w:r>
    </w:p>
    <w:p w:rsidR="00877508" w:rsidRPr="00313FE3" w:rsidRDefault="00877508" w:rsidP="00877508">
      <w:pPr>
        <w:spacing w:line="276" w:lineRule="auto"/>
        <w:rPr>
          <w:b/>
          <w:sz w:val="22"/>
          <w:lang w:val="en-US"/>
        </w:rPr>
      </w:pPr>
    </w:p>
    <w:p w:rsidR="00877508" w:rsidRPr="001012A6" w:rsidRDefault="00877508" w:rsidP="00877508">
      <w:pPr>
        <w:rPr>
          <w:lang w:val="en-GB"/>
        </w:rPr>
      </w:pPr>
    </w:p>
    <w:p w:rsidR="00877508" w:rsidRDefault="00877508" w:rsidP="00877508">
      <w:pPr>
        <w:spacing w:line="360" w:lineRule="auto"/>
        <w:rPr>
          <w:b/>
          <w:sz w:val="22"/>
          <w:lang w:val="en-US"/>
        </w:rPr>
      </w:pPr>
      <w:r w:rsidRPr="00677241">
        <w:rPr>
          <w:b/>
          <w:sz w:val="22"/>
          <w:lang w:val="en-US"/>
        </w:rPr>
        <w:t>SOURCES OF INFORMATION</w:t>
      </w:r>
    </w:p>
    <w:p w:rsidR="00877508" w:rsidRPr="001012A6" w:rsidRDefault="00877508" w:rsidP="00877508">
      <w:pPr>
        <w:spacing w:line="360" w:lineRule="auto"/>
        <w:rPr>
          <w:sz w:val="20"/>
          <w:lang w:val="en-GB"/>
        </w:rPr>
      </w:pPr>
    </w:p>
    <w:p w:rsidR="00877508" w:rsidRPr="00421E34" w:rsidRDefault="00877508" w:rsidP="00877508">
      <w:pPr>
        <w:pStyle w:val="title1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A26FB5">
        <w:rPr>
          <w:rFonts w:ascii="Arial" w:hAnsi="Arial" w:cs="Arial"/>
          <w:color w:val="000000"/>
          <w:sz w:val="22"/>
          <w:szCs w:val="22"/>
          <w:lang w:val="nl-NL"/>
        </w:rPr>
        <w:t>1. Duprey ZH, Steurer FJ, Rooney JA, Kirchhoff LV, Jackson JE et al</w:t>
      </w:r>
      <w:r>
        <w:rPr>
          <w:rFonts w:ascii="Arial" w:hAnsi="Arial" w:cs="Arial"/>
          <w:color w:val="000000"/>
          <w:sz w:val="22"/>
          <w:szCs w:val="22"/>
          <w:lang w:val="nl-NL"/>
        </w:rPr>
        <w:t xml:space="preserve"> (2006)</w:t>
      </w:r>
      <w:r w:rsidRPr="00A26FB5">
        <w:rPr>
          <w:rFonts w:ascii="Arial" w:hAnsi="Arial" w:cs="Arial"/>
          <w:color w:val="000000"/>
          <w:sz w:val="22"/>
          <w:szCs w:val="22"/>
          <w:lang w:val="nl-NL"/>
        </w:rPr>
        <w:t xml:space="preserve">. </w:t>
      </w:r>
      <w:r w:rsidRPr="00421E34">
        <w:rPr>
          <w:rFonts w:ascii="Arial" w:hAnsi="Arial" w:cs="Arial"/>
          <w:color w:val="000000"/>
          <w:sz w:val="22"/>
          <w:szCs w:val="22"/>
        </w:rPr>
        <w:fldChar w:fldCharType="begin"/>
      </w:r>
      <w:r w:rsidRPr="00A26FB5">
        <w:rPr>
          <w:rFonts w:ascii="Arial" w:hAnsi="Arial" w:cs="Arial"/>
          <w:color w:val="000000"/>
          <w:sz w:val="22"/>
          <w:szCs w:val="22"/>
          <w:lang w:val="nl-NL"/>
        </w:rPr>
        <w:instrText xml:space="preserve"> HYPERLINK "http://www.ncbi.nlm.nih.gov/pubmed/16704782" </w:instrText>
      </w:r>
      <w:r w:rsidRPr="00421E34">
        <w:rPr>
          <w:rFonts w:ascii="Arial" w:hAnsi="Arial" w:cs="Arial"/>
          <w:color w:val="000000"/>
          <w:sz w:val="22"/>
          <w:szCs w:val="22"/>
        </w:rPr>
        <w:fldChar w:fldCharType="separate"/>
      </w:r>
      <w:proofErr w:type="gramStart"/>
      <w:r w:rsidRPr="00421E34">
        <w:rPr>
          <w:rFonts w:ascii="Arial" w:hAnsi="Arial" w:cs="Arial"/>
          <w:color w:val="000000"/>
          <w:sz w:val="22"/>
          <w:szCs w:val="22"/>
        </w:rPr>
        <w:t>Canine visceral leishmaniasis, United States and Canada, 2000-2003.</w:t>
      </w:r>
      <w:proofErr w:type="gramEnd"/>
      <w:r w:rsidRPr="00421E34">
        <w:rPr>
          <w:rFonts w:ascii="Arial" w:hAnsi="Arial" w:cs="Arial"/>
          <w:color w:val="000000"/>
          <w:sz w:val="22"/>
          <w:szCs w:val="22"/>
        </w:rPr>
        <w:fldChar w:fldCharType="end"/>
      </w:r>
      <w:r w:rsidRPr="00421E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21E34">
        <w:rPr>
          <w:rFonts w:ascii="Arial" w:hAnsi="Arial" w:cs="Arial"/>
          <w:color w:val="000000"/>
          <w:sz w:val="22"/>
          <w:szCs w:val="22"/>
        </w:rPr>
        <w:t>Emerg</w:t>
      </w:r>
      <w:proofErr w:type="spellEnd"/>
      <w:r w:rsidRPr="00421E34">
        <w:rPr>
          <w:rFonts w:ascii="Arial" w:hAnsi="Arial" w:cs="Arial"/>
          <w:color w:val="000000"/>
          <w:sz w:val="22"/>
          <w:szCs w:val="22"/>
        </w:rPr>
        <w:t xml:space="preserve"> Infect </w:t>
      </w:r>
      <w:proofErr w:type="spellStart"/>
      <w:r w:rsidRPr="00421E34">
        <w:rPr>
          <w:rFonts w:ascii="Arial" w:hAnsi="Arial" w:cs="Arial"/>
          <w:color w:val="000000"/>
          <w:sz w:val="22"/>
          <w:szCs w:val="22"/>
        </w:rPr>
        <w:t>Dis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21E34">
        <w:rPr>
          <w:rFonts w:ascii="Arial" w:hAnsi="Arial" w:cs="Arial"/>
          <w:color w:val="000000"/>
          <w:sz w:val="22"/>
          <w:szCs w:val="22"/>
        </w:rPr>
        <w:t>12(3):440-6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877508" w:rsidRPr="00421E34" w:rsidRDefault="00877508" w:rsidP="00877508">
      <w:pPr>
        <w:ind w:left="0" w:firstLine="0"/>
        <w:rPr>
          <w:color w:val="000000"/>
          <w:sz w:val="22"/>
          <w:lang w:val="en-GB"/>
        </w:rPr>
      </w:pPr>
    </w:p>
    <w:p w:rsidR="00877508" w:rsidRPr="00421E34" w:rsidRDefault="00877508" w:rsidP="00877508">
      <w:pPr>
        <w:ind w:left="0" w:firstLine="0"/>
        <w:rPr>
          <w:color w:val="000000"/>
          <w:sz w:val="22"/>
          <w:lang w:val="en-GB"/>
        </w:rPr>
      </w:pPr>
      <w:r w:rsidRPr="00421E34">
        <w:rPr>
          <w:color w:val="000000"/>
          <w:sz w:val="22"/>
          <w:lang w:val="de-DE"/>
        </w:rPr>
        <w:t xml:space="preserve">2. Peter J. Weina, Ronald C. Neafie, Glenn Wortmann </w:t>
      </w:r>
      <w:r>
        <w:rPr>
          <w:color w:val="000000"/>
          <w:sz w:val="22"/>
          <w:lang w:val="de-DE"/>
        </w:rPr>
        <w:t>et al (2004)</w:t>
      </w:r>
      <w:r w:rsidRPr="00421E34">
        <w:rPr>
          <w:color w:val="000000"/>
          <w:sz w:val="22"/>
          <w:lang w:val="de-DE"/>
        </w:rPr>
        <w:t xml:space="preserve">. </w:t>
      </w:r>
      <w:r w:rsidRPr="00421E34">
        <w:rPr>
          <w:color w:val="000000"/>
          <w:sz w:val="22"/>
          <w:lang w:val="en-GB"/>
        </w:rPr>
        <w:t xml:space="preserve">Old World Leishmaniasis: An Emerging Infection among Deployed </w:t>
      </w:r>
      <w:smartTag w:uri="urn:schemas-microsoft-com:office:smarttags" w:element="place">
        <w:smartTag w:uri="urn:schemas-microsoft-com:office:smarttags" w:element="country-region">
          <w:r w:rsidRPr="00421E34">
            <w:rPr>
              <w:color w:val="000000"/>
              <w:sz w:val="22"/>
              <w:lang w:val="en-GB"/>
            </w:rPr>
            <w:t>US</w:t>
          </w:r>
        </w:smartTag>
      </w:smartTag>
      <w:r w:rsidRPr="00421E34">
        <w:rPr>
          <w:color w:val="000000"/>
          <w:sz w:val="22"/>
          <w:lang w:val="en-GB"/>
        </w:rPr>
        <w:t xml:space="preserve"> Military and Civilian Workers. CID 39</w:t>
      </w:r>
      <w:r>
        <w:rPr>
          <w:color w:val="000000"/>
          <w:sz w:val="22"/>
          <w:lang w:val="en-GB"/>
        </w:rPr>
        <w:t>:</w:t>
      </w:r>
      <w:r w:rsidRPr="00421E34">
        <w:rPr>
          <w:color w:val="000000"/>
          <w:sz w:val="22"/>
          <w:lang w:val="en-GB"/>
        </w:rPr>
        <w:t>1674-80</w:t>
      </w:r>
      <w:r>
        <w:rPr>
          <w:color w:val="000000"/>
          <w:sz w:val="22"/>
          <w:lang w:val="en-GB"/>
        </w:rPr>
        <w:t>.</w:t>
      </w:r>
    </w:p>
    <w:p w:rsidR="00877508" w:rsidRPr="00421E34" w:rsidRDefault="00877508" w:rsidP="00877508">
      <w:pPr>
        <w:ind w:left="0" w:firstLine="0"/>
        <w:rPr>
          <w:color w:val="000000"/>
          <w:sz w:val="22"/>
          <w:lang w:val="en-GB"/>
        </w:rPr>
      </w:pPr>
    </w:p>
    <w:p w:rsidR="00877508" w:rsidRPr="00421E34" w:rsidRDefault="00877508" w:rsidP="00877508">
      <w:pPr>
        <w:pStyle w:val="title1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r w:rsidRPr="00421E34">
        <w:rPr>
          <w:rFonts w:ascii="Arial" w:hAnsi="Arial" w:cs="Arial"/>
          <w:color w:val="000000"/>
          <w:sz w:val="22"/>
          <w:szCs w:val="22"/>
        </w:rPr>
        <w:t xml:space="preserve">3. Wright NA, Davis LE, </w:t>
      </w:r>
      <w:proofErr w:type="spellStart"/>
      <w:r w:rsidRPr="00421E34">
        <w:rPr>
          <w:rFonts w:ascii="Arial" w:hAnsi="Arial" w:cs="Arial"/>
          <w:color w:val="000000"/>
          <w:sz w:val="22"/>
          <w:szCs w:val="22"/>
        </w:rPr>
        <w:t>Aftergut</w:t>
      </w:r>
      <w:proofErr w:type="spellEnd"/>
      <w:r w:rsidRPr="00421E34">
        <w:rPr>
          <w:rFonts w:ascii="Arial" w:hAnsi="Arial" w:cs="Arial"/>
          <w:color w:val="000000"/>
          <w:sz w:val="22"/>
          <w:szCs w:val="22"/>
        </w:rPr>
        <w:t xml:space="preserve"> KS, Parrish CA, </w:t>
      </w:r>
      <w:proofErr w:type="spellStart"/>
      <w:r w:rsidRPr="00421E34">
        <w:rPr>
          <w:rFonts w:ascii="Arial" w:hAnsi="Arial" w:cs="Arial"/>
          <w:color w:val="000000"/>
          <w:sz w:val="22"/>
          <w:szCs w:val="22"/>
        </w:rPr>
        <w:t>Cockerell</w:t>
      </w:r>
      <w:proofErr w:type="spellEnd"/>
      <w:r w:rsidRPr="00421E34">
        <w:rPr>
          <w:rFonts w:ascii="Arial" w:hAnsi="Arial" w:cs="Arial"/>
          <w:color w:val="000000"/>
          <w:sz w:val="22"/>
          <w:szCs w:val="22"/>
        </w:rPr>
        <w:t xml:space="preserve"> CJ</w:t>
      </w:r>
      <w:r>
        <w:rPr>
          <w:rFonts w:ascii="Arial" w:hAnsi="Arial" w:cs="Arial"/>
          <w:color w:val="000000"/>
          <w:sz w:val="22"/>
          <w:szCs w:val="22"/>
        </w:rPr>
        <w:t xml:space="preserve"> (2008)</w:t>
      </w:r>
      <w:r w:rsidRPr="00421E34">
        <w:rPr>
          <w:rFonts w:ascii="Arial" w:hAnsi="Arial" w:cs="Arial"/>
          <w:color w:val="000000"/>
          <w:sz w:val="22"/>
          <w:szCs w:val="22"/>
        </w:rPr>
        <w:t xml:space="preserve">. </w:t>
      </w:r>
      <w:hyperlink r:id="rId7" w:history="1">
        <w:r w:rsidRPr="00421E34">
          <w:rPr>
            <w:rFonts w:ascii="Arial" w:hAnsi="Arial" w:cs="Arial"/>
            <w:color w:val="000000"/>
            <w:sz w:val="22"/>
            <w:szCs w:val="22"/>
          </w:rPr>
          <w:t>Cutaneous leishmaniasis in Texas: A northern spread of endemic areas.</w:t>
        </w:r>
      </w:hyperlink>
      <w:r w:rsidRPr="00421E34">
        <w:rPr>
          <w:rFonts w:ascii="Arial" w:hAnsi="Arial" w:cs="Arial"/>
          <w:color w:val="000000"/>
          <w:sz w:val="22"/>
          <w:szCs w:val="22"/>
        </w:rPr>
        <w:t xml:space="preserve"> J Am </w:t>
      </w:r>
      <w:proofErr w:type="spellStart"/>
      <w:r w:rsidRPr="00421E34">
        <w:rPr>
          <w:rFonts w:ascii="Arial" w:hAnsi="Arial" w:cs="Arial"/>
          <w:color w:val="000000"/>
          <w:sz w:val="22"/>
          <w:szCs w:val="22"/>
        </w:rPr>
        <w:t>Acad</w:t>
      </w:r>
      <w:proofErr w:type="spellEnd"/>
      <w:r w:rsidRPr="00421E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21E34">
        <w:rPr>
          <w:rFonts w:ascii="Arial" w:hAnsi="Arial" w:cs="Arial"/>
          <w:color w:val="000000"/>
          <w:sz w:val="22"/>
          <w:szCs w:val="22"/>
        </w:rPr>
        <w:t>Dermatol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21E34">
        <w:rPr>
          <w:rFonts w:ascii="Arial" w:hAnsi="Arial" w:cs="Arial"/>
          <w:color w:val="000000"/>
          <w:sz w:val="22"/>
          <w:szCs w:val="22"/>
        </w:rPr>
        <w:t>58(4):650-2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877508" w:rsidRPr="00421E34" w:rsidRDefault="00877508" w:rsidP="00877508">
      <w:pPr>
        <w:shd w:val="clear" w:color="auto" w:fill="FFFFFF"/>
        <w:ind w:left="0" w:firstLine="0"/>
        <w:jc w:val="left"/>
        <w:rPr>
          <w:rFonts w:eastAsia="SimSun"/>
          <w:color w:val="000000"/>
          <w:sz w:val="22"/>
          <w:lang w:val="en-GB" w:eastAsia="zh-CN"/>
        </w:rPr>
      </w:pPr>
    </w:p>
    <w:p w:rsidR="00877508" w:rsidRPr="00421E34" w:rsidRDefault="00877508" w:rsidP="00877508">
      <w:pPr>
        <w:ind w:left="0" w:firstLine="0"/>
        <w:rPr>
          <w:color w:val="000000"/>
          <w:sz w:val="22"/>
          <w:lang w:val="en-GB"/>
        </w:rPr>
      </w:pPr>
      <w:r w:rsidRPr="00421E34">
        <w:rPr>
          <w:color w:val="000000"/>
          <w:sz w:val="22"/>
          <w:lang w:val="en-GB"/>
        </w:rPr>
        <w:t xml:space="preserve">4 Mc Hugh CP, </w:t>
      </w:r>
      <w:proofErr w:type="spellStart"/>
      <w:r w:rsidRPr="00421E34">
        <w:rPr>
          <w:color w:val="000000"/>
          <w:sz w:val="22"/>
          <w:lang w:val="en-GB"/>
        </w:rPr>
        <w:t>Melby</w:t>
      </w:r>
      <w:proofErr w:type="spellEnd"/>
      <w:r w:rsidRPr="00421E34">
        <w:rPr>
          <w:color w:val="000000"/>
          <w:sz w:val="22"/>
          <w:lang w:val="en-GB"/>
        </w:rPr>
        <w:t xml:space="preserve"> PC, </w:t>
      </w:r>
      <w:proofErr w:type="spellStart"/>
      <w:r w:rsidRPr="00421E34">
        <w:rPr>
          <w:color w:val="000000"/>
          <w:sz w:val="22"/>
          <w:lang w:val="en-GB"/>
        </w:rPr>
        <w:t>Lafon</w:t>
      </w:r>
      <w:proofErr w:type="spellEnd"/>
      <w:r w:rsidRPr="00421E34">
        <w:rPr>
          <w:color w:val="000000"/>
          <w:sz w:val="22"/>
          <w:lang w:val="en-GB"/>
        </w:rPr>
        <w:t xml:space="preserve"> SG</w:t>
      </w:r>
      <w:r>
        <w:rPr>
          <w:color w:val="000000"/>
          <w:sz w:val="22"/>
          <w:lang w:val="en-GB"/>
        </w:rPr>
        <w:t xml:space="preserve"> (1996)</w:t>
      </w:r>
      <w:r w:rsidRPr="00421E34">
        <w:rPr>
          <w:color w:val="000000"/>
          <w:sz w:val="22"/>
          <w:lang w:val="en-GB"/>
        </w:rPr>
        <w:t xml:space="preserve">. Leishmaniasis in </w:t>
      </w:r>
      <w:smartTag w:uri="urn:schemas-microsoft-com:office:smarttags" w:element="place">
        <w:smartTag w:uri="urn:schemas-microsoft-com:office:smarttags" w:element="State">
          <w:r w:rsidRPr="00421E34">
            <w:rPr>
              <w:color w:val="000000"/>
              <w:sz w:val="22"/>
              <w:lang w:val="en-GB"/>
            </w:rPr>
            <w:t>Texas</w:t>
          </w:r>
        </w:smartTag>
      </w:smartTag>
      <w:r w:rsidRPr="00421E34">
        <w:rPr>
          <w:color w:val="000000"/>
          <w:sz w:val="22"/>
          <w:lang w:val="en-GB"/>
        </w:rPr>
        <w:t xml:space="preserve">: epidemiology and clinical aspects of human cases. Am J </w:t>
      </w:r>
      <w:proofErr w:type="spellStart"/>
      <w:r w:rsidRPr="00421E34">
        <w:rPr>
          <w:color w:val="000000"/>
          <w:sz w:val="22"/>
          <w:lang w:val="en-GB"/>
        </w:rPr>
        <w:t>Trop</w:t>
      </w:r>
      <w:proofErr w:type="spellEnd"/>
      <w:r w:rsidRPr="00421E34">
        <w:rPr>
          <w:color w:val="000000"/>
          <w:sz w:val="22"/>
          <w:lang w:val="en-GB"/>
        </w:rPr>
        <w:t xml:space="preserve"> </w:t>
      </w:r>
      <w:r>
        <w:rPr>
          <w:color w:val="000000"/>
          <w:sz w:val="22"/>
          <w:lang w:val="en-GB"/>
        </w:rPr>
        <w:t>M</w:t>
      </w:r>
      <w:r w:rsidRPr="00421E34">
        <w:rPr>
          <w:color w:val="000000"/>
          <w:sz w:val="22"/>
          <w:lang w:val="en-GB"/>
        </w:rPr>
        <w:t xml:space="preserve">ed </w:t>
      </w:r>
      <w:proofErr w:type="spellStart"/>
      <w:r w:rsidRPr="00421E34">
        <w:rPr>
          <w:color w:val="000000"/>
          <w:sz w:val="22"/>
          <w:lang w:val="en-GB"/>
        </w:rPr>
        <w:t>Hyg</w:t>
      </w:r>
      <w:proofErr w:type="spellEnd"/>
      <w:r w:rsidRPr="00421E34">
        <w:rPr>
          <w:color w:val="000000"/>
          <w:sz w:val="22"/>
          <w:lang w:val="en-GB"/>
        </w:rPr>
        <w:t xml:space="preserve"> 55 (5)</w:t>
      </w:r>
      <w:r>
        <w:rPr>
          <w:color w:val="000000"/>
          <w:sz w:val="22"/>
          <w:lang w:val="en-GB"/>
        </w:rPr>
        <w:t xml:space="preserve">: </w:t>
      </w:r>
      <w:r w:rsidRPr="00421E34">
        <w:rPr>
          <w:color w:val="000000"/>
          <w:sz w:val="22"/>
          <w:lang w:val="en-GB"/>
        </w:rPr>
        <w:t xml:space="preserve">p 547-555. </w:t>
      </w:r>
    </w:p>
    <w:p w:rsidR="00877508" w:rsidRPr="00421E34" w:rsidRDefault="00877508" w:rsidP="00877508">
      <w:pPr>
        <w:ind w:left="0" w:firstLine="0"/>
        <w:rPr>
          <w:color w:val="000000"/>
          <w:sz w:val="22"/>
          <w:lang w:val="en-GB"/>
        </w:rPr>
      </w:pPr>
    </w:p>
    <w:p w:rsidR="00877508" w:rsidRPr="00421E34" w:rsidRDefault="00877508" w:rsidP="00877508">
      <w:pPr>
        <w:pStyle w:val="title1"/>
        <w:shd w:val="clear" w:color="auto" w:fill="FFFFFF"/>
        <w:rPr>
          <w:rFonts w:ascii="Arial" w:hAnsi="Arial" w:cs="Arial"/>
          <w:color w:val="000000"/>
          <w:sz w:val="22"/>
          <w:szCs w:val="22"/>
        </w:rPr>
      </w:pPr>
      <w:proofErr w:type="gramStart"/>
      <w:r w:rsidRPr="005B3AA4">
        <w:rPr>
          <w:rFonts w:ascii="Arial" w:hAnsi="Arial" w:cs="Arial"/>
          <w:color w:val="000000"/>
          <w:sz w:val="22"/>
          <w:szCs w:val="22"/>
        </w:rPr>
        <w:t>5 .</w:t>
      </w:r>
      <w:proofErr w:type="gramEnd"/>
      <w:r w:rsidRPr="005B3AA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5B3AA4">
        <w:rPr>
          <w:rFonts w:ascii="Arial" w:hAnsi="Arial" w:cs="Arial"/>
          <w:color w:val="000000"/>
          <w:sz w:val="22"/>
          <w:szCs w:val="22"/>
        </w:rPr>
        <w:t>González</w:t>
      </w:r>
      <w:proofErr w:type="spellEnd"/>
      <w:r w:rsidRPr="005B3AA4">
        <w:rPr>
          <w:rFonts w:ascii="Arial" w:hAnsi="Arial" w:cs="Arial"/>
          <w:color w:val="000000"/>
          <w:sz w:val="22"/>
          <w:szCs w:val="22"/>
        </w:rPr>
        <w:t xml:space="preserve"> C, Wang O, </w:t>
      </w:r>
      <w:proofErr w:type="spellStart"/>
      <w:r w:rsidRPr="005B3AA4">
        <w:rPr>
          <w:rFonts w:ascii="Arial" w:hAnsi="Arial" w:cs="Arial"/>
          <w:color w:val="000000"/>
          <w:sz w:val="22"/>
          <w:szCs w:val="22"/>
        </w:rPr>
        <w:t>Strutz</w:t>
      </w:r>
      <w:proofErr w:type="spellEnd"/>
      <w:r w:rsidRPr="005B3AA4">
        <w:rPr>
          <w:rFonts w:ascii="Arial" w:hAnsi="Arial" w:cs="Arial"/>
          <w:color w:val="000000"/>
          <w:sz w:val="22"/>
          <w:szCs w:val="22"/>
        </w:rPr>
        <w:t xml:space="preserve"> SE, </w:t>
      </w:r>
      <w:proofErr w:type="spellStart"/>
      <w:r w:rsidRPr="005B3AA4">
        <w:rPr>
          <w:rFonts w:ascii="Arial" w:hAnsi="Arial" w:cs="Arial"/>
          <w:color w:val="000000"/>
          <w:sz w:val="22"/>
          <w:szCs w:val="22"/>
        </w:rPr>
        <w:t>González</w:t>
      </w:r>
      <w:proofErr w:type="spellEnd"/>
      <w:r w:rsidRPr="005B3AA4">
        <w:rPr>
          <w:rFonts w:ascii="Arial" w:hAnsi="Arial" w:cs="Arial"/>
          <w:color w:val="000000"/>
          <w:sz w:val="22"/>
          <w:szCs w:val="22"/>
        </w:rPr>
        <w:t xml:space="preserve">-Salazar C, </w:t>
      </w:r>
      <w:proofErr w:type="spellStart"/>
      <w:r w:rsidRPr="005B3AA4">
        <w:rPr>
          <w:rFonts w:ascii="Arial" w:hAnsi="Arial" w:cs="Arial"/>
          <w:color w:val="000000"/>
          <w:sz w:val="22"/>
          <w:szCs w:val="22"/>
        </w:rPr>
        <w:t>Sánchez</w:t>
      </w:r>
      <w:proofErr w:type="spellEnd"/>
      <w:r w:rsidRPr="005B3AA4">
        <w:rPr>
          <w:rFonts w:ascii="Arial" w:hAnsi="Arial" w:cs="Arial"/>
          <w:color w:val="000000"/>
          <w:sz w:val="22"/>
          <w:szCs w:val="22"/>
        </w:rPr>
        <w:t xml:space="preserve">-Cordero V </w:t>
      </w:r>
      <w:r>
        <w:rPr>
          <w:rFonts w:ascii="Arial" w:hAnsi="Arial" w:cs="Arial"/>
          <w:color w:val="000000"/>
          <w:sz w:val="22"/>
          <w:szCs w:val="22"/>
        </w:rPr>
        <w:t>et al (2010)</w:t>
      </w:r>
      <w:r w:rsidRPr="005B3AA4">
        <w:rPr>
          <w:rFonts w:ascii="Arial" w:hAnsi="Arial" w:cs="Arial"/>
          <w:color w:val="000000"/>
          <w:sz w:val="22"/>
          <w:szCs w:val="22"/>
        </w:rPr>
        <w:t xml:space="preserve">. </w:t>
      </w:r>
      <w:hyperlink r:id="rId8" w:history="1">
        <w:r w:rsidRPr="00421E34">
          <w:rPr>
            <w:rFonts w:ascii="Arial" w:hAnsi="Arial" w:cs="Arial"/>
            <w:color w:val="000000"/>
            <w:sz w:val="22"/>
            <w:szCs w:val="22"/>
          </w:rPr>
          <w:t xml:space="preserve">Climate change and risk of leishmaniasis in </w:t>
        </w:r>
        <w:proofErr w:type="gramStart"/>
        <w:r w:rsidRPr="00421E34">
          <w:rPr>
            <w:rFonts w:ascii="Arial" w:hAnsi="Arial" w:cs="Arial"/>
            <w:color w:val="000000"/>
            <w:sz w:val="22"/>
            <w:szCs w:val="22"/>
          </w:rPr>
          <w:t xml:space="preserve">north </w:t>
        </w:r>
        <w:proofErr w:type="spellStart"/>
        <w:r w:rsidRPr="00421E34">
          <w:rPr>
            <w:rFonts w:ascii="Arial" w:hAnsi="Arial" w:cs="Arial"/>
            <w:color w:val="000000"/>
            <w:sz w:val="22"/>
            <w:szCs w:val="22"/>
          </w:rPr>
          <w:t>america</w:t>
        </w:r>
        <w:proofErr w:type="spellEnd"/>
        <w:proofErr w:type="gramEnd"/>
        <w:r w:rsidRPr="00421E34">
          <w:rPr>
            <w:rFonts w:ascii="Arial" w:hAnsi="Arial" w:cs="Arial"/>
            <w:color w:val="000000"/>
            <w:sz w:val="22"/>
            <w:szCs w:val="22"/>
          </w:rPr>
          <w:t>: predictions from ecological niche models of vector and reservoir species.</w:t>
        </w:r>
      </w:hyperlink>
      <w:r w:rsidRPr="00421E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21E34">
        <w:rPr>
          <w:rFonts w:ascii="Arial" w:hAnsi="Arial" w:cs="Arial"/>
          <w:color w:val="000000"/>
          <w:sz w:val="22"/>
          <w:szCs w:val="22"/>
        </w:rPr>
        <w:t>PLoS</w:t>
      </w:r>
      <w:proofErr w:type="spellEnd"/>
      <w:r w:rsidRPr="00421E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21E34">
        <w:rPr>
          <w:rFonts w:ascii="Arial" w:hAnsi="Arial" w:cs="Arial"/>
          <w:color w:val="000000"/>
          <w:sz w:val="22"/>
          <w:szCs w:val="22"/>
        </w:rPr>
        <w:t>Negl</w:t>
      </w:r>
      <w:proofErr w:type="spellEnd"/>
      <w:r w:rsidRPr="00421E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21E34">
        <w:rPr>
          <w:rFonts w:ascii="Arial" w:hAnsi="Arial" w:cs="Arial"/>
          <w:color w:val="000000"/>
          <w:sz w:val="22"/>
          <w:szCs w:val="22"/>
        </w:rPr>
        <w:t>Trop</w:t>
      </w:r>
      <w:proofErr w:type="spellEnd"/>
      <w:r w:rsidRPr="00421E3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421E34">
        <w:rPr>
          <w:rFonts w:ascii="Arial" w:hAnsi="Arial" w:cs="Arial"/>
          <w:color w:val="000000"/>
          <w:sz w:val="22"/>
          <w:szCs w:val="22"/>
        </w:rPr>
        <w:t>Dis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421E34">
        <w:rPr>
          <w:rFonts w:ascii="Arial" w:hAnsi="Arial" w:cs="Arial"/>
          <w:color w:val="000000"/>
          <w:sz w:val="22"/>
          <w:szCs w:val="22"/>
        </w:rPr>
        <w:t>4(1):e585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2F7C1A" w:rsidRDefault="002F7C1A" w:rsidP="00877508"/>
    <w:sectPr w:rsidR="002F7C1A" w:rsidSect="002F7C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31912"/>
    <w:multiLevelType w:val="multilevel"/>
    <w:tmpl w:val="9F3EB04A"/>
    <w:lvl w:ilvl="0">
      <w:start w:val="1"/>
      <w:numFmt w:val="decimal"/>
      <w:pStyle w:val="Heading1"/>
      <w:isLgl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32"/>
        <w:szCs w:val="32"/>
        <w:u w:color="000000"/>
      </w:rPr>
    </w:lvl>
    <w:lvl w:ilvl="1">
      <w:start w:val="1"/>
      <w:numFmt w:val="decimal"/>
      <w:pStyle w:val="Heading2"/>
      <w:isLgl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olor w:val="000000"/>
        <w:sz w:val="28"/>
        <w:szCs w:val="28"/>
      </w:rPr>
    </w:lvl>
    <w:lvl w:ilvl="2">
      <w:start w:val="1"/>
      <w:numFmt w:val="decimal"/>
      <w:pStyle w:val="Heading3"/>
      <w:isLgl/>
      <w:lvlText w:val="%1.%2.%3."/>
      <w:lvlJc w:val="left"/>
      <w:pPr>
        <w:tabs>
          <w:tab w:val="num" w:pos="0"/>
        </w:tabs>
        <w:ind w:left="1134" w:hanging="1134"/>
      </w:pPr>
      <w:rPr>
        <w:rFonts w:ascii="Arial" w:hAnsi="Arial" w:hint="default"/>
        <w:b w:val="0"/>
        <w:i/>
        <w:color w:val="000000"/>
        <w:sz w:val="27"/>
        <w:szCs w:val="27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color w:val="000000"/>
        <w:sz w:val="26"/>
        <w:szCs w:val="26"/>
      </w:rPr>
    </w:lvl>
    <w:lvl w:ilvl="4">
      <w:start w:val="1"/>
      <w:numFmt w:val="decimal"/>
      <w:lvlText w:val="%1.%2.%3.%4.%5."/>
      <w:lvlJc w:val="left"/>
      <w:pPr>
        <w:tabs>
          <w:tab w:val="num" w:pos="1402"/>
        </w:tabs>
        <w:ind w:left="1402" w:hanging="1402"/>
      </w:pPr>
      <w:rPr>
        <w:rFonts w:ascii="Arial" w:hAnsi="Arial" w:hint="default"/>
        <w:b/>
        <w:i w:val="0"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77508"/>
    <w:rsid w:val="000028F1"/>
    <w:rsid w:val="00010242"/>
    <w:rsid w:val="00046B72"/>
    <w:rsid w:val="00052A25"/>
    <w:rsid w:val="0005677D"/>
    <w:rsid w:val="000578BC"/>
    <w:rsid w:val="000848FF"/>
    <w:rsid w:val="000B48D7"/>
    <w:rsid w:val="000E5115"/>
    <w:rsid w:val="000F0175"/>
    <w:rsid w:val="000F1E62"/>
    <w:rsid w:val="001168B6"/>
    <w:rsid w:val="00134E9F"/>
    <w:rsid w:val="00141FD2"/>
    <w:rsid w:val="0016660D"/>
    <w:rsid w:val="00194CED"/>
    <w:rsid w:val="001B2C47"/>
    <w:rsid w:val="001E4D96"/>
    <w:rsid w:val="002000DA"/>
    <w:rsid w:val="00215613"/>
    <w:rsid w:val="00220DFD"/>
    <w:rsid w:val="0024005B"/>
    <w:rsid w:val="00245DB8"/>
    <w:rsid w:val="00252F0C"/>
    <w:rsid w:val="00270F6A"/>
    <w:rsid w:val="00272C75"/>
    <w:rsid w:val="00272E09"/>
    <w:rsid w:val="0027629F"/>
    <w:rsid w:val="00280D78"/>
    <w:rsid w:val="002C258B"/>
    <w:rsid w:val="002F4248"/>
    <w:rsid w:val="002F6463"/>
    <w:rsid w:val="002F7C1A"/>
    <w:rsid w:val="00315ECC"/>
    <w:rsid w:val="003229A6"/>
    <w:rsid w:val="003310F3"/>
    <w:rsid w:val="00333A3A"/>
    <w:rsid w:val="0034701D"/>
    <w:rsid w:val="0036003C"/>
    <w:rsid w:val="00363320"/>
    <w:rsid w:val="00374366"/>
    <w:rsid w:val="003A44B4"/>
    <w:rsid w:val="003B3568"/>
    <w:rsid w:val="003B73ED"/>
    <w:rsid w:val="003D1FFD"/>
    <w:rsid w:val="003E1DA2"/>
    <w:rsid w:val="003F1346"/>
    <w:rsid w:val="00412019"/>
    <w:rsid w:val="00412575"/>
    <w:rsid w:val="00420168"/>
    <w:rsid w:val="004264FD"/>
    <w:rsid w:val="00491E29"/>
    <w:rsid w:val="004A37D9"/>
    <w:rsid w:val="004A5A5B"/>
    <w:rsid w:val="004C53F0"/>
    <w:rsid w:val="004D15B3"/>
    <w:rsid w:val="005100AA"/>
    <w:rsid w:val="00570157"/>
    <w:rsid w:val="0057148C"/>
    <w:rsid w:val="005724D3"/>
    <w:rsid w:val="00581469"/>
    <w:rsid w:val="00593992"/>
    <w:rsid w:val="005C6498"/>
    <w:rsid w:val="005F2E6A"/>
    <w:rsid w:val="005F4AD0"/>
    <w:rsid w:val="0062498A"/>
    <w:rsid w:val="00626A99"/>
    <w:rsid w:val="006272A7"/>
    <w:rsid w:val="00641A14"/>
    <w:rsid w:val="00653580"/>
    <w:rsid w:val="00661504"/>
    <w:rsid w:val="00690048"/>
    <w:rsid w:val="006C198E"/>
    <w:rsid w:val="006E008C"/>
    <w:rsid w:val="006E2CDF"/>
    <w:rsid w:val="006E718B"/>
    <w:rsid w:val="0071174C"/>
    <w:rsid w:val="00740C76"/>
    <w:rsid w:val="0075377D"/>
    <w:rsid w:val="007A78DF"/>
    <w:rsid w:val="007C7FD3"/>
    <w:rsid w:val="007D3253"/>
    <w:rsid w:val="007E18CB"/>
    <w:rsid w:val="007E4A87"/>
    <w:rsid w:val="008006B5"/>
    <w:rsid w:val="008016D2"/>
    <w:rsid w:val="00832051"/>
    <w:rsid w:val="00837717"/>
    <w:rsid w:val="008403F6"/>
    <w:rsid w:val="00847BE4"/>
    <w:rsid w:val="00851DE1"/>
    <w:rsid w:val="0086504E"/>
    <w:rsid w:val="00877508"/>
    <w:rsid w:val="00895527"/>
    <w:rsid w:val="00896966"/>
    <w:rsid w:val="008B250E"/>
    <w:rsid w:val="008D3496"/>
    <w:rsid w:val="008F2D26"/>
    <w:rsid w:val="009511C6"/>
    <w:rsid w:val="009B22FB"/>
    <w:rsid w:val="009C14CB"/>
    <w:rsid w:val="009C200B"/>
    <w:rsid w:val="009C319F"/>
    <w:rsid w:val="009C624C"/>
    <w:rsid w:val="009D1B5E"/>
    <w:rsid w:val="009F64EB"/>
    <w:rsid w:val="009F775A"/>
    <w:rsid w:val="00A45DA3"/>
    <w:rsid w:val="00A5035E"/>
    <w:rsid w:val="00A5411A"/>
    <w:rsid w:val="00A541A7"/>
    <w:rsid w:val="00A629D5"/>
    <w:rsid w:val="00A85111"/>
    <w:rsid w:val="00AD2F5D"/>
    <w:rsid w:val="00B15964"/>
    <w:rsid w:val="00B16204"/>
    <w:rsid w:val="00B433DC"/>
    <w:rsid w:val="00B476C3"/>
    <w:rsid w:val="00B96E52"/>
    <w:rsid w:val="00BA6E8F"/>
    <w:rsid w:val="00BB2383"/>
    <w:rsid w:val="00BE00C5"/>
    <w:rsid w:val="00C12906"/>
    <w:rsid w:val="00C1518C"/>
    <w:rsid w:val="00C236BD"/>
    <w:rsid w:val="00C244F5"/>
    <w:rsid w:val="00C264F2"/>
    <w:rsid w:val="00C47B72"/>
    <w:rsid w:val="00C7126E"/>
    <w:rsid w:val="00C75CF6"/>
    <w:rsid w:val="00C87D01"/>
    <w:rsid w:val="00C91A71"/>
    <w:rsid w:val="00CA637B"/>
    <w:rsid w:val="00CA71FE"/>
    <w:rsid w:val="00CF5DD0"/>
    <w:rsid w:val="00D05103"/>
    <w:rsid w:val="00D17D57"/>
    <w:rsid w:val="00D36E3A"/>
    <w:rsid w:val="00D5084A"/>
    <w:rsid w:val="00D513BD"/>
    <w:rsid w:val="00D541EC"/>
    <w:rsid w:val="00D6288C"/>
    <w:rsid w:val="00D83F8A"/>
    <w:rsid w:val="00D92869"/>
    <w:rsid w:val="00D95254"/>
    <w:rsid w:val="00DA0AB5"/>
    <w:rsid w:val="00DA14E3"/>
    <w:rsid w:val="00DB6D7C"/>
    <w:rsid w:val="00DD1ADE"/>
    <w:rsid w:val="00DF5A78"/>
    <w:rsid w:val="00DF6C46"/>
    <w:rsid w:val="00E147C3"/>
    <w:rsid w:val="00E17729"/>
    <w:rsid w:val="00E21063"/>
    <w:rsid w:val="00E370A8"/>
    <w:rsid w:val="00E474BF"/>
    <w:rsid w:val="00E47A87"/>
    <w:rsid w:val="00E65F1E"/>
    <w:rsid w:val="00E7082F"/>
    <w:rsid w:val="00E828CE"/>
    <w:rsid w:val="00E87373"/>
    <w:rsid w:val="00EB1F13"/>
    <w:rsid w:val="00EF27B3"/>
    <w:rsid w:val="00F03A91"/>
    <w:rsid w:val="00F14B40"/>
    <w:rsid w:val="00F16575"/>
    <w:rsid w:val="00F25542"/>
    <w:rsid w:val="00F87752"/>
    <w:rsid w:val="00F94E78"/>
    <w:rsid w:val="00FB0CFB"/>
    <w:rsid w:val="00FB6AA1"/>
    <w:rsid w:val="00FC58EE"/>
    <w:rsid w:val="00FD22F3"/>
    <w:rsid w:val="00FD59CB"/>
    <w:rsid w:val="00FE1BC6"/>
    <w:rsid w:val="00FE26F4"/>
    <w:rsid w:val="00FE575B"/>
    <w:rsid w:val="00FE79B4"/>
    <w:rsid w:val="00FF1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508"/>
    <w:pPr>
      <w:spacing w:after="0" w:line="240" w:lineRule="auto"/>
      <w:ind w:left="720" w:hanging="720"/>
      <w:jc w:val="both"/>
    </w:pPr>
    <w:rPr>
      <w:rFonts w:ascii="Arial" w:eastAsia="Calibri" w:hAnsi="Arial" w:cs="Arial"/>
      <w:sz w:val="24"/>
      <w:lang w:val="es-CO"/>
    </w:rPr>
  </w:style>
  <w:style w:type="paragraph" w:styleId="Heading1">
    <w:name w:val="heading 1"/>
    <w:next w:val="Normal"/>
    <w:link w:val="Heading1Char"/>
    <w:qFormat/>
    <w:rsid w:val="00F14B40"/>
    <w:pPr>
      <w:keepNext/>
      <w:numPr>
        <w:numId w:val="4"/>
      </w:numPr>
      <w:spacing w:before="480" w:after="24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paragraph" w:styleId="Heading2">
    <w:name w:val="heading 2"/>
    <w:next w:val="Normal"/>
    <w:link w:val="Heading2Char"/>
    <w:qFormat/>
    <w:rsid w:val="00F14B40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paragraph" w:styleId="Heading3">
    <w:name w:val="heading 3"/>
    <w:next w:val="Normal"/>
    <w:link w:val="Heading3Char"/>
    <w:qFormat/>
    <w:rsid w:val="00F14B40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paragraph" w:styleId="Heading4">
    <w:name w:val="heading 4"/>
    <w:next w:val="Normal"/>
    <w:link w:val="Heading4Char"/>
    <w:qFormat/>
    <w:rsid w:val="00F14B40"/>
    <w:pPr>
      <w:keepNext/>
      <w:numPr>
        <w:ilvl w:val="3"/>
        <w:numId w:val="4"/>
      </w:numPr>
      <w:spacing w:before="240" w:after="120" w:line="240" w:lineRule="auto"/>
      <w:outlineLvl w:val="3"/>
    </w:pPr>
    <w:rPr>
      <w:rFonts w:ascii="Arial" w:eastAsia="Times New Roman" w:hAnsi="Arial" w:cs="Times New Roman"/>
      <w:bCs/>
      <w:sz w:val="26"/>
      <w:szCs w:val="28"/>
      <w:lang w:val="de-AT" w:eastAsia="de-AT"/>
    </w:rPr>
  </w:style>
  <w:style w:type="paragraph" w:styleId="Heading5">
    <w:name w:val="heading 5"/>
    <w:basedOn w:val="Normal"/>
    <w:next w:val="Normal"/>
    <w:link w:val="Heading5Char"/>
    <w:qFormat/>
    <w:rsid w:val="00F14B40"/>
    <w:pPr>
      <w:spacing w:before="200" w:line="276" w:lineRule="auto"/>
      <w:ind w:left="1008" w:hanging="1008"/>
      <w:outlineLvl w:val="4"/>
    </w:pPr>
    <w:rPr>
      <w:rFonts w:ascii="Cambria" w:eastAsia="Times New Roman" w:hAnsi="Cambria" w:cs="Times New Roman"/>
      <w:b/>
      <w:bCs/>
      <w:color w:val="7F7F7F"/>
      <w:sz w:val="22"/>
      <w:lang w:val="en-US" w:bidi="en-US"/>
    </w:rPr>
  </w:style>
  <w:style w:type="paragraph" w:styleId="Heading6">
    <w:name w:val="heading 6"/>
    <w:basedOn w:val="Normal"/>
    <w:next w:val="Normal"/>
    <w:link w:val="Heading6Char"/>
    <w:qFormat/>
    <w:rsid w:val="00F14B40"/>
    <w:pPr>
      <w:spacing w:line="271" w:lineRule="auto"/>
      <w:ind w:left="1152" w:hanging="1152"/>
      <w:outlineLvl w:val="5"/>
    </w:pPr>
    <w:rPr>
      <w:rFonts w:ascii="Cambria" w:eastAsia="Times New Roman" w:hAnsi="Cambria" w:cs="Times New Roman"/>
      <w:b/>
      <w:bCs/>
      <w:i/>
      <w:iCs/>
      <w:color w:val="7F7F7F"/>
      <w:sz w:val="22"/>
      <w:lang w:val="en-US" w:bidi="en-US"/>
    </w:rPr>
  </w:style>
  <w:style w:type="paragraph" w:styleId="Heading7">
    <w:name w:val="heading 7"/>
    <w:basedOn w:val="Normal"/>
    <w:next w:val="Normal"/>
    <w:link w:val="Heading7Char"/>
    <w:qFormat/>
    <w:rsid w:val="00F14B40"/>
    <w:pPr>
      <w:spacing w:line="276" w:lineRule="auto"/>
      <w:ind w:left="1296" w:hanging="1296"/>
      <w:outlineLvl w:val="6"/>
    </w:pPr>
    <w:rPr>
      <w:rFonts w:ascii="Cambria" w:eastAsia="Times New Roman" w:hAnsi="Cambria" w:cs="Times New Roman"/>
      <w:i/>
      <w:iCs/>
      <w:sz w:val="22"/>
      <w:lang w:val="en-US" w:bidi="en-US"/>
    </w:rPr>
  </w:style>
  <w:style w:type="paragraph" w:styleId="Heading8">
    <w:name w:val="heading 8"/>
    <w:basedOn w:val="Normal"/>
    <w:next w:val="Normal"/>
    <w:link w:val="Heading8Char"/>
    <w:qFormat/>
    <w:rsid w:val="00F14B40"/>
    <w:pPr>
      <w:spacing w:line="276" w:lineRule="auto"/>
      <w:ind w:left="1440" w:hanging="1440"/>
      <w:outlineLvl w:val="7"/>
    </w:pPr>
    <w:rPr>
      <w:rFonts w:ascii="Cambria" w:eastAsia="Times New Roman" w:hAnsi="Cambria" w:cs="Times New Roman"/>
      <w:sz w:val="20"/>
      <w:szCs w:val="20"/>
      <w:lang w:val="en-US" w:bidi="en-US"/>
    </w:rPr>
  </w:style>
  <w:style w:type="paragraph" w:styleId="Heading9">
    <w:name w:val="heading 9"/>
    <w:basedOn w:val="Normal"/>
    <w:next w:val="Normal"/>
    <w:link w:val="Heading9Char"/>
    <w:qFormat/>
    <w:rsid w:val="00F14B40"/>
    <w:pPr>
      <w:spacing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B40"/>
    <w:rPr>
      <w:rFonts w:ascii="Arial" w:eastAsia="Times New Roman" w:hAnsi="Arial" w:cs="Arial"/>
      <w:b/>
      <w:bCs/>
      <w:kern w:val="32"/>
      <w:sz w:val="32"/>
      <w:szCs w:val="32"/>
      <w:lang w:val="de-AT" w:eastAsia="de-AT"/>
    </w:rPr>
  </w:style>
  <w:style w:type="character" w:customStyle="1" w:styleId="Heading2Char">
    <w:name w:val="Heading 2 Char"/>
    <w:basedOn w:val="DefaultParagraphFont"/>
    <w:link w:val="Heading2"/>
    <w:rsid w:val="00F14B40"/>
    <w:rPr>
      <w:rFonts w:ascii="Arial" w:eastAsia="Times New Roman" w:hAnsi="Arial" w:cs="Arial"/>
      <w:b/>
      <w:bCs/>
      <w:iCs/>
      <w:sz w:val="28"/>
      <w:szCs w:val="28"/>
      <w:lang w:val="de-AT" w:eastAsia="de-AT"/>
    </w:rPr>
  </w:style>
  <w:style w:type="character" w:customStyle="1" w:styleId="Heading3Char">
    <w:name w:val="Heading 3 Char"/>
    <w:basedOn w:val="DefaultParagraphFont"/>
    <w:link w:val="Heading3"/>
    <w:rsid w:val="00F14B40"/>
    <w:rPr>
      <w:rFonts w:ascii="Arial" w:eastAsia="Times New Roman" w:hAnsi="Arial" w:cs="Arial"/>
      <w:bCs/>
      <w:i/>
      <w:sz w:val="27"/>
      <w:szCs w:val="26"/>
      <w:lang w:val="de-AT" w:eastAsia="de-AT"/>
    </w:rPr>
  </w:style>
  <w:style w:type="character" w:customStyle="1" w:styleId="Heading4Char">
    <w:name w:val="Heading 4 Char"/>
    <w:basedOn w:val="DefaultParagraphFont"/>
    <w:link w:val="Heading4"/>
    <w:rsid w:val="00F14B40"/>
    <w:rPr>
      <w:rFonts w:ascii="Arial" w:eastAsia="Times New Roman" w:hAnsi="Arial" w:cs="Times New Roman"/>
      <w:bCs/>
      <w:sz w:val="26"/>
      <w:szCs w:val="28"/>
      <w:lang w:val="de-AT" w:eastAsia="de-AT"/>
    </w:rPr>
  </w:style>
  <w:style w:type="character" w:customStyle="1" w:styleId="Heading5Char">
    <w:name w:val="Heading 5 Char"/>
    <w:basedOn w:val="DefaultParagraphFont"/>
    <w:link w:val="Heading5"/>
    <w:rsid w:val="00F14B40"/>
    <w:rPr>
      <w:rFonts w:ascii="Cambria" w:eastAsia="Times New Roman" w:hAnsi="Cambria" w:cs="Times New Roman"/>
      <w:b/>
      <w:bCs/>
      <w:color w:val="7F7F7F"/>
      <w:lang w:bidi="en-US"/>
    </w:rPr>
  </w:style>
  <w:style w:type="character" w:customStyle="1" w:styleId="Heading6Char">
    <w:name w:val="Heading 6 Char"/>
    <w:basedOn w:val="DefaultParagraphFont"/>
    <w:link w:val="Heading6"/>
    <w:rsid w:val="00F14B40"/>
    <w:rPr>
      <w:rFonts w:ascii="Cambria" w:eastAsia="Times New Roman" w:hAnsi="Cambria" w:cs="Times New Roman"/>
      <w:b/>
      <w:bCs/>
      <w:i/>
      <w:iCs/>
      <w:color w:val="7F7F7F"/>
      <w:lang w:bidi="en-US"/>
    </w:rPr>
  </w:style>
  <w:style w:type="character" w:customStyle="1" w:styleId="Heading7Char">
    <w:name w:val="Heading 7 Char"/>
    <w:basedOn w:val="DefaultParagraphFont"/>
    <w:link w:val="Heading7"/>
    <w:rsid w:val="00F14B40"/>
    <w:rPr>
      <w:rFonts w:ascii="Cambria" w:eastAsia="Times New Roman" w:hAnsi="Cambria" w:cs="Times New Roman"/>
      <w:i/>
      <w:iCs/>
      <w:lang w:bidi="en-US"/>
    </w:rPr>
  </w:style>
  <w:style w:type="character" w:customStyle="1" w:styleId="Heading8Char">
    <w:name w:val="Heading 8 Char"/>
    <w:basedOn w:val="DefaultParagraphFont"/>
    <w:link w:val="Heading8"/>
    <w:rsid w:val="00F14B40"/>
    <w:rPr>
      <w:rFonts w:ascii="Cambria" w:eastAsia="Times New Roman" w:hAnsi="Cambria" w:cs="Times New Roman"/>
      <w:sz w:val="20"/>
      <w:szCs w:val="20"/>
      <w:lang w:bidi="en-US"/>
    </w:rPr>
  </w:style>
  <w:style w:type="character" w:customStyle="1" w:styleId="Heading9Char">
    <w:name w:val="Heading 9 Char"/>
    <w:basedOn w:val="DefaultParagraphFont"/>
    <w:link w:val="Heading9"/>
    <w:rsid w:val="00F14B40"/>
    <w:rPr>
      <w:rFonts w:ascii="Cambria" w:eastAsia="Times New Roman" w:hAnsi="Cambria" w:cs="Times New Roman"/>
      <w:i/>
      <w:iCs/>
      <w:spacing w:val="5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F14B40"/>
    <w:pPr>
      <w:spacing w:after="200" w:line="276" w:lineRule="auto"/>
      <w:ind w:firstLine="0"/>
      <w:contextualSpacing/>
      <w:jc w:val="left"/>
    </w:pPr>
    <w:rPr>
      <w:rFonts w:asciiTheme="minorHAnsi" w:eastAsiaTheme="minorHAnsi" w:hAnsiTheme="minorHAnsi" w:cstheme="minorBidi"/>
      <w:sz w:val="2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4B40"/>
    <w:pPr>
      <w:keepLines/>
      <w:numPr>
        <w:numId w:val="0"/>
      </w:numPr>
      <w:spacing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n-US" w:eastAsia="en-US"/>
    </w:rPr>
  </w:style>
  <w:style w:type="paragraph" w:styleId="NormalWeb">
    <w:name w:val="Normal (Web)"/>
    <w:basedOn w:val="Normal"/>
    <w:unhideWhenUsed/>
    <w:rsid w:val="00877508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Cs w:val="24"/>
      <w:lang w:val="en-US"/>
    </w:rPr>
  </w:style>
  <w:style w:type="paragraph" w:customStyle="1" w:styleId="title1">
    <w:name w:val="title1"/>
    <w:basedOn w:val="Normal"/>
    <w:rsid w:val="00877508"/>
    <w:pPr>
      <w:ind w:left="0" w:firstLine="0"/>
      <w:jc w:val="left"/>
    </w:pPr>
    <w:rPr>
      <w:rFonts w:ascii="Times New Roman" w:eastAsia="SimSun" w:hAnsi="Times New Roman" w:cs="Times New Roman"/>
      <w:sz w:val="29"/>
      <w:szCs w:val="29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5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508"/>
    <w:rPr>
      <w:rFonts w:ascii="Tahoma" w:eastAsia="Calibri" w:hAnsi="Tahoma" w:cs="Tahoma"/>
      <w:sz w:val="16"/>
      <w:szCs w:val="16"/>
      <w:lang w:val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2009849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/182494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675</Words>
  <Characters>3854</Characters>
  <Application>Microsoft Office Word</Application>
  <DocSecurity>0</DocSecurity>
  <Lines>32</Lines>
  <Paragraphs>9</Paragraphs>
  <ScaleCrop>false</ScaleCrop>
  <Company/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2012-04-02T18:57:00Z</dcterms:created>
  <dcterms:modified xsi:type="dcterms:W3CDTF">2012-04-02T18:59:00Z</dcterms:modified>
</cp:coreProperties>
</file>