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E7" w:rsidRPr="002C75B8" w:rsidRDefault="008E2CE7" w:rsidP="008E2CE7">
      <w:pPr>
        <w:spacing w:line="480" w:lineRule="auto"/>
        <w:ind w:left="0" w:firstLine="0"/>
        <w:rPr>
          <w:bCs/>
          <w:sz w:val="22"/>
          <w:u w:val="single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2C75B8">
            <w:rPr>
              <w:b/>
              <w:sz w:val="22"/>
              <w:u w:val="single"/>
              <w:lang w:val="en-US"/>
            </w:rPr>
            <w:t>UGANDA</w:t>
          </w:r>
        </w:smartTag>
      </w:smartTag>
    </w:p>
    <w:p w:rsidR="008E2CE7" w:rsidRPr="002C75B8" w:rsidRDefault="008E2CE7" w:rsidP="008E2CE7">
      <w:pPr>
        <w:spacing w:line="480" w:lineRule="auto"/>
        <w:ind w:left="0" w:firstLine="0"/>
        <w:rPr>
          <w:bCs/>
          <w:sz w:val="22"/>
          <w:lang w:val="en-US"/>
        </w:rPr>
      </w:pPr>
      <w:r>
        <w:rPr>
          <w:bCs/>
          <w:noProof/>
          <w:sz w:val="22"/>
          <w:lang w:val="en-US"/>
        </w:rPr>
        <w:drawing>
          <wp:inline distT="0" distB="0" distL="0" distR="0">
            <wp:extent cx="2743200" cy="18383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CE7" w:rsidRPr="002C75B8" w:rsidRDefault="008E2CE7" w:rsidP="008E2CE7">
      <w:pPr>
        <w:spacing w:line="480" w:lineRule="auto"/>
        <w:ind w:left="0" w:firstLine="0"/>
        <w:rPr>
          <w:bCs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8E2CE7" w:rsidRPr="002C75B8" w:rsidRDefault="008E2CE7" w:rsidP="008E2CE7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Total Population:</w:t>
      </w:r>
      <w:r>
        <w:rPr>
          <w:bCs/>
          <w:sz w:val="22"/>
          <w:lang w:val="en-US"/>
        </w:rPr>
        <w:t xml:space="preserve"> 33,424,683</w:t>
      </w:r>
      <w:r w:rsidRPr="002C75B8">
        <w:rPr>
          <w:bCs/>
          <w:sz w:val="22"/>
          <w:lang w:val="en-US"/>
        </w:rPr>
        <w:t xml:space="preserve"> </w:t>
      </w:r>
    </w:p>
    <w:p w:rsidR="008E2CE7" w:rsidRPr="002C75B8" w:rsidRDefault="008E2CE7" w:rsidP="008E2CE7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Population 0-14 years:</w:t>
      </w:r>
      <w:r>
        <w:rPr>
          <w:bCs/>
          <w:sz w:val="22"/>
          <w:lang w:val="en-US"/>
        </w:rPr>
        <w:t xml:space="preserve"> </w:t>
      </w:r>
      <w:r w:rsidRPr="002C75B8">
        <w:rPr>
          <w:bCs/>
          <w:sz w:val="22"/>
          <w:lang w:val="en-US"/>
        </w:rPr>
        <w:t>4</w:t>
      </w:r>
      <w:r>
        <w:rPr>
          <w:bCs/>
          <w:sz w:val="22"/>
          <w:lang w:val="en-US"/>
        </w:rPr>
        <w:t>8</w:t>
      </w:r>
      <w:r w:rsidRPr="002C75B8">
        <w:rPr>
          <w:bCs/>
          <w:sz w:val="22"/>
          <w:lang w:val="en-US"/>
        </w:rPr>
        <w:t xml:space="preserve">% </w:t>
      </w:r>
    </w:p>
    <w:p w:rsidR="008E2CE7" w:rsidRPr="002C75B8" w:rsidRDefault="008E2CE7" w:rsidP="008E2CE7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Rural population:</w:t>
      </w:r>
      <w:r>
        <w:rPr>
          <w:bCs/>
          <w:sz w:val="22"/>
          <w:lang w:val="en-US"/>
        </w:rPr>
        <w:t xml:space="preserve"> </w:t>
      </w:r>
      <w:r w:rsidRPr="002C75B8">
        <w:rPr>
          <w:bCs/>
          <w:sz w:val="22"/>
          <w:lang w:val="en-US"/>
        </w:rPr>
        <w:t xml:space="preserve">87% </w:t>
      </w:r>
    </w:p>
    <w:p w:rsidR="008E2CE7" w:rsidRPr="002C75B8" w:rsidRDefault="008E2CE7" w:rsidP="008E2CE7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Population living under USD 1</w:t>
      </w:r>
      <w:r>
        <w:rPr>
          <w:bCs/>
          <w:sz w:val="22"/>
          <w:lang w:val="en-US"/>
        </w:rPr>
        <w:t>.</w:t>
      </w:r>
      <w:r w:rsidRPr="002C75B8">
        <w:rPr>
          <w:bCs/>
          <w:sz w:val="22"/>
          <w:lang w:val="en-US"/>
        </w:rPr>
        <w:t xml:space="preserve">25 a day: </w:t>
      </w:r>
      <w:r>
        <w:rPr>
          <w:bCs/>
          <w:sz w:val="22"/>
          <w:lang w:val="en-US"/>
        </w:rPr>
        <w:t>28.7</w:t>
      </w:r>
      <w:r w:rsidRPr="002C75B8">
        <w:rPr>
          <w:bCs/>
          <w:sz w:val="22"/>
          <w:lang w:val="en-US"/>
        </w:rPr>
        <w:t xml:space="preserve">% </w:t>
      </w:r>
    </w:p>
    <w:p w:rsidR="008E2CE7" w:rsidRPr="002C75B8" w:rsidRDefault="008E2CE7" w:rsidP="008E2CE7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Population living under the national poverty line: </w:t>
      </w:r>
      <w:r>
        <w:rPr>
          <w:bCs/>
          <w:sz w:val="22"/>
          <w:lang w:val="en-US"/>
        </w:rPr>
        <w:t>24.5</w:t>
      </w:r>
      <w:r w:rsidRPr="002C75B8">
        <w:rPr>
          <w:bCs/>
          <w:sz w:val="22"/>
          <w:lang w:val="en-US"/>
        </w:rPr>
        <w:t>%</w:t>
      </w:r>
    </w:p>
    <w:p w:rsidR="008E2CE7" w:rsidRPr="002C75B8" w:rsidRDefault="008E2CE7" w:rsidP="008E2CE7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Income status: Low income economy </w:t>
      </w:r>
    </w:p>
    <w:p w:rsidR="008E2CE7" w:rsidRPr="002C75B8" w:rsidRDefault="008E2CE7" w:rsidP="008E2CE7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Ranking: </w:t>
      </w:r>
      <w:r>
        <w:rPr>
          <w:bCs/>
          <w:sz w:val="22"/>
          <w:lang w:val="en-US"/>
        </w:rPr>
        <w:t>Low</w:t>
      </w:r>
      <w:r w:rsidRPr="002C75B8">
        <w:rPr>
          <w:bCs/>
          <w:sz w:val="22"/>
          <w:lang w:val="en-US"/>
        </w:rPr>
        <w:t xml:space="preserve"> </w:t>
      </w:r>
      <w:r>
        <w:rPr>
          <w:bCs/>
          <w:sz w:val="22"/>
          <w:lang w:val="en-US"/>
        </w:rPr>
        <w:t>h</w:t>
      </w:r>
      <w:r w:rsidRPr="002C75B8">
        <w:rPr>
          <w:bCs/>
          <w:sz w:val="22"/>
          <w:lang w:val="en-US"/>
        </w:rPr>
        <w:t xml:space="preserve">uman </w:t>
      </w:r>
      <w:r>
        <w:rPr>
          <w:bCs/>
          <w:sz w:val="22"/>
          <w:lang w:val="en-US"/>
        </w:rPr>
        <w:t>d</w:t>
      </w:r>
      <w:r w:rsidRPr="002C75B8">
        <w:rPr>
          <w:bCs/>
          <w:sz w:val="22"/>
          <w:lang w:val="en-US"/>
        </w:rPr>
        <w:t>evelopment (ranking 1</w:t>
      </w:r>
      <w:r>
        <w:rPr>
          <w:bCs/>
          <w:sz w:val="22"/>
          <w:lang w:val="en-US"/>
        </w:rPr>
        <w:t>61</w:t>
      </w:r>
      <w:r w:rsidRPr="002C75B8">
        <w:rPr>
          <w:bCs/>
          <w:sz w:val="22"/>
          <w:lang w:val="en-US"/>
        </w:rPr>
        <w:t>)</w:t>
      </w:r>
    </w:p>
    <w:p w:rsidR="008E2CE7" w:rsidRPr="002C75B8" w:rsidRDefault="008E2CE7" w:rsidP="008E2CE7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Per capita total expenditure on health at average exchange rate (US dollar):</w:t>
      </w:r>
      <w:r>
        <w:rPr>
          <w:bCs/>
          <w:sz w:val="22"/>
          <w:lang w:val="en-US"/>
        </w:rPr>
        <w:t xml:space="preserve"> 43</w:t>
      </w:r>
    </w:p>
    <w:p w:rsidR="008E2CE7" w:rsidRPr="002C75B8" w:rsidRDefault="008E2CE7" w:rsidP="008E2CE7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Life expectancy at birth (years):</w:t>
      </w:r>
      <w:r>
        <w:rPr>
          <w:bCs/>
          <w:sz w:val="22"/>
          <w:lang w:val="en-US"/>
        </w:rPr>
        <w:t xml:space="preserve"> </w:t>
      </w:r>
      <w:r w:rsidRPr="002C75B8">
        <w:rPr>
          <w:bCs/>
          <w:sz w:val="22"/>
          <w:lang w:val="en-US"/>
        </w:rPr>
        <w:t>5</w:t>
      </w:r>
      <w:r>
        <w:rPr>
          <w:bCs/>
          <w:sz w:val="22"/>
          <w:lang w:val="en-US"/>
        </w:rPr>
        <w:t>3</w:t>
      </w:r>
    </w:p>
    <w:p w:rsidR="008E2CE7" w:rsidRPr="002C75B8" w:rsidRDefault="008E2CE7" w:rsidP="008E2CE7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Health</w:t>
      </w:r>
      <w:r>
        <w:rPr>
          <w:bCs/>
          <w:sz w:val="22"/>
          <w:lang w:val="en-US"/>
        </w:rPr>
        <w:t>y</w:t>
      </w:r>
      <w:r w:rsidRPr="002C75B8">
        <w:rPr>
          <w:bCs/>
          <w:sz w:val="22"/>
          <w:lang w:val="en-US"/>
        </w:rPr>
        <w:t xml:space="preserve"> life expectancy at birth (years):</w:t>
      </w:r>
      <w:r>
        <w:rPr>
          <w:bCs/>
          <w:sz w:val="22"/>
          <w:lang w:val="en-US"/>
        </w:rPr>
        <w:t xml:space="preserve"> </w:t>
      </w:r>
      <w:r w:rsidRPr="002C75B8">
        <w:rPr>
          <w:bCs/>
          <w:sz w:val="22"/>
          <w:lang w:val="en-US"/>
        </w:rPr>
        <w:t xml:space="preserve">43 </w:t>
      </w:r>
    </w:p>
    <w:p w:rsidR="008E2CE7" w:rsidRDefault="008E2CE7" w:rsidP="008E2CE7">
      <w:pPr>
        <w:ind w:left="0" w:firstLine="0"/>
        <w:rPr>
          <w:bCs/>
          <w:sz w:val="22"/>
          <w:lang w:val="en-US"/>
        </w:rPr>
      </w:pPr>
    </w:p>
    <w:p w:rsidR="008E2CE7" w:rsidRPr="002C75B8" w:rsidRDefault="008E2CE7" w:rsidP="008E2CE7">
      <w:pPr>
        <w:ind w:left="0" w:firstLine="0"/>
        <w:rPr>
          <w:bCs/>
          <w:sz w:val="22"/>
          <w:lang w:val="en-US"/>
        </w:rPr>
      </w:pPr>
    </w:p>
    <w:p w:rsidR="008E2CE7" w:rsidRPr="002C75B8" w:rsidRDefault="008E2CE7" w:rsidP="008E2CE7">
      <w:pPr>
        <w:spacing w:line="480" w:lineRule="auto"/>
        <w:ind w:left="0" w:firstLine="0"/>
        <w:rPr>
          <w:sz w:val="22"/>
          <w:lang w:val="en-GB"/>
        </w:rPr>
      </w:pPr>
      <w:r w:rsidRPr="002C75B8">
        <w:rPr>
          <w:b/>
          <w:sz w:val="22"/>
          <w:lang w:val="en-US"/>
        </w:rPr>
        <w:t xml:space="preserve">BACKGROUND INFORMATION </w:t>
      </w:r>
    </w:p>
    <w:p w:rsidR="008E2CE7" w:rsidRDefault="008E2CE7" w:rsidP="008E2CE7">
      <w:pPr>
        <w:ind w:left="0" w:firstLine="0"/>
        <w:rPr>
          <w:color w:val="E36C0A"/>
          <w:sz w:val="22"/>
          <w:lang w:val="en-US"/>
        </w:rPr>
      </w:pPr>
      <w:r w:rsidRPr="002C75B8">
        <w:rPr>
          <w:sz w:val="22"/>
          <w:lang w:val="en-US"/>
        </w:rPr>
        <w:t xml:space="preserve">The first case of VL was recorded in </w:t>
      </w:r>
      <w:smartTag w:uri="urn:schemas-microsoft-com:office:smarttags" w:element="metricconverter">
        <w:smartTagPr>
          <w:attr w:name="ProductID" w:val="1946. In"/>
        </w:smartTagPr>
        <w:r w:rsidRPr="002C75B8">
          <w:rPr>
            <w:sz w:val="22"/>
            <w:lang w:val="en-US"/>
          </w:rPr>
          <w:t>1946. In</w:t>
        </w:r>
      </w:smartTag>
      <w:r w:rsidRPr="002C75B8">
        <w:rPr>
          <w:sz w:val="22"/>
          <w:lang w:val="en-US"/>
        </w:rPr>
        <w:t xml:space="preserve"> 1959, VL appeared to </w:t>
      </w:r>
      <w:r>
        <w:rPr>
          <w:sz w:val="22"/>
          <w:lang w:val="en-US"/>
        </w:rPr>
        <w:t xml:space="preserve">have become </w:t>
      </w:r>
      <w:r w:rsidRPr="002C75B8">
        <w:rPr>
          <w:sz w:val="22"/>
          <w:lang w:val="en-US"/>
        </w:rPr>
        <w:t xml:space="preserve">endemic in </w:t>
      </w:r>
      <w:r>
        <w:rPr>
          <w:sz w:val="22"/>
          <w:lang w:val="en-US"/>
        </w:rPr>
        <w:t xml:space="preserve">the </w:t>
      </w:r>
      <w:proofErr w:type="spellStart"/>
      <w:r w:rsidRPr="002C75B8">
        <w:rPr>
          <w:sz w:val="22"/>
          <w:lang w:val="en-US"/>
        </w:rPr>
        <w:t>Karamoja</w:t>
      </w:r>
      <w:proofErr w:type="spellEnd"/>
      <w:r w:rsidRPr="002C75B8">
        <w:rPr>
          <w:sz w:val="22"/>
          <w:lang w:val="en-US"/>
        </w:rPr>
        <w:t xml:space="preserve"> Sub region, </w:t>
      </w:r>
      <w:proofErr w:type="spellStart"/>
      <w:r w:rsidRPr="002C75B8">
        <w:rPr>
          <w:sz w:val="22"/>
          <w:lang w:val="en-US"/>
        </w:rPr>
        <w:t>Amudat</w:t>
      </w:r>
      <w:proofErr w:type="spellEnd"/>
      <w:r w:rsidRPr="002C75B8">
        <w:rPr>
          <w:sz w:val="22"/>
          <w:lang w:val="en-US"/>
        </w:rPr>
        <w:t xml:space="preserve"> district, an area of semi-arid steppe (northeastern Uganda). Recently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new cases have been reported from 2 neighboring districts</w:t>
      </w:r>
      <w:r>
        <w:rPr>
          <w:sz w:val="22"/>
          <w:lang w:val="en-US"/>
        </w:rPr>
        <w:t xml:space="preserve">: </w:t>
      </w:r>
      <w:proofErr w:type="spellStart"/>
      <w:r w:rsidRPr="002C75B8">
        <w:rPr>
          <w:sz w:val="22"/>
          <w:lang w:val="en-US"/>
        </w:rPr>
        <w:t>Moroto</w:t>
      </w:r>
      <w:proofErr w:type="spellEnd"/>
      <w:r w:rsidRPr="002C75B8">
        <w:rPr>
          <w:sz w:val="22"/>
          <w:lang w:val="en-US"/>
        </w:rPr>
        <w:t xml:space="preserve"> and </w:t>
      </w:r>
      <w:proofErr w:type="spellStart"/>
      <w:r w:rsidRPr="002C75B8">
        <w:rPr>
          <w:sz w:val="22"/>
          <w:lang w:val="en-US"/>
        </w:rPr>
        <w:t>Kotido</w:t>
      </w:r>
      <w:proofErr w:type="spellEnd"/>
      <w:r w:rsidRPr="002C75B8">
        <w:rPr>
          <w:sz w:val="22"/>
          <w:lang w:val="en-US"/>
        </w:rPr>
        <w:t xml:space="preserve"> </w:t>
      </w:r>
      <w:r w:rsidRPr="00C44334">
        <w:rPr>
          <w:sz w:val="22"/>
          <w:lang w:val="en-US"/>
        </w:rPr>
        <w:t>(</w:t>
      </w:r>
      <w:proofErr w:type="spellStart"/>
      <w:r w:rsidRPr="00C44334">
        <w:rPr>
          <w:sz w:val="22"/>
          <w:lang w:val="en-US"/>
        </w:rPr>
        <w:t>Amudat</w:t>
      </w:r>
      <w:proofErr w:type="spellEnd"/>
      <w:r w:rsidRPr="00C44334">
        <w:rPr>
          <w:sz w:val="22"/>
          <w:lang w:val="en-US"/>
        </w:rPr>
        <w:t xml:space="preserve"> hospital report, M</w:t>
      </w:r>
      <w:r>
        <w:rPr>
          <w:sz w:val="22"/>
          <w:lang w:val="en-US"/>
        </w:rPr>
        <w:t>o</w:t>
      </w:r>
      <w:r w:rsidRPr="00C44334">
        <w:rPr>
          <w:sz w:val="22"/>
          <w:lang w:val="en-US"/>
        </w:rPr>
        <w:t>H, 2010).</w:t>
      </w:r>
    </w:p>
    <w:p w:rsidR="008E2CE7" w:rsidRPr="002C75B8" w:rsidRDefault="008E2CE7" w:rsidP="008E2CE7">
      <w:pPr>
        <w:ind w:left="0" w:firstLine="0"/>
        <w:rPr>
          <w:color w:val="E36C0A"/>
          <w:sz w:val="22"/>
          <w:lang w:val="en-US"/>
        </w:rPr>
      </w:pPr>
    </w:p>
    <w:p w:rsidR="008E2CE7" w:rsidRDefault="008E2CE7" w:rsidP="008E2CE7">
      <w:pPr>
        <w:ind w:left="0" w:firstLine="0"/>
        <w:rPr>
          <w:color w:val="E36C0A"/>
          <w:sz w:val="22"/>
          <w:lang w:val="en-US"/>
        </w:rPr>
      </w:pPr>
      <w:r w:rsidRPr="002C75B8">
        <w:rPr>
          <w:sz w:val="22"/>
          <w:lang w:val="en-US"/>
        </w:rPr>
        <w:t xml:space="preserve">The total burden of </w:t>
      </w:r>
      <w:r>
        <w:rPr>
          <w:sz w:val="22"/>
          <w:lang w:val="en-US"/>
        </w:rPr>
        <w:t xml:space="preserve">the </w:t>
      </w:r>
      <w:r w:rsidRPr="002C75B8">
        <w:rPr>
          <w:sz w:val="22"/>
          <w:lang w:val="en-US"/>
        </w:rPr>
        <w:t xml:space="preserve">disease and </w:t>
      </w:r>
      <w:r>
        <w:rPr>
          <w:sz w:val="22"/>
          <w:lang w:val="en-US"/>
        </w:rPr>
        <w:t xml:space="preserve">its </w:t>
      </w:r>
      <w:r w:rsidRPr="002C75B8">
        <w:rPr>
          <w:sz w:val="22"/>
          <w:lang w:val="en-US"/>
        </w:rPr>
        <w:t>geographical spread remain unknown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due to </w:t>
      </w:r>
      <w:r>
        <w:rPr>
          <w:sz w:val="22"/>
          <w:lang w:val="en-US"/>
        </w:rPr>
        <w:t xml:space="preserve">the </w:t>
      </w:r>
      <w:r w:rsidRPr="002C75B8">
        <w:rPr>
          <w:sz w:val="22"/>
          <w:lang w:val="en-US"/>
        </w:rPr>
        <w:t>lack of a systematic surveillance system</w:t>
      </w:r>
      <w:r>
        <w:rPr>
          <w:sz w:val="22"/>
          <w:lang w:val="en-US"/>
        </w:rPr>
        <w:t xml:space="preserve"> [1]</w:t>
      </w:r>
      <w:r w:rsidRPr="002C75B8">
        <w:rPr>
          <w:rFonts w:eastAsia="Times New Roman"/>
          <w:color w:val="E36C0A"/>
          <w:sz w:val="22"/>
          <w:lang w:val="en-US" w:eastAsia="es-ES"/>
        </w:rPr>
        <w:t>.</w:t>
      </w:r>
      <w:r w:rsidRPr="002C75B8">
        <w:rPr>
          <w:rFonts w:eastAsia="Times New Roman"/>
          <w:sz w:val="22"/>
          <w:lang w:val="en-US" w:eastAsia="es-ES"/>
        </w:rPr>
        <w:t xml:space="preserve"> </w:t>
      </w:r>
      <w:r w:rsidRPr="002C75B8">
        <w:rPr>
          <w:sz w:val="22"/>
          <w:lang w:val="en-US"/>
        </w:rPr>
        <w:t xml:space="preserve">Most VL cases are among nomads in </w:t>
      </w:r>
      <w:proofErr w:type="spellStart"/>
      <w:r w:rsidRPr="002C75B8">
        <w:rPr>
          <w:sz w:val="22"/>
          <w:lang w:val="en-US"/>
        </w:rPr>
        <w:t>Amudat</w:t>
      </w:r>
      <w:proofErr w:type="spellEnd"/>
      <w:r w:rsidRPr="002C75B8">
        <w:rPr>
          <w:sz w:val="22"/>
          <w:lang w:val="en-US"/>
        </w:rPr>
        <w:t xml:space="preserve"> region, and the </w:t>
      </w:r>
      <w:proofErr w:type="spellStart"/>
      <w:r w:rsidRPr="002C75B8">
        <w:rPr>
          <w:sz w:val="22"/>
          <w:lang w:val="en-US"/>
        </w:rPr>
        <w:t>male</w:t>
      </w:r>
      <w:proofErr w:type="gramStart"/>
      <w:r w:rsidRPr="002C75B8">
        <w:rPr>
          <w:sz w:val="22"/>
          <w:lang w:val="en-US"/>
        </w:rPr>
        <w:t>:female</w:t>
      </w:r>
      <w:proofErr w:type="spellEnd"/>
      <w:proofErr w:type="gramEnd"/>
      <w:r w:rsidRPr="002C75B8">
        <w:rPr>
          <w:sz w:val="22"/>
          <w:lang w:val="en-US"/>
        </w:rPr>
        <w:t xml:space="preserve"> ratio is 3:1. </w:t>
      </w:r>
      <w:r>
        <w:rPr>
          <w:sz w:val="22"/>
          <w:lang w:val="en-US"/>
        </w:rPr>
        <w:t>T</w:t>
      </w:r>
      <w:r w:rsidRPr="002C75B8">
        <w:rPr>
          <w:sz w:val="22"/>
          <w:lang w:val="en-US"/>
        </w:rPr>
        <w:t>he only hospital where VL can be diagnosed and treated</w:t>
      </w:r>
      <w:r>
        <w:rPr>
          <w:sz w:val="22"/>
          <w:lang w:val="en-US"/>
        </w:rPr>
        <w:t xml:space="preserve"> is in this region</w:t>
      </w:r>
      <w:r w:rsidRPr="002C75B8">
        <w:rPr>
          <w:sz w:val="22"/>
          <w:lang w:val="en-US"/>
        </w:rPr>
        <w:t xml:space="preserve">. </w:t>
      </w:r>
      <w:r>
        <w:rPr>
          <w:sz w:val="22"/>
          <w:lang w:val="en-US"/>
        </w:rPr>
        <w:t>It</w:t>
      </w:r>
      <w:r w:rsidRPr="002C75B8">
        <w:rPr>
          <w:sz w:val="22"/>
          <w:lang w:val="en-US"/>
        </w:rPr>
        <w:t xml:space="preserve"> was operated by MSF</w:t>
      </w:r>
      <w:r>
        <w:rPr>
          <w:sz w:val="22"/>
          <w:lang w:val="en-US"/>
        </w:rPr>
        <w:t xml:space="preserve"> until</w:t>
      </w:r>
      <w:r w:rsidRPr="002C75B8">
        <w:rPr>
          <w:sz w:val="22"/>
          <w:lang w:val="en-US"/>
        </w:rPr>
        <w:t xml:space="preserve"> 2006</w:t>
      </w:r>
      <w:r>
        <w:rPr>
          <w:sz w:val="22"/>
          <w:lang w:val="en-US"/>
        </w:rPr>
        <w:t>, when</w:t>
      </w:r>
      <w:r w:rsidRPr="002C75B8">
        <w:rPr>
          <w:sz w:val="22"/>
          <w:lang w:val="en-US"/>
        </w:rPr>
        <w:t xml:space="preserve"> MSF left the hospital and opened a VL project across the border in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US"/>
            </w:rPr>
            <w:t>Kenya</w:t>
          </w:r>
        </w:smartTag>
      </w:smartTag>
      <w:r w:rsidRPr="002C75B8">
        <w:rPr>
          <w:sz w:val="22"/>
          <w:lang w:val="en-US"/>
        </w:rPr>
        <w:t xml:space="preserve">. As a consequence, VL was not diagnosed and treated in </w:t>
      </w:r>
      <w:smartTag w:uri="urn:schemas-microsoft-com:office:smarttags" w:element="country-region">
        <w:r w:rsidRPr="002C75B8">
          <w:rPr>
            <w:sz w:val="22"/>
            <w:lang w:val="en-US"/>
          </w:rPr>
          <w:t>Uganda</w:t>
        </w:r>
      </w:smartTag>
      <w:r w:rsidRPr="002C75B8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that year </w:t>
      </w:r>
      <w:r w:rsidRPr="002C75B8">
        <w:rPr>
          <w:sz w:val="22"/>
          <w:lang w:val="en-US"/>
        </w:rPr>
        <w:t xml:space="preserve">and patients sought treatment over the border in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US"/>
            </w:rPr>
            <w:t>Kenya</w:t>
          </w:r>
        </w:smartTag>
      </w:smartTag>
      <w:r w:rsidRPr="002C75B8">
        <w:rPr>
          <w:sz w:val="22"/>
          <w:lang w:val="en-US"/>
        </w:rPr>
        <w:t>. In 2007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the hospital became functional again.</w:t>
      </w:r>
      <w:r w:rsidRPr="002C75B8">
        <w:rPr>
          <w:color w:val="E36C0A"/>
          <w:sz w:val="22"/>
          <w:lang w:val="en-US"/>
        </w:rPr>
        <w:t xml:space="preserve"> </w:t>
      </w:r>
      <w:r w:rsidRPr="002C75B8">
        <w:rPr>
          <w:sz w:val="22"/>
          <w:lang w:val="en-US"/>
        </w:rPr>
        <w:t>A survey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conducted in 2007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identified risk factors for contracting VL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including sitting on termite mounts, treating livestock with insecticides and </w:t>
      </w:r>
      <w:r>
        <w:rPr>
          <w:sz w:val="22"/>
          <w:lang w:val="en-US"/>
        </w:rPr>
        <w:t xml:space="preserve">having </w:t>
      </w:r>
      <w:r w:rsidRPr="002C75B8">
        <w:rPr>
          <w:sz w:val="22"/>
          <w:lang w:val="en-US"/>
        </w:rPr>
        <w:t xml:space="preserve">a low socio-economic status. Owning a mosquito </w:t>
      </w:r>
      <w:proofErr w:type="spellStart"/>
      <w:r w:rsidRPr="002C75B8">
        <w:rPr>
          <w:sz w:val="22"/>
          <w:lang w:val="en-US"/>
        </w:rPr>
        <w:t>bednet</w:t>
      </w:r>
      <w:proofErr w:type="spellEnd"/>
      <w:r w:rsidRPr="002C75B8">
        <w:rPr>
          <w:sz w:val="22"/>
          <w:lang w:val="en-US"/>
        </w:rPr>
        <w:t xml:space="preserve"> was associated with a reduced risk of contracting the disease</w:t>
      </w:r>
      <w:r>
        <w:rPr>
          <w:sz w:val="22"/>
          <w:lang w:val="en-US"/>
        </w:rPr>
        <w:t xml:space="preserve"> [2]</w:t>
      </w:r>
      <w:r w:rsidRPr="002C75B8">
        <w:rPr>
          <w:color w:val="E36C0A"/>
          <w:sz w:val="22"/>
          <w:lang w:val="en-US"/>
        </w:rPr>
        <w:t>.</w:t>
      </w:r>
    </w:p>
    <w:p w:rsidR="008E2CE7" w:rsidRPr="002C75B8" w:rsidRDefault="008E2CE7" w:rsidP="008E2CE7">
      <w:pPr>
        <w:ind w:left="0" w:firstLine="0"/>
        <w:rPr>
          <w:sz w:val="22"/>
          <w:lang w:val="en-US"/>
        </w:rPr>
      </w:pPr>
    </w:p>
    <w:p w:rsidR="008E2CE7" w:rsidRPr="002C75B8" w:rsidRDefault="008E2CE7" w:rsidP="008E2CE7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CL </w:t>
      </w:r>
      <w:r>
        <w:rPr>
          <w:sz w:val="22"/>
          <w:lang w:val="en-US"/>
        </w:rPr>
        <w:t>was</w:t>
      </w:r>
      <w:r w:rsidRPr="002C75B8">
        <w:rPr>
          <w:sz w:val="22"/>
          <w:lang w:val="en-US"/>
        </w:rPr>
        <w:t xml:space="preserve"> reported for several years (1926-1936)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 </w:t>
      </w:r>
      <w:r>
        <w:rPr>
          <w:sz w:val="22"/>
          <w:lang w:val="en-US"/>
        </w:rPr>
        <w:t>T</w:t>
      </w:r>
      <w:r w:rsidRPr="002C75B8">
        <w:rPr>
          <w:sz w:val="22"/>
          <w:lang w:val="en-US"/>
        </w:rPr>
        <w:t xml:space="preserve">oday, it probably occurs in the foothills of </w:t>
      </w:r>
      <w:smartTag w:uri="urn:schemas-microsoft-com:office:smarttags" w:element="place">
        <w:smartTag w:uri="urn:schemas-microsoft-com:office:smarttags" w:element="PlaceType">
          <w:r w:rsidRPr="002C75B8">
            <w:rPr>
              <w:sz w:val="22"/>
              <w:lang w:val="en-US"/>
            </w:rPr>
            <w:t>Mount</w:t>
          </w:r>
        </w:smartTag>
        <w:r w:rsidRPr="002C75B8">
          <w:rPr>
            <w:sz w:val="22"/>
            <w:lang w:val="en-US"/>
          </w:rPr>
          <w:t xml:space="preserve"> </w:t>
        </w:r>
        <w:proofErr w:type="spellStart"/>
        <w:smartTag w:uri="urn:schemas-microsoft-com:office:smarttags" w:element="PlaceName">
          <w:r w:rsidRPr="002C75B8">
            <w:rPr>
              <w:sz w:val="22"/>
              <w:lang w:val="en-US"/>
            </w:rPr>
            <w:t>Eigon</w:t>
          </w:r>
        </w:smartTag>
      </w:smartTag>
      <w:proofErr w:type="spellEnd"/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but this needs c</w:t>
      </w:r>
      <w:r w:rsidRPr="00C44334">
        <w:rPr>
          <w:sz w:val="22"/>
          <w:lang w:val="en-US"/>
        </w:rPr>
        <w:t xml:space="preserve">onfirmation. The disease is caused by </w:t>
      </w:r>
      <w:r w:rsidRPr="00C44334">
        <w:rPr>
          <w:i/>
          <w:iCs/>
          <w:sz w:val="22"/>
          <w:lang w:val="en-US"/>
        </w:rPr>
        <w:t>L. aethiopica</w:t>
      </w:r>
      <w:r w:rsidRPr="00C44334">
        <w:rPr>
          <w:sz w:val="22"/>
          <w:lang w:val="en-US"/>
        </w:rPr>
        <w:t xml:space="preserve"> (</w:t>
      </w:r>
      <w:proofErr w:type="spellStart"/>
      <w:r w:rsidRPr="00C44334">
        <w:rPr>
          <w:sz w:val="22"/>
          <w:lang w:val="en-US"/>
        </w:rPr>
        <w:t>Mulago</w:t>
      </w:r>
      <w:proofErr w:type="spellEnd"/>
      <w:r w:rsidRPr="00C44334">
        <w:rPr>
          <w:sz w:val="22"/>
          <w:lang w:val="en-US"/>
        </w:rPr>
        <w:t xml:space="preserve"> hospital report; MOH).</w:t>
      </w:r>
      <w:r>
        <w:rPr>
          <w:sz w:val="22"/>
          <w:lang w:val="en-US"/>
        </w:rPr>
        <w:t xml:space="preserve"> A case of CL due to </w:t>
      </w:r>
      <w:r w:rsidRPr="00857577">
        <w:rPr>
          <w:i/>
          <w:iCs/>
          <w:sz w:val="22"/>
          <w:lang w:val="en-US"/>
        </w:rPr>
        <w:t>L.donovani</w:t>
      </w:r>
      <w:r>
        <w:rPr>
          <w:i/>
          <w:iCs/>
          <w:sz w:val="22"/>
          <w:lang w:val="en-US"/>
        </w:rPr>
        <w:t>,</w:t>
      </w:r>
      <w:r>
        <w:rPr>
          <w:sz w:val="22"/>
          <w:lang w:val="en-US"/>
        </w:rPr>
        <w:t xml:space="preserve"> in an HIV co-infected patient living in t</w:t>
      </w:r>
      <w:r w:rsidRPr="00C51BDA">
        <w:rPr>
          <w:sz w:val="22"/>
          <w:lang w:val="en-US"/>
        </w:rPr>
        <w:t xml:space="preserve">he </w:t>
      </w:r>
      <w:proofErr w:type="spellStart"/>
      <w:r w:rsidRPr="00C51BDA">
        <w:rPr>
          <w:rFonts w:eastAsia="SimSun"/>
          <w:sz w:val="22"/>
          <w:lang w:val="en-GB" w:eastAsia="zh-CN"/>
        </w:rPr>
        <w:t>Ssese</w:t>
      </w:r>
      <w:proofErr w:type="spellEnd"/>
      <w:r w:rsidRPr="00C51BDA">
        <w:rPr>
          <w:rFonts w:eastAsia="SimSun"/>
          <w:sz w:val="22"/>
          <w:lang w:val="en-GB" w:eastAsia="zh-CN"/>
        </w:rPr>
        <w:t xml:space="preserve"> Islands in Lake Victoria</w:t>
      </w:r>
      <w:r>
        <w:rPr>
          <w:rFonts w:eastAsia="SimSun"/>
          <w:sz w:val="22"/>
          <w:lang w:val="en-GB" w:eastAsia="zh-CN"/>
        </w:rPr>
        <w:t>,</w:t>
      </w:r>
      <w:r w:rsidRPr="00C51BDA">
        <w:rPr>
          <w:rFonts w:eastAsia="SimSun"/>
          <w:sz w:val="22"/>
          <w:lang w:val="en-GB" w:eastAsia="zh-CN"/>
        </w:rPr>
        <w:t xml:space="preserve"> </w:t>
      </w:r>
      <w:r>
        <w:rPr>
          <w:sz w:val="22"/>
          <w:lang w:val="en-GB"/>
        </w:rPr>
        <w:t>was</w:t>
      </w:r>
      <w:r>
        <w:rPr>
          <w:sz w:val="22"/>
          <w:lang w:val="en-US"/>
        </w:rPr>
        <w:t xml:space="preserve"> reported recently [3].</w:t>
      </w:r>
    </w:p>
    <w:p w:rsidR="008E2CE7" w:rsidRPr="002C75B8" w:rsidRDefault="008E2CE7" w:rsidP="008E2CE7">
      <w:pPr>
        <w:ind w:left="0" w:firstLine="0"/>
        <w:rPr>
          <w:sz w:val="22"/>
          <w:lang w:val="en-US"/>
        </w:rPr>
      </w:pPr>
    </w:p>
    <w:p w:rsidR="008E2CE7" w:rsidRPr="002C75B8" w:rsidRDefault="008E2CE7" w:rsidP="008E2CE7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2 cases of HIV/</w:t>
      </w:r>
      <w:r w:rsidRPr="002C75B8">
        <w:rPr>
          <w:i/>
          <w:iCs/>
          <w:sz w:val="22"/>
          <w:lang w:val="en-US"/>
        </w:rPr>
        <w:t>Leishmania</w:t>
      </w:r>
      <w:r w:rsidRPr="002C75B8">
        <w:rPr>
          <w:sz w:val="22"/>
          <w:lang w:val="en-US"/>
        </w:rPr>
        <w:t xml:space="preserve"> co</w:t>
      </w:r>
      <w:r>
        <w:rPr>
          <w:sz w:val="22"/>
          <w:lang w:val="en-US"/>
        </w:rPr>
        <w:t>-</w:t>
      </w:r>
      <w:r w:rsidRPr="002C75B8">
        <w:rPr>
          <w:sz w:val="22"/>
          <w:lang w:val="en-US"/>
        </w:rPr>
        <w:t xml:space="preserve">infection occurred in the last 2 years. </w:t>
      </w:r>
    </w:p>
    <w:p w:rsidR="008E2CE7" w:rsidRPr="002C75B8" w:rsidRDefault="008E2CE7" w:rsidP="008E2CE7">
      <w:pPr>
        <w:ind w:left="0" w:firstLine="0"/>
        <w:rPr>
          <w:sz w:val="22"/>
          <w:lang w:val="en-US"/>
        </w:rPr>
      </w:pPr>
    </w:p>
    <w:p w:rsidR="008E2CE7" w:rsidRPr="002C75B8" w:rsidRDefault="008E2CE7" w:rsidP="008E2CE7">
      <w:pPr>
        <w:ind w:left="0" w:firstLine="0"/>
        <w:rPr>
          <w:sz w:val="22"/>
          <w:lang w:val="en-US"/>
        </w:rPr>
      </w:pPr>
    </w:p>
    <w:p w:rsidR="008E2CE7" w:rsidRPr="002C75B8" w:rsidRDefault="008E2CE7" w:rsidP="008E2CE7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t>PARASITOLOGICAL INFORMATION</w:t>
      </w:r>
    </w:p>
    <w:p w:rsidR="008E2CE7" w:rsidRPr="002C75B8" w:rsidRDefault="008E2CE7" w:rsidP="008E2CE7">
      <w:pPr>
        <w:ind w:left="0" w:firstLine="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1758"/>
        <w:gridCol w:w="2863"/>
        <w:gridCol w:w="2311"/>
      </w:tblGrid>
      <w:tr w:rsidR="008E2CE7" w:rsidRPr="002C75B8" w:rsidTr="00A7768B">
        <w:trPr>
          <w:jc w:val="center"/>
        </w:trPr>
        <w:tc>
          <w:tcPr>
            <w:tcW w:w="2310" w:type="dxa"/>
            <w:vAlign w:val="center"/>
          </w:tcPr>
          <w:p w:rsidR="008E2CE7" w:rsidRPr="002C75B8" w:rsidRDefault="008E2CE7" w:rsidP="00A7768B">
            <w:pPr>
              <w:ind w:left="0" w:firstLine="0"/>
              <w:jc w:val="center"/>
              <w:rPr>
                <w:sz w:val="22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1758" w:type="dxa"/>
            <w:vAlign w:val="center"/>
          </w:tcPr>
          <w:p w:rsidR="008E2CE7" w:rsidRPr="002C75B8" w:rsidRDefault="008E2CE7" w:rsidP="00A7768B">
            <w:pPr>
              <w:ind w:left="0" w:firstLine="0"/>
              <w:jc w:val="center"/>
              <w:rPr>
                <w:sz w:val="22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2863" w:type="dxa"/>
            <w:vAlign w:val="center"/>
          </w:tcPr>
          <w:p w:rsidR="008E2CE7" w:rsidRPr="002C75B8" w:rsidRDefault="008E2CE7" w:rsidP="00A7768B">
            <w:pPr>
              <w:ind w:left="0" w:firstLine="0"/>
              <w:jc w:val="center"/>
              <w:rPr>
                <w:sz w:val="22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311" w:type="dxa"/>
            <w:vAlign w:val="center"/>
          </w:tcPr>
          <w:p w:rsidR="008E2CE7" w:rsidRPr="002C75B8" w:rsidRDefault="008E2CE7" w:rsidP="00A7768B">
            <w:pPr>
              <w:ind w:left="0" w:firstLine="0"/>
              <w:jc w:val="center"/>
              <w:rPr>
                <w:sz w:val="22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8E2CE7" w:rsidRPr="002C75B8" w:rsidTr="00A7768B">
        <w:trPr>
          <w:jc w:val="center"/>
        </w:trPr>
        <w:tc>
          <w:tcPr>
            <w:tcW w:w="2310" w:type="dxa"/>
            <w:vAlign w:val="center"/>
          </w:tcPr>
          <w:p w:rsidR="008E2CE7" w:rsidRPr="002C75B8" w:rsidRDefault="008E2CE7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L. donovani</w:t>
            </w:r>
          </w:p>
        </w:tc>
        <w:tc>
          <w:tcPr>
            <w:tcW w:w="1758" w:type="dxa"/>
            <w:vAlign w:val="center"/>
          </w:tcPr>
          <w:p w:rsidR="008E2CE7" w:rsidRPr="002C75B8" w:rsidRDefault="008E2CE7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VL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, CL</w:t>
            </w:r>
          </w:p>
        </w:tc>
        <w:tc>
          <w:tcPr>
            <w:tcW w:w="2863" w:type="dxa"/>
            <w:vAlign w:val="center"/>
          </w:tcPr>
          <w:p w:rsidR="008E2CE7" w:rsidRPr="002C75B8" w:rsidRDefault="008E2CE7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P. martini</w:t>
            </w:r>
          </w:p>
        </w:tc>
        <w:tc>
          <w:tcPr>
            <w:tcW w:w="2311" w:type="dxa"/>
            <w:vAlign w:val="center"/>
          </w:tcPr>
          <w:p w:rsidR="008E2CE7" w:rsidRPr="002C75B8" w:rsidRDefault="008E2CE7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2CE7" w:rsidRPr="002C75B8" w:rsidRDefault="008E2CE7" w:rsidP="008E2CE7">
      <w:pPr>
        <w:ind w:left="0" w:firstLine="0"/>
        <w:rPr>
          <w:b/>
          <w:bCs/>
          <w:sz w:val="22"/>
        </w:rPr>
      </w:pPr>
    </w:p>
    <w:p w:rsidR="008E2CE7" w:rsidRPr="002C75B8" w:rsidRDefault="008E2CE7" w:rsidP="008E2CE7">
      <w:pPr>
        <w:ind w:left="0" w:firstLine="0"/>
        <w:rPr>
          <w:b/>
          <w:bCs/>
          <w:sz w:val="22"/>
        </w:rPr>
      </w:pPr>
    </w:p>
    <w:p w:rsidR="008E2CE7" w:rsidRPr="002C75B8" w:rsidRDefault="008E2CE7" w:rsidP="008E2CE7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t>MAPS AND TRENDS</w:t>
      </w:r>
    </w:p>
    <w:p w:rsidR="008E2CE7" w:rsidRPr="002C75B8" w:rsidRDefault="008E2CE7" w:rsidP="008E2CE7">
      <w:pPr>
        <w:ind w:left="0" w:firstLine="0"/>
        <w:rPr>
          <w:b/>
          <w:bCs/>
          <w:sz w:val="22"/>
        </w:rPr>
      </w:pPr>
    </w:p>
    <w:p w:rsidR="008E2CE7" w:rsidRPr="002C75B8" w:rsidRDefault="008E2CE7" w:rsidP="008E2CE7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t>Visceral leishmaniasis</w:t>
      </w:r>
    </w:p>
    <w:p w:rsidR="008E2CE7" w:rsidRPr="002C75B8" w:rsidRDefault="008E2CE7" w:rsidP="008E2CE7">
      <w:pPr>
        <w:ind w:left="0" w:firstLine="0"/>
        <w:rPr>
          <w:sz w:val="22"/>
          <w:lang w:val="es-ES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55245</wp:posOffset>
            </wp:positionV>
            <wp:extent cx="3187700" cy="2254250"/>
            <wp:effectExtent l="19050" t="0" r="0" b="0"/>
            <wp:wrapNone/>
            <wp:docPr id="4" name="Picture 4" descr="UGV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GVLmod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25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2CE7" w:rsidRPr="002C75B8" w:rsidRDefault="008E2CE7" w:rsidP="008E2CE7">
      <w:pPr>
        <w:ind w:left="0" w:firstLine="0"/>
        <w:rPr>
          <w:sz w:val="22"/>
          <w:lang w:val="es-ES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8890</wp:posOffset>
            </wp:positionV>
            <wp:extent cx="3043555" cy="2150745"/>
            <wp:effectExtent l="19050" t="0" r="4445" b="0"/>
            <wp:wrapNone/>
            <wp:docPr id="5" name="Picture 5" descr="UGV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GVLIRmo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15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2CE7" w:rsidRPr="002C75B8" w:rsidRDefault="008E2CE7" w:rsidP="008E2CE7">
      <w:pPr>
        <w:ind w:left="0" w:firstLine="0"/>
        <w:rPr>
          <w:sz w:val="22"/>
          <w:lang w:val="es-ES"/>
        </w:rPr>
      </w:pPr>
    </w:p>
    <w:p w:rsidR="008E2CE7" w:rsidRPr="002C75B8" w:rsidRDefault="008E2CE7" w:rsidP="008E2CE7">
      <w:pPr>
        <w:ind w:left="0" w:firstLine="0"/>
        <w:rPr>
          <w:sz w:val="22"/>
          <w:lang w:val="es-ES"/>
        </w:rPr>
      </w:pPr>
    </w:p>
    <w:p w:rsidR="008E2CE7" w:rsidRDefault="008E2CE7" w:rsidP="008E2CE7">
      <w:pPr>
        <w:ind w:left="0" w:firstLine="0"/>
        <w:rPr>
          <w:sz w:val="22"/>
          <w:lang w:val="es-ES"/>
        </w:rPr>
      </w:pPr>
    </w:p>
    <w:p w:rsidR="008E2CE7" w:rsidRDefault="008E2CE7" w:rsidP="008E2CE7">
      <w:pPr>
        <w:ind w:left="0" w:firstLine="0"/>
        <w:rPr>
          <w:sz w:val="22"/>
          <w:lang w:val="es-ES"/>
        </w:rPr>
      </w:pPr>
    </w:p>
    <w:p w:rsidR="008E2CE7" w:rsidRDefault="008E2CE7" w:rsidP="008E2CE7">
      <w:pPr>
        <w:ind w:left="0" w:firstLine="0"/>
        <w:rPr>
          <w:sz w:val="22"/>
          <w:lang w:val="es-ES"/>
        </w:rPr>
      </w:pPr>
    </w:p>
    <w:p w:rsidR="008E2CE7" w:rsidRDefault="008E2CE7" w:rsidP="008E2CE7">
      <w:pPr>
        <w:ind w:left="0" w:firstLine="0"/>
        <w:rPr>
          <w:sz w:val="22"/>
          <w:lang w:val="es-ES"/>
        </w:rPr>
      </w:pPr>
    </w:p>
    <w:p w:rsidR="008E2CE7" w:rsidRDefault="008E2CE7" w:rsidP="008E2CE7">
      <w:pPr>
        <w:ind w:left="0" w:firstLine="0"/>
        <w:rPr>
          <w:sz w:val="22"/>
          <w:lang w:val="es-ES"/>
        </w:rPr>
      </w:pPr>
    </w:p>
    <w:p w:rsidR="008E2CE7" w:rsidRDefault="008E2CE7" w:rsidP="008E2CE7">
      <w:pPr>
        <w:ind w:left="0" w:firstLine="0"/>
        <w:rPr>
          <w:sz w:val="22"/>
          <w:lang w:val="es-ES"/>
        </w:rPr>
      </w:pPr>
    </w:p>
    <w:p w:rsidR="008E2CE7" w:rsidRDefault="008E2CE7" w:rsidP="008E2CE7">
      <w:pPr>
        <w:ind w:left="0" w:firstLine="0"/>
        <w:rPr>
          <w:sz w:val="22"/>
          <w:lang w:val="es-ES"/>
        </w:rPr>
      </w:pPr>
    </w:p>
    <w:p w:rsidR="008E2CE7" w:rsidRDefault="008E2CE7" w:rsidP="008E2CE7">
      <w:pPr>
        <w:ind w:left="0" w:firstLine="0"/>
        <w:rPr>
          <w:sz w:val="22"/>
          <w:lang w:val="es-ES"/>
        </w:rPr>
      </w:pPr>
    </w:p>
    <w:p w:rsidR="008E2CE7" w:rsidRDefault="008E2CE7" w:rsidP="008E2CE7">
      <w:pPr>
        <w:ind w:left="0" w:firstLine="0"/>
        <w:rPr>
          <w:sz w:val="22"/>
          <w:lang w:val="es-ES"/>
        </w:rPr>
      </w:pPr>
    </w:p>
    <w:p w:rsidR="008E2CE7" w:rsidRDefault="008E2CE7" w:rsidP="008E2CE7">
      <w:pPr>
        <w:ind w:left="0" w:firstLine="0"/>
        <w:rPr>
          <w:sz w:val="22"/>
          <w:lang w:val="es-ES"/>
        </w:rPr>
      </w:pPr>
    </w:p>
    <w:p w:rsidR="008E2CE7" w:rsidRDefault="008E2CE7" w:rsidP="008E2CE7">
      <w:pPr>
        <w:ind w:left="0" w:firstLine="0"/>
        <w:rPr>
          <w:b/>
          <w:bCs/>
          <w:sz w:val="22"/>
        </w:rPr>
      </w:pPr>
    </w:p>
    <w:p w:rsidR="008E2CE7" w:rsidRPr="002C75B8" w:rsidRDefault="008E2CE7" w:rsidP="008E2CE7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t xml:space="preserve">Visceral leishmaniasis </w:t>
      </w:r>
      <w:proofErr w:type="spellStart"/>
      <w:r w:rsidRPr="002C75B8">
        <w:rPr>
          <w:b/>
          <w:bCs/>
          <w:sz w:val="22"/>
        </w:rPr>
        <w:t>trend</w:t>
      </w:r>
      <w:proofErr w:type="spellEnd"/>
    </w:p>
    <w:p w:rsidR="008E2CE7" w:rsidRPr="002C75B8" w:rsidRDefault="008E2CE7" w:rsidP="008E2CE7">
      <w:pPr>
        <w:ind w:left="0" w:firstLine="0"/>
        <w:rPr>
          <w:b/>
          <w:bCs/>
          <w:sz w:val="22"/>
        </w:rPr>
      </w:pP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0</wp:posOffset>
            </wp:positionV>
            <wp:extent cx="6743700" cy="2171700"/>
            <wp:effectExtent l="0" t="0" r="0" b="0"/>
            <wp:wrapNone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8E2CE7" w:rsidRDefault="008E2CE7" w:rsidP="008E2CE7">
      <w:pPr>
        <w:ind w:left="0" w:firstLine="0"/>
        <w:rPr>
          <w:b/>
          <w:bCs/>
          <w:sz w:val="22"/>
          <w:lang w:val="es-ES"/>
        </w:rPr>
      </w:pPr>
    </w:p>
    <w:p w:rsidR="008E2CE7" w:rsidRDefault="008E2CE7" w:rsidP="008E2CE7">
      <w:pPr>
        <w:ind w:left="0" w:firstLine="0"/>
        <w:rPr>
          <w:b/>
          <w:bCs/>
          <w:sz w:val="22"/>
          <w:lang w:val="es-ES"/>
        </w:rPr>
      </w:pPr>
    </w:p>
    <w:p w:rsidR="008E2CE7" w:rsidRDefault="008E2CE7" w:rsidP="008E2CE7">
      <w:pPr>
        <w:ind w:left="0" w:firstLine="0"/>
        <w:rPr>
          <w:b/>
          <w:bCs/>
          <w:sz w:val="22"/>
          <w:lang w:val="es-ES"/>
        </w:rPr>
      </w:pPr>
    </w:p>
    <w:p w:rsidR="008E2CE7" w:rsidRDefault="008E2CE7" w:rsidP="008E2CE7">
      <w:pPr>
        <w:ind w:left="0" w:firstLine="0"/>
        <w:rPr>
          <w:b/>
          <w:bCs/>
          <w:sz w:val="22"/>
          <w:lang w:val="es-ES"/>
        </w:rPr>
      </w:pPr>
    </w:p>
    <w:p w:rsidR="008E2CE7" w:rsidRDefault="008E2CE7" w:rsidP="008E2CE7">
      <w:pPr>
        <w:ind w:left="0" w:firstLine="0"/>
        <w:rPr>
          <w:b/>
          <w:bCs/>
          <w:sz w:val="22"/>
          <w:lang w:val="es-ES"/>
        </w:rPr>
      </w:pPr>
    </w:p>
    <w:p w:rsidR="008E2CE7" w:rsidRDefault="008E2CE7" w:rsidP="008E2CE7">
      <w:pPr>
        <w:ind w:left="0" w:firstLine="0"/>
        <w:rPr>
          <w:b/>
          <w:bCs/>
          <w:sz w:val="22"/>
          <w:lang w:val="es-ES"/>
        </w:rPr>
      </w:pPr>
    </w:p>
    <w:p w:rsidR="008E2CE7" w:rsidRDefault="008E2CE7" w:rsidP="008E2CE7">
      <w:pPr>
        <w:ind w:left="0" w:firstLine="0"/>
        <w:rPr>
          <w:b/>
          <w:bCs/>
          <w:sz w:val="22"/>
          <w:lang w:val="es-ES"/>
        </w:rPr>
      </w:pPr>
    </w:p>
    <w:p w:rsidR="008E2CE7" w:rsidRDefault="008E2CE7" w:rsidP="008E2CE7">
      <w:pPr>
        <w:ind w:left="0" w:firstLine="0"/>
        <w:rPr>
          <w:b/>
          <w:bCs/>
          <w:sz w:val="22"/>
          <w:lang w:val="es-ES"/>
        </w:rPr>
      </w:pPr>
    </w:p>
    <w:p w:rsidR="008E2CE7" w:rsidRDefault="008E2CE7" w:rsidP="008E2CE7">
      <w:pPr>
        <w:ind w:left="0" w:firstLine="0"/>
        <w:rPr>
          <w:b/>
          <w:bCs/>
          <w:sz w:val="22"/>
          <w:lang w:val="es-ES"/>
        </w:rPr>
      </w:pPr>
    </w:p>
    <w:p w:rsidR="008E2CE7" w:rsidRDefault="008E2CE7" w:rsidP="008E2CE7">
      <w:pPr>
        <w:ind w:left="0" w:firstLine="0"/>
        <w:rPr>
          <w:b/>
          <w:bCs/>
          <w:sz w:val="22"/>
          <w:lang w:val="es-ES"/>
        </w:rPr>
      </w:pPr>
    </w:p>
    <w:p w:rsidR="008E2CE7" w:rsidRDefault="008E2CE7" w:rsidP="008E2CE7">
      <w:pPr>
        <w:ind w:left="0" w:firstLine="0"/>
        <w:rPr>
          <w:b/>
          <w:bCs/>
          <w:sz w:val="22"/>
          <w:lang w:val="es-ES"/>
        </w:rPr>
      </w:pPr>
    </w:p>
    <w:p w:rsidR="008E2CE7" w:rsidRDefault="008E2CE7" w:rsidP="008E2CE7">
      <w:pPr>
        <w:ind w:left="0" w:firstLine="0"/>
        <w:rPr>
          <w:b/>
          <w:bCs/>
          <w:sz w:val="22"/>
          <w:lang w:val="es-ES"/>
        </w:rPr>
      </w:pPr>
    </w:p>
    <w:p w:rsidR="008E2CE7" w:rsidRDefault="008E2CE7" w:rsidP="008E2CE7">
      <w:pPr>
        <w:ind w:left="0" w:firstLine="0"/>
        <w:rPr>
          <w:b/>
          <w:bCs/>
          <w:sz w:val="22"/>
          <w:lang w:val="es-ES"/>
        </w:rPr>
      </w:pPr>
    </w:p>
    <w:p w:rsidR="008E2CE7" w:rsidRPr="002C75B8" w:rsidRDefault="008E2CE7" w:rsidP="008E2CE7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  <w:r w:rsidRPr="002C75B8">
        <w:rPr>
          <w:rFonts w:eastAsia="Times New Roman"/>
          <w:b/>
          <w:bCs/>
          <w:sz w:val="22"/>
          <w:lang w:val="en-GB" w:eastAsia="es-ES"/>
        </w:rPr>
        <w:t>CONTROL</w:t>
      </w:r>
    </w:p>
    <w:p w:rsidR="008E2CE7" w:rsidRPr="002C75B8" w:rsidRDefault="008E2CE7" w:rsidP="008E2CE7">
      <w:pPr>
        <w:ind w:left="0" w:firstLine="0"/>
        <w:rPr>
          <w:rFonts w:eastAsia="Times New Roman"/>
          <w:sz w:val="22"/>
          <w:lang w:val="en-GB" w:eastAsia="es-ES"/>
        </w:rPr>
      </w:pPr>
    </w:p>
    <w:p w:rsidR="008E2CE7" w:rsidRPr="002C75B8" w:rsidRDefault="008E2CE7" w:rsidP="008E2CE7">
      <w:pPr>
        <w:ind w:left="0" w:firstLine="0"/>
        <w:rPr>
          <w:rFonts w:eastAsia="Times New Roman"/>
          <w:sz w:val="22"/>
          <w:lang w:val="en-US" w:eastAsia="es-ES"/>
        </w:rPr>
      </w:pPr>
      <w:r w:rsidRPr="002C75B8">
        <w:rPr>
          <w:rFonts w:eastAsia="Times New Roman"/>
          <w:sz w:val="22"/>
          <w:lang w:val="en-US" w:eastAsia="es-ES"/>
        </w:rPr>
        <w:t xml:space="preserve">The notification of leishmaniasis is not mandatory in the country. </w:t>
      </w:r>
      <w:r>
        <w:rPr>
          <w:rFonts w:eastAsia="Times New Roman"/>
          <w:sz w:val="22"/>
          <w:lang w:val="en-US" w:eastAsia="es-ES"/>
        </w:rPr>
        <w:t xml:space="preserve">A </w:t>
      </w:r>
      <w:r w:rsidRPr="002C75B8">
        <w:rPr>
          <w:rFonts w:eastAsia="Times New Roman"/>
          <w:sz w:val="22"/>
          <w:lang w:val="en-US" w:eastAsia="es-ES"/>
        </w:rPr>
        <w:t xml:space="preserve">national </w:t>
      </w:r>
      <w:r>
        <w:rPr>
          <w:rFonts w:eastAsia="Times New Roman"/>
          <w:sz w:val="22"/>
          <w:lang w:val="en-US" w:eastAsia="es-ES"/>
        </w:rPr>
        <w:t>l</w:t>
      </w:r>
      <w:r w:rsidRPr="002C75B8">
        <w:rPr>
          <w:rFonts w:eastAsia="Times New Roman"/>
          <w:sz w:val="22"/>
          <w:lang w:val="en-US" w:eastAsia="es-ES"/>
        </w:rPr>
        <w:t>eishmaniasis control program</w:t>
      </w:r>
      <w:r>
        <w:rPr>
          <w:rFonts w:eastAsia="Times New Roman"/>
          <w:sz w:val="22"/>
          <w:lang w:val="en-US" w:eastAsia="es-ES"/>
        </w:rPr>
        <w:t xml:space="preserve"> has been</w:t>
      </w:r>
      <w:r w:rsidRPr="002C75B8">
        <w:rPr>
          <w:rFonts w:eastAsia="Times New Roman"/>
          <w:sz w:val="22"/>
          <w:lang w:val="en-US" w:eastAsia="es-ES"/>
        </w:rPr>
        <w:t xml:space="preserve"> </w:t>
      </w:r>
      <w:r>
        <w:rPr>
          <w:rFonts w:eastAsia="Times New Roman"/>
          <w:sz w:val="22"/>
          <w:lang w:val="en-US" w:eastAsia="es-ES"/>
        </w:rPr>
        <w:t xml:space="preserve">in place </w:t>
      </w:r>
      <w:r w:rsidRPr="002C75B8">
        <w:rPr>
          <w:rFonts w:eastAsia="Times New Roman"/>
          <w:sz w:val="22"/>
          <w:lang w:val="en-US" w:eastAsia="es-ES"/>
        </w:rPr>
        <w:t xml:space="preserve">since 1999 and recently, </w:t>
      </w:r>
      <w:r>
        <w:rPr>
          <w:rFonts w:eastAsia="Times New Roman"/>
          <w:sz w:val="22"/>
          <w:lang w:val="en-US" w:eastAsia="es-ES"/>
        </w:rPr>
        <w:t xml:space="preserve">the Ministry of Health included </w:t>
      </w:r>
      <w:r w:rsidRPr="002C75B8">
        <w:rPr>
          <w:rFonts w:eastAsia="Times New Roman"/>
          <w:sz w:val="22"/>
          <w:lang w:val="en-US" w:eastAsia="es-ES"/>
        </w:rPr>
        <w:t>leishmaniasis in the NTDs</w:t>
      </w:r>
      <w:r>
        <w:rPr>
          <w:rFonts w:eastAsia="Times New Roman"/>
          <w:sz w:val="22"/>
          <w:lang w:val="en-US" w:eastAsia="es-ES"/>
        </w:rPr>
        <w:t>'</w:t>
      </w:r>
      <w:r w:rsidRPr="002C75B8">
        <w:rPr>
          <w:rFonts w:eastAsia="Times New Roman"/>
          <w:sz w:val="22"/>
          <w:lang w:val="en-US" w:eastAsia="es-ES"/>
        </w:rPr>
        <w:t xml:space="preserve"> strategy, </w:t>
      </w:r>
      <w:r>
        <w:rPr>
          <w:rFonts w:eastAsia="Times New Roman"/>
          <w:sz w:val="22"/>
          <w:lang w:val="en-US" w:eastAsia="es-ES"/>
        </w:rPr>
        <w:t xml:space="preserve">with the </w:t>
      </w:r>
      <w:r w:rsidRPr="002C75B8">
        <w:rPr>
          <w:rFonts w:eastAsia="Times New Roman"/>
          <w:sz w:val="22"/>
          <w:lang w:val="en-US" w:eastAsia="es-ES"/>
        </w:rPr>
        <w:t xml:space="preserve">National Master Plan for Neglected Tropical Diseases Program, 2011-2015. There is no leishmaniasis vector control program. </w:t>
      </w:r>
      <w:proofErr w:type="spellStart"/>
      <w:r w:rsidRPr="002C75B8">
        <w:rPr>
          <w:rFonts w:eastAsia="Times New Roman"/>
          <w:sz w:val="22"/>
          <w:lang w:val="en-US" w:eastAsia="es-ES"/>
        </w:rPr>
        <w:t>Bednet</w:t>
      </w:r>
      <w:proofErr w:type="spellEnd"/>
      <w:r w:rsidRPr="002C75B8">
        <w:rPr>
          <w:rFonts w:eastAsia="Times New Roman"/>
          <w:sz w:val="22"/>
          <w:lang w:val="en-US" w:eastAsia="es-ES"/>
        </w:rPr>
        <w:t xml:space="preserve"> distribution is done in the context of malaria control. </w:t>
      </w:r>
    </w:p>
    <w:p w:rsidR="008E2CE7" w:rsidRPr="002C75B8" w:rsidRDefault="008E2CE7" w:rsidP="008E2CE7">
      <w:pPr>
        <w:spacing w:line="360" w:lineRule="auto"/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lastRenderedPageBreak/>
        <w:t xml:space="preserve">DIAGNOSIS, TREATMENT &amp; OUTCOMES </w:t>
      </w:r>
    </w:p>
    <w:p w:rsidR="008E2CE7" w:rsidRPr="002C75B8" w:rsidRDefault="008E2CE7" w:rsidP="008E2CE7">
      <w:pPr>
        <w:ind w:left="0" w:firstLine="0"/>
        <w:rPr>
          <w:sz w:val="22"/>
          <w:lang w:val="en-US"/>
        </w:rPr>
      </w:pPr>
      <w:r w:rsidRPr="002C75B8">
        <w:rPr>
          <w:b/>
          <w:bCs/>
          <w:sz w:val="22"/>
          <w:lang w:val="en-US"/>
        </w:rPr>
        <w:t>Diagnosis:</w:t>
      </w:r>
    </w:p>
    <w:p w:rsidR="008E2CE7" w:rsidRDefault="008E2CE7" w:rsidP="008E2CE7">
      <w:pPr>
        <w:ind w:left="0" w:firstLine="0"/>
        <w:rPr>
          <w:sz w:val="22"/>
          <w:lang w:val="en-US"/>
        </w:rPr>
      </w:pPr>
      <w:r w:rsidRPr="00562689">
        <w:rPr>
          <w:bCs/>
          <w:sz w:val="22"/>
          <w:lang w:val="en-US"/>
        </w:rPr>
        <w:t>VL</w:t>
      </w:r>
      <w:r w:rsidRPr="00562689">
        <w:rPr>
          <w:sz w:val="22"/>
          <w:lang w:val="en-US"/>
        </w:rPr>
        <w:t xml:space="preserve">: confirmation by </w:t>
      </w:r>
      <w:proofErr w:type="spellStart"/>
      <w:r w:rsidRPr="00562689">
        <w:rPr>
          <w:sz w:val="22"/>
          <w:lang w:val="en-US"/>
        </w:rPr>
        <w:t>rK</w:t>
      </w:r>
      <w:proofErr w:type="spellEnd"/>
      <w:r w:rsidRPr="00562689">
        <w:rPr>
          <w:sz w:val="22"/>
          <w:lang w:val="en-US"/>
        </w:rPr>
        <w:t xml:space="preserve"> 39 antigen-based rapid test and, if needed, by microscopic examination</w:t>
      </w:r>
      <w:r w:rsidRPr="002C75B8">
        <w:rPr>
          <w:sz w:val="22"/>
          <w:lang w:val="en-US"/>
        </w:rPr>
        <w:t xml:space="preserve"> of spleen aspirate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  </w:t>
      </w:r>
    </w:p>
    <w:p w:rsidR="008E2CE7" w:rsidRPr="002C75B8" w:rsidRDefault="008E2CE7" w:rsidP="008E2CE7">
      <w:pPr>
        <w:ind w:left="0" w:firstLine="0"/>
        <w:rPr>
          <w:sz w:val="22"/>
          <w:lang w:val="en-US"/>
        </w:rPr>
      </w:pPr>
    </w:p>
    <w:p w:rsidR="008E2CE7" w:rsidRPr="002C75B8" w:rsidRDefault="008E2CE7" w:rsidP="008E2CE7">
      <w:pPr>
        <w:ind w:left="0" w:firstLine="0"/>
        <w:rPr>
          <w:sz w:val="22"/>
          <w:lang w:val="en-US"/>
        </w:rPr>
      </w:pPr>
      <w:r w:rsidRPr="002C75B8">
        <w:rPr>
          <w:b/>
          <w:bCs/>
          <w:sz w:val="22"/>
          <w:lang w:val="en-US"/>
        </w:rPr>
        <w:t xml:space="preserve">Treatment: </w:t>
      </w:r>
    </w:p>
    <w:p w:rsidR="008E2CE7" w:rsidRPr="002C75B8" w:rsidRDefault="008E2CE7" w:rsidP="008E2CE7">
      <w:pPr>
        <w:ind w:left="0" w:firstLine="0"/>
        <w:rPr>
          <w:sz w:val="22"/>
          <w:lang w:val="en-US"/>
        </w:rPr>
      </w:pPr>
      <w:r w:rsidRPr="00562689">
        <w:rPr>
          <w:bCs/>
          <w:sz w:val="22"/>
          <w:lang w:val="en-US"/>
        </w:rPr>
        <w:t>VL:</w:t>
      </w:r>
      <w:r w:rsidRPr="00562689">
        <w:rPr>
          <w:sz w:val="22"/>
          <w:lang w:val="en-US"/>
        </w:rPr>
        <w:t xml:space="preserve"> antimonials, 20 mg </w:t>
      </w:r>
      <w:proofErr w:type="spellStart"/>
      <w:r w:rsidRPr="00562689">
        <w:rPr>
          <w:sz w:val="22"/>
          <w:lang w:val="en-US"/>
        </w:rPr>
        <w:t>Sb</w:t>
      </w:r>
      <w:r w:rsidRPr="00562689">
        <w:rPr>
          <w:sz w:val="22"/>
          <w:vertAlign w:val="superscript"/>
          <w:lang w:val="en-US"/>
        </w:rPr>
        <w:t>v</w:t>
      </w:r>
      <w:proofErr w:type="spellEnd"/>
      <w:r w:rsidRPr="00562689">
        <w:rPr>
          <w:sz w:val="22"/>
          <w:lang w:val="en-US"/>
        </w:rPr>
        <w:t>/kg/day for 30 days. Cure rate is 100% with 0.46% of PKDL and</w:t>
      </w:r>
      <w:r w:rsidRPr="002C75B8">
        <w:rPr>
          <w:sz w:val="22"/>
          <w:lang w:val="en-US"/>
        </w:rPr>
        <w:t xml:space="preserve"> 2% severe adverse effects. Overall case fatality rate was 1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>4%. Second line treatment is with liposomal amphotericin B, 3 mg/kg</w:t>
      </w:r>
      <w:r>
        <w:rPr>
          <w:sz w:val="22"/>
          <w:lang w:val="en-US"/>
        </w:rPr>
        <w:t>/day</w:t>
      </w:r>
      <w:r w:rsidRPr="002C75B8">
        <w:rPr>
          <w:sz w:val="22"/>
          <w:lang w:val="en-US"/>
        </w:rPr>
        <w:t xml:space="preserve"> for 6 days. </w:t>
      </w:r>
    </w:p>
    <w:p w:rsidR="008E2CE7" w:rsidRPr="002C75B8" w:rsidRDefault="008E2CE7" w:rsidP="008E2CE7">
      <w:pPr>
        <w:ind w:left="0" w:firstLine="0"/>
        <w:rPr>
          <w:sz w:val="22"/>
          <w:lang w:val="en-US"/>
        </w:rPr>
      </w:pPr>
    </w:p>
    <w:p w:rsidR="008E2CE7" w:rsidRPr="002C75B8" w:rsidRDefault="008E2CE7" w:rsidP="008E2CE7">
      <w:pPr>
        <w:ind w:left="0" w:firstLine="0"/>
        <w:rPr>
          <w:sz w:val="22"/>
          <w:lang w:val="en-GB"/>
        </w:rPr>
      </w:pPr>
    </w:p>
    <w:p w:rsidR="008E2CE7" w:rsidRPr="00B37375" w:rsidRDefault="008E2CE7" w:rsidP="008E2CE7">
      <w:pPr>
        <w:spacing w:line="360" w:lineRule="auto"/>
        <w:ind w:left="0" w:firstLine="0"/>
        <w:rPr>
          <w:sz w:val="22"/>
          <w:lang w:val="en-GB"/>
        </w:rPr>
      </w:pPr>
      <w:r w:rsidRPr="002C75B8">
        <w:rPr>
          <w:b/>
          <w:bCs/>
          <w:sz w:val="22"/>
          <w:lang w:val="en-US"/>
        </w:rPr>
        <w:t xml:space="preserve">ACCESS TO CARE </w:t>
      </w:r>
    </w:p>
    <w:p w:rsidR="008E2CE7" w:rsidRPr="002C75B8" w:rsidRDefault="008E2CE7" w:rsidP="008E2CE7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Care for leishmaniasis is provided for free. There is only one hospital in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US"/>
            </w:rPr>
            <w:t>Uganda</w:t>
          </w:r>
        </w:smartTag>
      </w:smartTag>
      <w:r w:rsidRPr="002C75B8">
        <w:rPr>
          <w:sz w:val="22"/>
          <w:lang w:val="en-US"/>
        </w:rPr>
        <w:t xml:space="preserve"> where VL can be diagnosed and treated (</w:t>
      </w:r>
      <w:proofErr w:type="spellStart"/>
      <w:r w:rsidRPr="002C75B8">
        <w:rPr>
          <w:sz w:val="22"/>
          <w:lang w:val="en-US"/>
        </w:rPr>
        <w:t>Amudat</w:t>
      </w:r>
      <w:proofErr w:type="spellEnd"/>
      <w:r w:rsidRPr="002C75B8">
        <w:rPr>
          <w:sz w:val="22"/>
          <w:lang w:val="en-US"/>
        </w:rPr>
        <w:t xml:space="preserve"> hospital). Drugs for this hospital are provided by </w:t>
      </w:r>
      <w:proofErr w:type="spellStart"/>
      <w:r w:rsidRPr="002C75B8">
        <w:rPr>
          <w:sz w:val="22"/>
          <w:lang w:val="en-US"/>
        </w:rPr>
        <w:t>DNDi</w:t>
      </w:r>
      <w:proofErr w:type="spellEnd"/>
      <w:r w:rsidRPr="002C75B8">
        <w:rPr>
          <w:sz w:val="22"/>
          <w:lang w:val="en-US"/>
        </w:rPr>
        <w:t xml:space="preserve"> (Drugs for Neglected Diseases initiative)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as a donation in the context of a clinical study</w:t>
      </w:r>
      <w:r>
        <w:rPr>
          <w:sz w:val="22"/>
          <w:lang w:val="en-US"/>
        </w:rPr>
        <w:t xml:space="preserve"> </w:t>
      </w:r>
      <w:r w:rsidRPr="002C75B8">
        <w:rPr>
          <w:sz w:val="22"/>
          <w:lang w:val="en-US"/>
        </w:rPr>
        <w:t>by MSF</w:t>
      </w:r>
      <w:r>
        <w:rPr>
          <w:sz w:val="22"/>
          <w:lang w:val="en-US"/>
        </w:rPr>
        <w:t>, held</w:t>
      </w:r>
      <w:r w:rsidRPr="002C75B8">
        <w:rPr>
          <w:sz w:val="22"/>
          <w:lang w:val="en-US"/>
        </w:rPr>
        <w:t xml:space="preserve"> </w:t>
      </w:r>
      <w:r>
        <w:rPr>
          <w:sz w:val="22"/>
          <w:lang w:val="en-US"/>
        </w:rPr>
        <w:t>until</w:t>
      </w:r>
      <w:r w:rsidRPr="002C75B8">
        <w:rPr>
          <w:sz w:val="22"/>
          <w:lang w:val="en-US"/>
        </w:rPr>
        <w:t xml:space="preserve"> August </w:t>
      </w:r>
      <w:r>
        <w:rPr>
          <w:sz w:val="22"/>
          <w:lang w:val="en-US"/>
        </w:rPr>
        <w:t xml:space="preserve">of </w:t>
      </w:r>
      <w:r w:rsidRPr="002C75B8">
        <w:rPr>
          <w:sz w:val="22"/>
          <w:lang w:val="en-US"/>
        </w:rPr>
        <w:t xml:space="preserve">2007. The Ministry of Health does not provide drugs for leishmaniasis, so access to drugs is not assured </w:t>
      </w:r>
      <w:r>
        <w:rPr>
          <w:sz w:val="22"/>
          <w:lang w:val="en-US"/>
        </w:rPr>
        <w:t>when</w:t>
      </w:r>
      <w:r w:rsidRPr="002C75B8">
        <w:rPr>
          <w:sz w:val="22"/>
          <w:lang w:val="en-US"/>
        </w:rPr>
        <w:t xml:space="preserve"> clinical studies are finished. Access to patients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in order to perform active case finding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is difficult; the population is nomadic and lives in very remote areas. All patients are found by passive case detection and it is suspected that not all have access to treatment.</w:t>
      </w:r>
    </w:p>
    <w:p w:rsidR="008E2CE7" w:rsidRPr="002C75B8" w:rsidRDefault="008E2CE7" w:rsidP="008E2CE7">
      <w:pPr>
        <w:ind w:left="0" w:firstLine="0"/>
        <w:rPr>
          <w:sz w:val="22"/>
          <w:lang w:val="en-US"/>
        </w:rPr>
      </w:pPr>
    </w:p>
    <w:p w:rsidR="008E2CE7" w:rsidRPr="002C75B8" w:rsidRDefault="008E2CE7" w:rsidP="008E2CE7">
      <w:pPr>
        <w:ind w:left="0" w:firstLine="0"/>
        <w:rPr>
          <w:sz w:val="22"/>
          <w:lang w:val="en-GB"/>
        </w:rPr>
      </w:pPr>
    </w:p>
    <w:p w:rsidR="008E2CE7" w:rsidRDefault="008E2CE7" w:rsidP="008E2CE7">
      <w:pPr>
        <w:ind w:left="0" w:firstLine="0"/>
        <w:rPr>
          <w:sz w:val="22"/>
          <w:lang w:val="en-GB"/>
        </w:rPr>
      </w:pPr>
      <w:r w:rsidRPr="002C75B8">
        <w:rPr>
          <w:b/>
          <w:sz w:val="22"/>
          <w:lang w:val="en-GB"/>
        </w:rPr>
        <w:t>ACCESS TO DRUGS</w:t>
      </w:r>
      <w:r w:rsidRPr="002C75B8">
        <w:rPr>
          <w:sz w:val="22"/>
          <w:lang w:val="en-GB"/>
        </w:rPr>
        <w:t xml:space="preserve"> </w:t>
      </w:r>
    </w:p>
    <w:p w:rsidR="008E2CE7" w:rsidRDefault="008E2CE7" w:rsidP="008E2CE7">
      <w:pPr>
        <w:ind w:left="0" w:firstLine="0"/>
        <w:rPr>
          <w:sz w:val="22"/>
          <w:lang w:val="en-GB"/>
        </w:rPr>
      </w:pPr>
    </w:p>
    <w:p w:rsidR="008E2CE7" w:rsidRPr="002C75B8" w:rsidRDefault="008E2CE7" w:rsidP="008E2CE7">
      <w:pPr>
        <w:ind w:left="0" w:firstLine="0"/>
        <w:rPr>
          <w:sz w:val="22"/>
          <w:lang w:val="en-US"/>
        </w:rPr>
      </w:pPr>
      <w:r w:rsidRPr="002C75B8">
        <w:rPr>
          <w:sz w:val="22"/>
          <w:lang w:val="en-GB"/>
        </w:rPr>
        <w:t xml:space="preserve">Sodium stibogluconate and </w:t>
      </w:r>
      <w:proofErr w:type="spellStart"/>
      <w:r w:rsidRPr="002C75B8">
        <w:rPr>
          <w:sz w:val="22"/>
          <w:lang w:val="en-GB"/>
        </w:rPr>
        <w:t>pentamidine</w:t>
      </w:r>
      <w:proofErr w:type="spellEnd"/>
      <w:r w:rsidRPr="002C75B8">
        <w:rPr>
          <w:sz w:val="22"/>
          <w:lang w:val="en-GB"/>
        </w:rPr>
        <w:t xml:space="preserve"> are included in the National Essential Drug List for VL</w:t>
      </w:r>
      <w:r>
        <w:rPr>
          <w:sz w:val="22"/>
          <w:lang w:val="en-GB"/>
        </w:rPr>
        <w:t>.</w:t>
      </w:r>
      <w:r w:rsidRPr="002C75B8">
        <w:rPr>
          <w:sz w:val="22"/>
          <w:lang w:val="en-GB"/>
        </w:rPr>
        <w:t xml:space="preserve"> Amphotericin B </w:t>
      </w:r>
      <w:r>
        <w:rPr>
          <w:sz w:val="22"/>
          <w:lang w:val="en-GB"/>
        </w:rPr>
        <w:t xml:space="preserve">is </w:t>
      </w:r>
      <w:r w:rsidRPr="002C75B8">
        <w:rPr>
          <w:sz w:val="22"/>
          <w:lang w:val="en-GB"/>
        </w:rPr>
        <w:t xml:space="preserve">listed for fungal infections. Sodium stibogluconate (Pentostam, GSK, and generic SSG, Albert David, </w:t>
      </w:r>
      <w:smartTag w:uri="urn:schemas-microsoft-com:office:smarttags" w:element="country-region">
        <w:r w:rsidRPr="002C75B8">
          <w:rPr>
            <w:sz w:val="22"/>
            <w:lang w:val="en-GB"/>
          </w:rPr>
          <w:t>India</w:t>
        </w:r>
      </w:smartTag>
      <w:r w:rsidRPr="002C75B8">
        <w:rPr>
          <w:sz w:val="22"/>
          <w:lang w:val="en-GB"/>
        </w:rPr>
        <w:t xml:space="preserve">) are registered in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sz w:val="22"/>
              <w:lang w:val="en-GB"/>
            </w:rPr>
            <w:t>Uganda</w:t>
          </w:r>
        </w:smartTag>
      </w:smartTag>
      <w:r w:rsidRPr="002C75B8">
        <w:rPr>
          <w:sz w:val="22"/>
          <w:lang w:val="en-GB"/>
        </w:rPr>
        <w:t>. Generic SSG is available in private pharmacies. Liposomal amphotericin B is not registered.</w:t>
      </w:r>
      <w:r w:rsidRPr="002C75B8">
        <w:rPr>
          <w:sz w:val="22"/>
          <w:lang w:val="en-US"/>
        </w:rPr>
        <w:t xml:space="preserve"> </w:t>
      </w:r>
    </w:p>
    <w:p w:rsidR="008E2CE7" w:rsidRPr="002C75B8" w:rsidRDefault="008E2CE7" w:rsidP="008E2CE7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 xml:space="preserve"> </w:t>
      </w:r>
    </w:p>
    <w:p w:rsidR="008E2CE7" w:rsidRPr="002C75B8" w:rsidRDefault="008E2CE7" w:rsidP="008E2CE7">
      <w:pPr>
        <w:ind w:left="0" w:firstLine="0"/>
        <w:rPr>
          <w:sz w:val="22"/>
          <w:lang w:val="en-GB"/>
        </w:rPr>
      </w:pPr>
    </w:p>
    <w:p w:rsidR="008E2CE7" w:rsidRPr="002C75B8" w:rsidRDefault="008E2CE7" w:rsidP="008E2CE7">
      <w:pPr>
        <w:spacing w:line="360" w:lineRule="auto"/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SOURCES OF INFORMATION</w:t>
      </w:r>
    </w:p>
    <w:p w:rsidR="008E2CE7" w:rsidRPr="002D7A89" w:rsidRDefault="008E2CE7" w:rsidP="008E2CE7">
      <w:pPr>
        <w:numPr>
          <w:ilvl w:val="0"/>
          <w:numId w:val="5"/>
        </w:numPr>
        <w:contextualSpacing/>
        <w:textAlignment w:val="baseline"/>
        <w:rPr>
          <w:rFonts w:eastAsia="Times New Roman"/>
          <w:sz w:val="22"/>
          <w:lang w:val="en-US" w:eastAsia="es-ES"/>
        </w:rPr>
      </w:pPr>
      <w:r w:rsidRPr="002C75B8">
        <w:rPr>
          <w:rFonts w:eastAsia="+mn-ea"/>
          <w:color w:val="000000"/>
          <w:kern w:val="24"/>
          <w:sz w:val="22"/>
          <w:lang w:val="en-US" w:eastAsia="es-ES"/>
        </w:rPr>
        <w:t>Dr</w:t>
      </w:r>
      <w:r>
        <w:rPr>
          <w:rFonts w:eastAsia="+mn-ea"/>
          <w:color w:val="000000"/>
          <w:kern w:val="24"/>
          <w:sz w:val="22"/>
          <w:lang w:val="en-US" w:eastAsia="es-ES"/>
        </w:rPr>
        <w:t xml:space="preserve"> </w:t>
      </w:r>
      <w:proofErr w:type="spellStart"/>
      <w:r>
        <w:rPr>
          <w:rFonts w:eastAsia="+mn-ea"/>
          <w:color w:val="000000"/>
          <w:kern w:val="24"/>
          <w:sz w:val="22"/>
          <w:lang w:val="en-US" w:eastAsia="es-ES"/>
        </w:rPr>
        <w:t>Sagaki</w:t>
      </w:r>
      <w:proofErr w:type="spellEnd"/>
      <w:r>
        <w:rPr>
          <w:rFonts w:eastAsia="+mn-ea"/>
          <w:color w:val="000000"/>
          <w:kern w:val="24"/>
          <w:sz w:val="22"/>
          <w:lang w:val="en-US" w:eastAsia="es-ES"/>
        </w:rPr>
        <w:t xml:space="preserve"> Patrick,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eastAsia="+mn-ea"/>
              <w:color w:val="000000"/>
              <w:kern w:val="24"/>
              <w:sz w:val="22"/>
              <w:lang w:val="en-US" w:eastAsia="es-ES"/>
            </w:rPr>
            <w:t>Amudat</w:t>
          </w:r>
        </w:smartTag>
        <w:proofErr w:type="spellEnd"/>
        <w:r>
          <w:rPr>
            <w:rFonts w:eastAsia="+mn-ea"/>
            <w:color w:val="000000"/>
            <w:kern w:val="24"/>
            <w:sz w:val="22"/>
            <w:lang w:val="en-US" w:eastAsia="es-ES"/>
          </w:rPr>
          <w:t xml:space="preserve"> </w:t>
        </w:r>
        <w:smartTag w:uri="urn:schemas-microsoft-com:office:smarttags" w:element="PlaceType">
          <w:r>
            <w:rPr>
              <w:rFonts w:eastAsia="+mn-ea"/>
              <w:color w:val="000000"/>
              <w:kern w:val="24"/>
              <w:sz w:val="22"/>
              <w:lang w:val="en-US" w:eastAsia="es-ES"/>
            </w:rPr>
            <w:t>Hospital</w:t>
          </w:r>
        </w:smartTag>
      </w:smartTag>
      <w:r>
        <w:rPr>
          <w:rFonts w:eastAsia="+mn-ea"/>
          <w:color w:val="000000"/>
          <w:kern w:val="24"/>
          <w:sz w:val="22"/>
          <w:lang w:val="en-US" w:eastAsia="es-ES"/>
        </w:rPr>
        <w:t>.</w:t>
      </w:r>
    </w:p>
    <w:p w:rsidR="008E2CE7" w:rsidRPr="002D7A89" w:rsidRDefault="008E2CE7" w:rsidP="008E2CE7">
      <w:pPr>
        <w:numPr>
          <w:ilvl w:val="0"/>
          <w:numId w:val="5"/>
        </w:numPr>
        <w:contextualSpacing/>
        <w:textAlignment w:val="baseline"/>
        <w:rPr>
          <w:rFonts w:eastAsia="Times New Roman"/>
          <w:sz w:val="22"/>
          <w:lang w:val="en-US" w:eastAsia="es-ES"/>
        </w:rPr>
      </w:pPr>
      <w:r w:rsidRPr="002C75B8">
        <w:rPr>
          <w:rFonts w:eastAsia="+mn-ea"/>
          <w:color w:val="000000"/>
          <w:kern w:val="24"/>
          <w:sz w:val="22"/>
          <w:lang w:val="en-GB" w:eastAsia="es-ES"/>
        </w:rPr>
        <w:t xml:space="preserve">Dr </w:t>
      </w:r>
      <w:proofErr w:type="spellStart"/>
      <w:r w:rsidRPr="002C75B8">
        <w:rPr>
          <w:rFonts w:eastAsia="+mn-ea"/>
          <w:color w:val="000000"/>
          <w:kern w:val="24"/>
          <w:sz w:val="22"/>
          <w:lang w:val="en-GB" w:eastAsia="es-ES"/>
        </w:rPr>
        <w:t>Mbulamberi</w:t>
      </w:r>
      <w:proofErr w:type="spellEnd"/>
      <w:r w:rsidRPr="002C75B8">
        <w:rPr>
          <w:rFonts w:eastAsia="+mn-ea"/>
          <w:color w:val="000000"/>
          <w:kern w:val="24"/>
          <w:sz w:val="22"/>
          <w:lang w:val="en-GB" w:eastAsia="es-ES"/>
        </w:rPr>
        <w:t xml:space="preserve"> Dawson, Ministry of Health</w:t>
      </w:r>
      <w:r>
        <w:rPr>
          <w:rFonts w:eastAsia="+mn-ea"/>
          <w:color w:val="000000"/>
          <w:kern w:val="24"/>
          <w:sz w:val="22"/>
          <w:lang w:val="en-GB" w:eastAsia="es-ES"/>
        </w:rPr>
        <w:t>.</w:t>
      </w:r>
    </w:p>
    <w:p w:rsidR="008E2CE7" w:rsidRPr="002D7A89" w:rsidRDefault="008E2CE7" w:rsidP="008E2CE7">
      <w:pPr>
        <w:pStyle w:val="Sinespaciado"/>
        <w:numPr>
          <w:ilvl w:val="0"/>
          <w:numId w:val="5"/>
        </w:numPr>
        <w:rPr>
          <w:rFonts w:ascii="Arial" w:hAnsi="Arial" w:cs="Arial"/>
        </w:rPr>
      </w:pPr>
      <w:r w:rsidRPr="002D7A89">
        <w:rPr>
          <w:rFonts w:ascii="Arial" w:hAnsi="Arial" w:cs="Arial"/>
          <w:lang w:val="en-US"/>
        </w:rPr>
        <w:t xml:space="preserve">Dr Joseph </w:t>
      </w:r>
      <w:proofErr w:type="spellStart"/>
      <w:r w:rsidRPr="002D7A89">
        <w:rPr>
          <w:rFonts w:ascii="Arial" w:hAnsi="Arial" w:cs="Arial"/>
          <w:lang w:val="en-US"/>
        </w:rPr>
        <w:t>Olobo</w:t>
      </w:r>
      <w:proofErr w:type="spellEnd"/>
      <w:r w:rsidRPr="002D7A89">
        <w:rPr>
          <w:rFonts w:ascii="Arial" w:hAnsi="Arial" w:cs="Arial"/>
          <w:lang w:val="en-US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2D7A89">
            <w:rPr>
              <w:rFonts w:ascii="Arial" w:hAnsi="Arial" w:cs="Arial"/>
              <w:lang w:val="en-US"/>
            </w:rPr>
            <w:t>Makerere</w:t>
          </w:r>
          <w:proofErr w:type="spellEnd"/>
          <w:r w:rsidRPr="002D7A89">
            <w:rPr>
              <w:rFonts w:ascii="Arial" w:hAnsi="Arial" w:cs="Arial"/>
              <w:lang w:val="en-US"/>
            </w:rPr>
            <w:t xml:space="preserve"> University</w:t>
          </w:r>
        </w:smartTag>
        <w:r w:rsidRPr="002D7A89">
          <w:rPr>
            <w:rFonts w:ascii="Arial" w:hAnsi="Arial" w:cs="Arial"/>
            <w:lang w:val="en-US"/>
          </w:rPr>
          <w:t xml:space="preserve">, </w:t>
        </w:r>
        <w:smartTag w:uri="urn:schemas-microsoft-com:office:smarttags" w:element="country-region">
          <w:r w:rsidRPr="002D7A89">
            <w:rPr>
              <w:rFonts w:ascii="Arial" w:hAnsi="Arial" w:cs="Arial"/>
              <w:lang w:val="en-US"/>
            </w:rPr>
            <w:t>Uganda</w:t>
          </w:r>
        </w:smartTag>
      </w:smartTag>
      <w:r w:rsidRPr="002D7A89">
        <w:rPr>
          <w:rFonts w:ascii="Arial" w:hAnsi="Arial" w:cs="Arial"/>
          <w:lang w:val="en-US"/>
        </w:rPr>
        <w:t xml:space="preserve">. </w:t>
      </w:r>
      <w:r w:rsidRPr="002D7A89">
        <w:rPr>
          <w:rFonts w:ascii="Arial" w:hAnsi="Arial" w:cs="Arial"/>
          <w:i/>
          <w:iCs/>
          <w:lang w:val="en-GB"/>
        </w:rPr>
        <w:t xml:space="preserve">Consultative Meeting on </w:t>
      </w:r>
      <w:proofErr w:type="gramStart"/>
      <w:r w:rsidRPr="002D7A89">
        <w:rPr>
          <w:rFonts w:ascii="Arial" w:hAnsi="Arial" w:cs="Arial"/>
          <w:i/>
          <w:iCs/>
          <w:lang w:val="en-GB"/>
        </w:rPr>
        <w:t>The</w:t>
      </w:r>
      <w:proofErr w:type="gramEnd"/>
      <w:r w:rsidRPr="002D7A89">
        <w:rPr>
          <w:rFonts w:ascii="Arial" w:hAnsi="Arial" w:cs="Arial"/>
          <w:i/>
          <w:iCs/>
          <w:lang w:val="en-GB"/>
        </w:rPr>
        <w:t xml:space="preserve"> Control of Leishmaniasis in the African Region. </w:t>
      </w:r>
      <w:r w:rsidRPr="002D7A89">
        <w:rPr>
          <w:rFonts w:ascii="Arial" w:hAnsi="Arial" w:cs="Arial"/>
          <w:i/>
          <w:iCs/>
        </w:rPr>
        <w:t xml:space="preserve">WHO/AFRO Addis </w:t>
      </w:r>
      <w:proofErr w:type="spellStart"/>
      <w:r w:rsidRPr="002D7A89">
        <w:rPr>
          <w:rFonts w:ascii="Arial" w:hAnsi="Arial" w:cs="Arial"/>
          <w:i/>
          <w:iCs/>
        </w:rPr>
        <w:t>Ababa</w:t>
      </w:r>
      <w:proofErr w:type="spellEnd"/>
      <w:r w:rsidRPr="002D7A89">
        <w:rPr>
          <w:rFonts w:ascii="Arial" w:hAnsi="Arial" w:cs="Arial"/>
          <w:i/>
          <w:iCs/>
        </w:rPr>
        <w:t xml:space="preserve">, 23-25 </w:t>
      </w:r>
      <w:proofErr w:type="spellStart"/>
      <w:r w:rsidRPr="002D7A89">
        <w:rPr>
          <w:rFonts w:ascii="Arial" w:hAnsi="Arial" w:cs="Arial"/>
          <w:i/>
          <w:iCs/>
        </w:rPr>
        <w:t>Feb</w:t>
      </w:r>
      <w:proofErr w:type="spellEnd"/>
      <w:r w:rsidRPr="002D7A89">
        <w:rPr>
          <w:rFonts w:ascii="Arial" w:hAnsi="Arial" w:cs="Arial"/>
          <w:i/>
          <w:iCs/>
        </w:rPr>
        <w:t xml:space="preserve"> 2010</w:t>
      </w:r>
      <w:r>
        <w:rPr>
          <w:rFonts w:ascii="Arial" w:hAnsi="Arial" w:cs="Arial"/>
          <w:i/>
          <w:iCs/>
        </w:rPr>
        <w:t>.</w:t>
      </w:r>
    </w:p>
    <w:p w:rsidR="008E2CE7" w:rsidRPr="002C75B8" w:rsidRDefault="008E2CE7" w:rsidP="008E2CE7">
      <w:pPr>
        <w:ind w:left="0" w:firstLine="0"/>
        <w:contextualSpacing/>
        <w:textAlignment w:val="baseline"/>
        <w:rPr>
          <w:rFonts w:eastAsia="Times New Roman"/>
          <w:sz w:val="22"/>
          <w:lang w:val="en-US" w:eastAsia="es-ES"/>
        </w:rPr>
      </w:pPr>
      <w:r w:rsidRPr="002C75B8">
        <w:rPr>
          <w:rFonts w:eastAsia="+mn-ea"/>
          <w:color w:val="000000"/>
          <w:kern w:val="24"/>
          <w:sz w:val="22"/>
          <w:lang w:val="en-US" w:eastAsia="es-ES"/>
        </w:rPr>
        <w:t xml:space="preserve"> </w:t>
      </w:r>
    </w:p>
    <w:p w:rsidR="008E2CE7" w:rsidRPr="002C75B8" w:rsidRDefault="008E2CE7" w:rsidP="008E2CE7">
      <w:pPr>
        <w:ind w:left="0" w:firstLine="0"/>
        <w:rPr>
          <w:color w:val="E36C0A"/>
          <w:sz w:val="22"/>
          <w:lang w:val="en-US"/>
        </w:rPr>
      </w:pPr>
    </w:p>
    <w:p w:rsidR="008E2CE7" w:rsidRPr="00C44334" w:rsidRDefault="008E2CE7" w:rsidP="008E2CE7">
      <w:pPr>
        <w:autoSpaceDE w:val="0"/>
        <w:autoSpaceDN w:val="0"/>
        <w:adjustRightInd w:val="0"/>
        <w:ind w:left="0" w:firstLine="0"/>
        <w:rPr>
          <w:rFonts w:eastAsia="Times New Roman"/>
          <w:sz w:val="22"/>
          <w:lang w:val="en-US" w:eastAsia="es-ES"/>
        </w:rPr>
      </w:pPr>
      <w:r w:rsidRPr="002D7A89">
        <w:rPr>
          <w:rFonts w:eastAsia="Times New Roman"/>
          <w:sz w:val="22"/>
          <w:lang w:val="en-US" w:eastAsia="es-ES"/>
        </w:rPr>
        <w:t xml:space="preserve">1. Guerin PJ, </w:t>
      </w:r>
      <w:proofErr w:type="spellStart"/>
      <w:r w:rsidRPr="002D7A89">
        <w:rPr>
          <w:rFonts w:eastAsia="Times New Roman"/>
          <w:sz w:val="22"/>
          <w:lang w:val="en-US" w:eastAsia="es-ES"/>
        </w:rPr>
        <w:t>Olliaro</w:t>
      </w:r>
      <w:proofErr w:type="spellEnd"/>
      <w:r w:rsidRPr="002D7A89">
        <w:rPr>
          <w:rFonts w:eastAsia="Times New Roman"/>
          <w:sz w:val="22"/>
          <w:lang w:val="en-US" w:eastAsia="es-ES"/>
        </w:rPr>
        <w:t xml:space="preserve"> P, Sundar S</w:t>
      </w:r>
      <w:r>
        <w:rPr>
          <w:rFonts w:eastAsia="Times New Roman"/>
          <w:sz w:val="22"/>
          <w:lang w:val="en-US" w:eastAsia="es-ES"/>
        </w:rPr>
        <w:t>,</w:t>
      </w:r>
      <w:r w:rsidRPr="002D7A89">
        <w:rPr>
          <w:rFonts w:eastAsia="Times New Roman"/>
          <w:sz w:val="22"/>
          <w:lang w:val="en-US" w:eastAsia="es-ES"/>
        </w:rPr>
        <w:t xml:space="preserve"> et al </w:t>
      </w:r>
      <w:r w:rsidRPr="00C44334">
        <w:rPr>
          <w:rFonts w:eastAsia="Times New Roman"/>
          <w:sz w:val="22"/>
          <w:lang w:val="en-US" w:eastAsia="es-ES"/>
        </w:rPr>
        <w:t>(2002) Visceral leishmaniasis: current status of control, diagnosis, and treatment, and a proposed research and development agenda. Lancet Infectious Diseases 2, 494–501.</w:t>
      </w:r>
    </w:p>
    <w:p w:rsidR="008E2CE7" w:rsidRPr="00C44334" w:rsidRDefault="008E2CE7" w:rsidP="008E2CE7">
      <w:pPr>
        <w:autoSpaceDE w:val="0"/>
        <w:autoSpaceDN w:val="0"/>
        <w:adjustRightInd w:val="0"/>
        <w:ind w:left="0" w:firstLine="0"/>
        <w:rPr>
          <w:rFonts w:eastAsia="Times New Roman"/>
          <w:sz w:val="22"/>
          <w:lang w:val="en-US" w:eastAsia="es-ES"/>
        </w:rPr>
      </w:pPr>
    </w:p>
    <w:p w:rsidR="008E2CE7" w:rsidRPr="00C44334" w:rsidRDefault="008E2CE7" w:rsidP="008E2CE7">
      <w:pPr>
        <w:ind w:left="0" w:firstLine="0"/>
        <w:contextualSpacing/>
        <w:textAlignment w:val="baseline"/>
        <w:rPr>
          <w:rFonts w:eastAsia="+mn-ea"/>
          <w:kern w:val="24"/>
          <w:sz w:val="22"/>
          <w:lang w:val="en-US" w:eastAsia="es-ES"/>
        </w:rPr>
      </w:pPr>
      <w:r w:rsidRPr="00C44334">
        <w:rPr>
          <w:rFonts w:eastAsia="Times New Roman"/>
          <w:sz w:val="22"/>
          <w:lang w:val="en-US" w:eastAsia="es-ES"/>
        </w:rPr>
        <w:t xml:space="preserve">2. </w:t>
      </w:r>
      <w:proofErr w:type="spellStart"/>
      <w:r w:rsidRPr="00C44334">
        <w:rPr>
          <w:rFonts w:eastAsia="Times New Roman"/>
          <w:sz w:val="22"/>
          <w:lang w:val="en-US" w:eastAsia="es-ES"/>
        </w:rPr>
        <w:t>Kolaczinski</w:t>
      </w:r>
      <w:proofErr w:type="spellEnd"/>
      <w:r w:rsidRPr="00C44334">
        <w:rPr>
          <w:rFonts w:eastAsia="Times New Roman"/>
          <w:sz w:val="22"/>
          <w:lang w:val="en-US" w:eastAsia="es-ES"/>
        </w:rPr>
        <w:t xml:space="preserve"> JH, </w:t>
      </w:r>
      <w:proofErr w:type="spellStart"/>
      <w:r w:rsidRPr="00C44334">
        <w:rPr>
          <w:rFonts w:eastAsia="Times New Roman"/>
          <w:sz w:val="22"/>
          <w:lang w:val="en-US" w:eastAsia="es-ES"/>
        </w:rPr>
        <w:t>Reithinger</w:t>
      </w:r>
      <w:proofErr w:type="spellEnd"/>
      <w:r w:rsidRPr="00C44334">
        <w:rPr>
          <w:rFonts w:eastAsia="Times New Roman"/>
          <w:sz w:val="22"/>
          <w:lang w:val="en-US" w:eastAsia="es-ES"/>
        </w:rPr>
        <w:t xml:space="preserve"> R</w:t>
      </w:r>
      <w:r>
        <w:rPr>
          <w:rFonts w:eastAsia="Times New Roman"/>
          <w:sz w:val="22"/>
          <w:lang w:val="en-US" w:eastAsia="es-ES"/>
        </w:rPr>
        <w:t xml:space="preserve">, </w:t>
      </w:r>
      <w:proofErr w:type="spellStart"/>
      <w:r>
        <w:rPr>
          <w:rFonts w:eastAsia="Times New Roman"/>
          <w:sz w:val="22"/>
          <w:lang w:val="en-US" w:eastAsia="es-ES"/>
        </w:rPr>
        <w:t>Worku</w:t>
      </w:r>
      <w:proofErr w:type="spellEnd"/>
      <w:r>
        <w:rPr>
          <w:rFonts w:eastAsia="Times New Roman"/>
          <w:sz w:val="22"/>
          <w:lang w:val="en-US" w:eastAsia="es-ES"/>
        </w:rPr>
        <w:t xml:space="preserve"> D</w:t>
      </w:r>
      <w:r w:rsidRPr="00C44334">
        <w:rPr>
          <w:rFonts w:eastAsia="Times New Roman"/>
          <w:sz w:val="22"/>
          <w:lang w:val="en-US" w:eastAsia="es-ES"/>
        </w:rPr>
        <w:t xml:space="preserve">T, </w:t>
      </w:r>
      <w:proofErr w:type="spellStart"/>
      <w:r w:rsidRPr="00C44334">
        <w:rPr>
          <w:rFonts w:eastAsia="Times New Roman"/>
          <w:sz w:val="22"/>
          <w:lang w:val="en-US" w:eastAsia="es-ES"/>
        </w:rPr>
        <w:t>Ocheng</w:t>
      </w:r>
      <w:proofErr w:type="spellEnd"/>
      <w:r w:rsidRPr="00C44334">
        <w:rPr>
          <w:rFonts w:eastAsia="Times New Roman"/>
          <w:sz w:val="22"/>
          <w:lang w:val="en-US" w:eastAsia="es-ES"/>
        </w:rPr>
        <w:t xml:space="preserve"> A, </w:t>
      </w:r>
      <w:proofErr w:type="spellStart"/>
      <w:r w:rsidRPr="00C44334">
        <w:rPr>
          <w:rFonts w:eastAsia="Times New Roman"/>
          <w:sz w:val="22"/>
          <w:lang w:val="en-US" w:eastAsia="es-ES"/>
        </w:rPr>
        <w:t>Kasimiro</w:t>
      </w:r>
      <w:proofErr w:type="spellEnd"/>
      <w:r w:rsidRPr="00C44334">
        <w:rPr>
          <w:rFonts w:eastAsia="Times New Roman"/>
          <w:sz w:val="22"/>
          <w:lang w:val="en-US" w:eastAsia="es-ES"/>
        </w:rPr>
        <w:t xml:space="preserve"> J</w:t>
      </w:r>
      <w:r>
        <w:rPr>
          <w:rFonts w:eastAsia="Times New Roman"/>
          <w:sz w:val="22"/>
          <w:lang w:val="en-US" w:eastAsia="es-ES"/>
        </w:rPr>
        <w:t xml:space="preserve"> et al (2008)</w:t>
      </w:r>
      <w:r w:rsidRPr="00C44334">
        <w:rPr>
          <w:rFonts w:eastAsia="Times New Roman"/>
          <w:bCs/>
          <w:sz w:val="22"/>
          <w:lang w:val="en-US" w:eastAsia="es-ES"/>
        </w:rPr>
        <w:t xml:space="preserve">. Risk factors of visceral leishmaniasis in East Africa: a case-control study in </w:t>
      </w:r>
      <w:proofErr w:type="spellStart"/>
      <w:r w:rsidRPr="00C44334">
        <w:rPr>
          <w:rFonts w:eastAsia="Times New Roman"/>
          <w:bCs/>
          <w:sz w:val="22"/>
          <w:lang w:val="en-US" w:eastAsia="es-ES"/>
        </w:rPr>
        <w:t>Pokot</w:t>
      </w:r>
      <w:proofErr w:type="spellEnd"/>
      <w:r w:rsidRPr="00C44334">
        <w:rPr>
          <w:rFonts w:eastAsia="Times New Roman"/>
          <w:bCs/>
          <w:sz w:val="22"/>
          <w:lang w:val="en-US" w:eastAsia="es-ES"/>
        </w:rPr>
        <w:t xml:space="preserve"> </w:t>
      </w:r>
      <w:smartTag w:uri="urn:schemas-microsoft-com:office:smarttags" w:element="PlaceType">
        <w:r w:rsidRPr="00C44334">
          <w:rPr>
            <w:rFonts w:eastAsia="Times New Roman"/>
            <w:bCs/>
            <w:sz w:val="22"/>
            <w:lang w:val="en-US" w:eastAsia="es-ES"/>
          </w:rPr>
          <w:t>territory</w:t>
        </w:r>
      </w:smartTag>
      <w:r w:rsidRPr="00C44334">
        <w:rPr>
          <w:rFonts w:eastAsia="Times New Roman"/>
          <w:bCs/>
          <w:sz w:val="22"/>
          <w:lang w:val="en-US" w:eastAsia="es-ES"/>
        </w:rPr>
        <w:t xml:space="preserve"> of </w:t>
      </w:r>
      <w:smartTag w:uri="urn:schemas-microsoft-com:office:smarttags" w:element="PlaceName">
        <w:r w:rsidRPr="00C44334">
          <w:rPr>
            <w:rFonts w:eastAsia="Times New Roman"/>
            <w:bCs/>
            <w:sz w:val="22"/>
            <w:lang w:val="en-US" w:eastAsia="es-ES"/>
          </w:rPr>
          <w:t>Kenya</w:t>
        </w:r>
      </w:smartTag>
      <w:r w:rsidRPr="00C44334">
        <w:rPr>
          <w:rFonts w:eastAsia="Times New Roman"/>
          <w:bCs/>
          <w:sz w:val="22"/>
          <w:lang w:val="en-US" w:eastAsia="es-ES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C44334">
            <w:rPr>
              <w:rFonts w:eastAsia="Times New Roman"/>
              <w:bCs/>
              <w:sz w:val="22"/>
              <w:lang w:val="en-US" w:eastAsia="es-ES"/>
            </w:rPr>
            <w:t>Uganda</w:t>
          </w:r>
        </w:smartTag>
      </w:smartTag>
      <w:r w:rsidRPr="00C44334">
        <w:rPr>
          <w:rFonts w:eastAsia="Times New Roman"/>
          <w:bCs/>
          <w:sz w:val="22"/>
          <w:lang w:val="en-US" w:eastAsia="es-ES"/>
        </w:rPr>
        <w:t>. International Journal of Epidemiology 37:344–352</w:t>
      </w:r>
      <w:r>
        <w:rPr>
          <w:rFonts w:eastAsia="Times New Roman"/>
          <w:bCs/>
          <w:sz w:val="22"/>
          <w:lang w:val="en-US" w:eastAsia="es-ES"/>
        </w:rPr>
        <w:t>.</w:t>
      </w:r>
      <w:r w:rsidRPr="00C44334">
        <w:rPr>
          <w:rFonts w:eastAsia="+mn-ea"/>
          <w:kern w:val="24"/>
          <w:sz w:val="22"/>
          <w:lang w:val="en-US" w:eastAsia="es-ES"/>
        </w:rPr>
        <w:t xml:space="preserve"> </w:t>
      </w:r>
    </w:p>
    <w:p w:rsidR="008E2CE7" w:rsidRDefault="008E2CE7" w:rsidP="008E2CE7">
      <w:pPr>
        <w:ind w:left="0" w:firstLine="0"/>
        <w:contextualSpacing/>
        <w:textAlignment w:val="baseline"/>
        <w:rPr>
          <w:rFonts w:eastAsia="+mn-ea"/>
          <w:color w:val="000000"/>
          <w:kern w:val="24"/>
          <w:sz w:val="22"/>
          <w:lang w:val="en-US" w:eastAsia="es-ES"/>
        </w:rPr>
      </w:pPr>
    </w:p>
    <w:p w:rsidR="002F7C1A" w:rsidRDefault="008E2CE7" w:rsidP="008E2CE7">
      <w:pPr>
        <w:shd w:val="clear" w:color="auto" w:fill="FFFFFF"/>
        <w:ind w:left="0" w:firstLine="0"/>
      </w:pPr>
      <w:r w:rsidRPr="00175C25">
        <w:rPr>
          <w:rFonts w:eastAsia="+mn-ea"/>
          <w:color w:val="000000"/>
          <w:kern w:val="24"/>
          <w:sz w:val="22"/>
          <w:lang w:val="en-US" w:eastAsia="es-ES"/>
        </w:rPr>
        <w:t xml:space="preserve">3. </w:t>
      </w:r>
      <w:proofErr w:type="spellStart"/>
      <w:r w:rsidRPr="00175C25">
        <w:rPr>
          <w:rFonts w:eastAsia="PLBIserif-Medium"/>
          <w:color w:val="231F20"/>
          <w:sz w:val="22"/>
          <w:lang w:val="en-GB" w:eastAsia="zh-CN"/>
        </w:rPr>
        <w:t>Sentongo</w:t>
      </w:r>
      <w:proofErr w:type="spellEnd"/>
      <w:r w:rsidRPr="00175C25">
        <w:rPr>
          <w:rFonts w:eastAsia="PLBIserif-Medium"/>
          <w:color w:val="231F20"/>
          <w:sz w:val="22"/>
          <w:lang w:val="en-GB" w:eastAsia="zh-CN"/>
        </w:rPr>
        <w:t xml:space="preserve"> E, </w:t>
      </w:r>
      <w:proofErr w:type="spellStart"/>
      <w:r w:rsidRPr="00175C25">
        <w:rPr>
          <w:rFonts w:eastAsia="PLBIserif-Medium"/>
          <w:color w:val="231F20"/>
          <w:sz w:val="22"/>
          <w:lang w:val="en-GB" w:eastAsia="zh-CN"/>
        </w:rPr>
        <w:t>Ddumba</w:t>
      </w:r>
      <w:proofErr w:type="spellEnd"/>
      <w:r w:rsidRPr="00175C25">
        <w:rPr>
          <w:rFonts w:eastAsia="PLBIserif-Medium"/>
          <w:color w:val="231F20"/>
          <w:sz w:val="22"/>
          <w:lang w:val="en-GB" w:eastAsia="zh-CN"/>
        </w:rPr>
        <w:t xml:space="preserve"> E</w:t>
      </w:r>
      <w:r>
        <w:rPr>
          <w:rFonts w:eastAsia="PLBIserif-Medium"/>
          <w:color w:val="231F20"/>
          <w:sz w:val="22"/>
          <w:lang w:val="en-GB" w:eastAsia="zh-CN"/>
        </w:rPr>
        <w:t>,</w:t>
      </w:r>
      <w:r w:rsidRPr="00175C25">
        <w:rPr>
          <w:rFonts w:eastAsia="PLBIserif-Medium"/>
          <w:color w:val="231F20"/>
          <w:sz w:val="22"/>
          <w:lang w:val="en-GB" w:eastAsia="zh-CN"/>
        </w:rPr>
        <w:t xml:space="preserve"> </w:t>
      </w:r>
      <w:proofErr w:type="spellStart"/>
      <w:r w:rsidRPr="00175C25">
        <w:rPr>
          <w:rFonts w:eastAsia="PLBIserif-Medium"/>
          <w:color w:val="231F20"/>
          <w:sz w:val="22"/>
          <w:lang w:val="en-GB" w:eastAsia="zh-CN"/>
        </w:rPr>
        <w:t>Amandua</w:t>
      </w:r>
      <w:proofErr w:type="spellEnd"/>
      <w:r w:rsidRPr="00175C25">
        <w:rPr>
          <w:rFonts w:eastAsia="PLBIserif-Medium"/>
          <w:color w:val="231F20"/>
          <w:sz w:val="22"/>
          <w:lang w:val="en-GB" w:eastAsia="zh-CN"/>
        </w:rPr>
        <w:t xml:space="preserve"> J (2010)</w:t>
      </w:r>
      <w:r>
        <w:rPr>
          <w:rFonts w:eastAsia="PLBIserif-Medium"/>
          <w:color w:val="231F20"/>
          <w:sz w:val="22"/>
          <w:lang w:val="en-GB" w:eastAsia="zh-CN"/>
        </w:rPr>
        <w:t>.</w:t>
      </w:r>
      <w:r w:rsidRPr="00175C25">
        <w:rPr>
          <w:rFonts w:eastAsia="PLBIserif-Medium"/>
          <w:color w:val="231F20"/>
          <w:sz w:val="22"/>
          <w:lang w:val="en-GB" w:eastAsia="zh-CN"/>
        </w:rPr>
        <w:t xml:space="preserve"> Cutaneous leishmaniasis: Report of the first case in </w:t>
      </w:r>
      <w:proofErr w:type="spellStart"/>
      <w:r w:rsidRPr="00175C25">
        <w:rPr>
          <w:rFonts w:eastAsia="PLBIserif-Medium"/>
          <w:color w:val="231F20"/>
          <w:sz w:val="22"/>
          <w:lang w:val="en-GB" w:eastAsia="zh-CN"/>
        </w:rPr>
        <w:t>Mulago</w:t>
      </w:r>
      <w:proofErr w:type="spellEnd"/>
      <w:r w:rsidRPr="00175C25">
        <w:rPr>
          <w:rFonts w:eastAsia="PLBIserif-Medium"/>
          <w:color w:val="231F20"/>
          <w:sz w:val="22"/>
          <w:lang w:val="en-GB" w:eastAsia="zh-CN"/>
        </w:rPr>
        <w:t xml:space="preserve"> National Referral and Teaching Hospital. </w:t>
      </w:r>
      <w:proofErr w:type="gramStart"/>
      <w:r w:rsidRPr="00175C25">
        <w:rPr>
          <w:rFonts w:eastAsia="PLBIserif-Medium"/>
          <w:color w:val="231F20"/>
          <w:sz w:val="22"/>
          <w:lang w:val="en-GB" w:eastAsia="zh-CN"/>
        </w:rPr>
        <w:t>Joint 6</w:t>
      </w:r>
      <w:r w:rsidRPr="00175C25">
        <w:rPr>
          <w:rFonts w:eastAsia="PLBIserif-Medium"/>
          <w:color w:val="231F20"/>
          <w:sz w:val="22"/>
          <w:vertAlign w:val="superscript"/>
          <w:lang w:val="en-GB" w:eastAsia="zh-CN"/>
        </w:rPr>
        <w:t>th</w:t>
      </w:r>
      <w:r w:rsidRPr="00175C25">
        <w:rPr>
          <w:rFonts w:eastAsia="PLBIserif-Medium"/>
          <w:color w:val="231F20"/>
          <w:sz w:val="22"/>
          <w:lang w:val="en-GB" w:eastAsia="zh-CN"/>
        </w:rPr>
        <w:t xml:space="preserve"> MU-CHS Annual Scientific Conference and 18</w:t>
      </w:r>
      <w:r w:rsidRPr="00175C25">
        <w:rPr>
          <w:rFonts w:eastAsia="PLBIserif-Medium"/>
          <w:color w:val="231F20"/>
          <w:sz w:val="22"/>
          <w:vertAlign w:val="superscript"/>
          <w:lang w:val="en-GB" w:eastAsia="zh-CN"/>
        </w:rPr>
        <w:t>th</w:t>
      </w:r>
      <w:r w:rsidRPr="00175C25">
        <w:rPr>
          <w:rFonts w:eastAsia="PLBIserif-Medium"/>
          <w:color w:val="231F20"/>
          <w:sz w:val="22"/>
          <w:lang w:val="en-GB" w:eastAsia="zh-CN"/>
        </w:rPr>
        <w:t xml:space="preserve"> UNACOH Annual Scientific Conference 22</w:t>
      </w:r>
      <w:r w:rsidRPr="00175C25">
        <w:rPr>
          <w:rFonts w:eastAsia="PLBIserif-Medium"/>
          <w:color w:val="231F20"/>
          <w:sz w:val="22"/>
          <w:vertAlign w:val="superscript"/>
          <w:lang w:val="en-GB" w:eastAsia="zh-CN"/>
        </w:rPr>
        <w:t>nd</w:t>
      </w:r>
      <w:r w:rsidRPr="00175C25">
        <w:rPr>
          <w:rFonts w:eastAsia="PLBIserif-Medium"/>
          <w:color w:val="231F20"/>
          <w:sz w:val="22"/>
          <w:lang w:val="en-GB" w:eastAsia="zh-CN"/>
        </w:rPr>
        <w:t xml:space="preserve"> - 24</w:t>
      </w:r>
      <w:r w:rsidRPr="00175C25">
        <w:rPr>
          <w:rFonts w:eastAsia="PLBIserif-Medium"/>
          <w:color w:val="231F20"/>
          <w:sz w:val="22"/>
          <w:vertAlign w:val="superscript"/>
          <w:lang w:val="en-GB" w:eastAsia="zh-CN"/>
        </w:rPr>
        <w:t>th</w:t>
      </w:r>
      <w:r w:rsidRPr="00175C25">
        <w:rPr>
          <w:rFonts w:eastAsia="PLBIserif-Medium"/>
          <w:color w:val="231F20"/>
          <w:sz w:val="22"/>
          <w:lang w:val="en-GB" w:eastAsia="zh-CN"/>
        </w:rPr>
        <w:t xml:space="preserve"> September 2010, ASC 10/Poster 1, p 12</w:t>
      </w:r>
      <w:r>
        <w:rPr>
          <w:rFonts w:eastAsia="PLBIserif-Medium"/>
          <w:color w:val="231F20"/>
          <w:sz w:val="22"/>
          <w:lang w:val="en-GB" w:eastAsia="zh-CN"/>
        </w:rPr>
        <w:t>.</w:t>
      </w:r>
      <w:proofErr w:type="gramEnd"/>
    </w:p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LBIserif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4239A"/>
    <w:multiLevelType w:val="hybridMultilevel"/>
    <w:tmpl w:val="1DC429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E2CE7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85F16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E2CE7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E7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8E2CE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Sinespaciado">
    <w:name w:val="Sin espaciado"/>
    <w:link w:val="SinespaciadoCar"/>
    <w:qFormat/>
    <w:rsid w:val="008E2CE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DefaultParagraphFont"/>
    <w:link w:val="Sinespaciado"/>
    <w:rsid w:val="008E2CE7"/>
    <w:rPr>
      <w:rFonts w:ascii="Calibri" w:eastAsia="Times New Roman" w:hAnsi="Calibri" w:cs="Times New Roman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E7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2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661891117478555E-2"/>
          <c:y val="4.5871559633027512E-2"/>
          <c:w val="0.90401146131805155"/>
          <c:h val="0.720183486238532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Sheet1!$B$1:$P$1</c:f>
              <c:numCache>
                <c:formatCode>General</c:formatCode>
                <c:ptCount val="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9"/>
                <c:pt idx="0">
                  <c:v>175</c:v>
                </c:pt>
                <c:pt idx="1">
                  <c:v>137</c:v>
                </c:pt>
                <c:pt idx="2">
                  <c:v>220</c:v>
                </c:pt>
                <c:pt idx="3">
                  <c:v>327</c:v>
                </c:pt>
                <c:pt idx="4">
                  <c:v>410</c:v>
                </c:pt>
                <c:pt idx="5">
                  <c:v>504</c:v>
                </c:pt>
                <c:pt idx="6">
                  <c:v>0</c:v>
                </c:pt>
                <c:pt idx="7">
                  <c:v>38</c:v>
                </c:pt>
                <c:pt idx="8">
                  <c:v>200</c:v>
                </c:pt>
              </c:numCache>
            </c:numRef>
          </c:val>
        </c:ser>
        <c:gapDepth val="0"/>
        <c:shape val="box"/>
        <c:axId val="253409920"/>
        <c:axId val="267551488"/>
        <c:axId val="0"/>
      </c:bar3DChart>
      <c:catAx>
        <c:axId val="2534099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67551488"/>
        <c:crosses val="autoZero"/>
        <c:auto val="1"/>
        <c:lblAlgn val="ctr"/>
        <c:lblOffset val="100"/>
        <c:tickLblSkip val="1"/>
        <c:tickMarkSkip val="1"/>
      </c:catAx>
      <c:valAx>
        <c:axId val="26755148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534099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9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2012-04-02T18:52:00Z</dcterms:created>
  <dcterms:modified xsi:type="dcterms:W3CDTF">2012-04-02T18:55:00Z</dcterms:modified>
</cp:coreProperties>
</file>