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CF" w:rsidRDefault="00DA4DCF" w:rsidP="00DA4DCF">
      <w:pPr>
        <w:ind w:left="0" w:firstLine="0"/>
        <w:rPr>
          <w:b/>
          <w:sz w:val="22"/>
          <w:u w:val="single"/>
          <w:lang w:val="en-GB"/>
        </w:rPr>
      </w:pPr>
      <w:smartTag w:uri="urn:schemas-microsoft-com:office:smarttags" w:element="place">
        <w:smartTag w:uri="urn:schemas-microsoft-com:office:smarttags" w:element="country-region">
          <w:r w:rsidRPr="002C75B8">
            <w:rPr>
              <w:b/>
              <w:sz w:val="22"/>
              <w:u w:val="single"/>
              <w:lang w:val="en-GB"/>
            </w:rPr>
            <w:t>THAILAND</w:t>
          </w:r>
        </w:smartTag>
      </w:smartTag>
      <w:r w:rsidRPr="002C75B8">
        <w:rPr>
          <w:b/>
          <w:sz w:val="22"/>
          <w:u w:val="single"/>
          <w:lang w:val="en-GB"/>
        </w:rPr>
        <w:t xml:space="preserve"> </w:t>
      </w:r>
    </w:p>
    <w:p w:rsidR="00DA4DCF" w:rsidRDefault="00DA4DCF" w:rsidP="00DA4DCF">
      <w:pPr>
        <w:ind w:left="0" w:firstLine="0"/>
        <w:rPr>
          <w:b/>
          <w:sz w:val="22"/>
          <w:u w:val="single"/>
          <w:lang w:val="en-GB"/>
        </w:rPr>
      </w:pPr>
    </w:p>
    <w:p w:rsidR="00DA4DCF" w:rsidRDefault="00DA4DCF" w:rsidP="00DA4DCF">
      <w:pPr>
        <w:ind w:left="0" w:firstLine="0"/>
        <w:rPr>
          <w:b/>
          <w:sz w:val="22"/>
          <w:u w:val="single"/>
          <w:lang w:val="en-GB"/>
        </w:rPr>
      </w:pPr>
      <w:r>
        <w:rPr>
          <w:b/>
          <w:noProof/>
          <w:sz w:val="22"/>
          <w:u w:val="single"/>
          <w:lang w:val="en-US"/>
        </w:rPr>
        <w:drawing>
          <wp:inline distT="0" distB="0" distL="0" distR="0">
            <wp:extent cx="2834005" cy="1898650"/>
            <wp:effectExtent l="19050" t="0" r="4445" b="0"/>
            <wp:docPr id="2" name="Picture 2" descr="TH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WORLD"/>
                    <pic:cNvPicPr>
                      <a:picLocks noChangeAspect="1" noChangeArrowheads="1"/>
                    </pic:cNvPicPr>
                  </pic:nvPicPr>
                  <pic:blipFill>
                    <a:blip r:embed="rId5" cstate="print"/>
                    <a:srcRect/>
                    <a:stretch>
                      <a:fillRect/>
                    </a:stretch>
                  </pic:blipFill>
                  <pic:spPr bwMode="auto">
                    <a:xfrm>
                      <a:off x="0" y="0"/>
                      <a:ext cx="2834005" cy="1898650"/>
                    </a:xfrm>
                    <a:prstGeom prst="rect">
                      <a:avLst/>
                    </a:prstGeom>
                    <a:noFill/>
                  </pic:spPr>
                </pic:pic>
              </a:graphicData>
            </a:graphic>
          </wp:inline>
        </w:drawing>
      </w:r>
    </w:p>
    <w:p w:rsidR="00DA4DCF" w:rsidRDefault="00DA4DCF" w:rsidP="00DA4DCF">
      <w:pPr>
        <w:ind w:left="0" w:firstLine="0"/>
        <w:rPr>
          <w:b/>
          <w:sz w:val="22"/>
          <w:u w:val="single"/>
          <w:lang w:val="en-GB"/>
        </w:rPr>
      </w:pPr>
    </w:p>
    <w:p w:rsidR="00DA4DCF" w:rsidRDefault="00DA4DCF" w:rsidP="00DA4DCF">
      <w:pPr>
        <w:ind w:left="0" w:firstLine="0"/>
        <w:rPr>
          <w:b/>
          <w:sz w:val="22"/>
          <w:lang w:val="en-GB"/>
        </w:rPr>
      </w:pPr>
    </w:p>
    <w:p w:rsidR="00DA4DCF" w:rsidRPr="002C75B8" w:rsidRDefault="00DA4DCF" w:rsidP="00DA4DCF">
      <w:pPr>
        <w:ind w:left="0" w:firstLine="0"/>
        <w:rPr>
          <w:b/>
          <w:sz w:val="22"/>
          <w:lang w:val="en-GB"/>
        </w:rPr>
      </w:pPr>
      <w:r w:rsidRPr="002C75B8">
        <w:rPr>
          <w:b/>
          <w:sz w:val="22"/>
          <w:lang w:val="en-GB"/>
        </w:rPr>
        <w:t>BASIC COUNTRY DATA</w:t>
      </w:r>
    </w:p>
    <w:p w:rsidR="00DA4DCF" w:rsidRPr="002C75B8" w:rsidRDefault="00DA4DCF" w:rsidP="00DA4DCF">
      <w:pPr>
        <w:ind w:left="0" w:firstLine="0"/>
        <w:rPr>
          <w:sz w:val="22"/>
          <w:lang w:val="en-GB"/>
        </w:rPr>
      </w:pPr>
    </w:p>
    <w:p w:rsidR="00DA4DCF" w:rsidRPr="002C75B8" w:rsidRDefault="00DA4DCF" w:rsidP="00DA4DCF">
      <w:pPr>
        <w:ind w:left="0" w:firstLine="0"/>
        <w:rPr>
          <w:sz w:val="22"/>
          <w:lang w:val="en-GB"/>
        </w:rPr>
      </w:pPr>
      <w:r w:rsidRPr="002C75B8">
        <w:rPr>
          <w:sz w:val="22"/>
          <w:lang w:val="en-GB"/>
        </w:rPr>
        <w:t>Total Population: 6</w:t>
      </w:r>
      <w:r>
        <w:rPr>
          <w:sz w:val="22"/>
          <w:lang w:val="en-GB"/>
        </w:rPr>
        <w:t>9,122,234</w:t>
      </w:r>
    </w:p>
    <w:p w:rsidR="00DA4DCF" w:rsidRPr="002C75B8" w:rsidRDefault="00DA4DCF" w:rsidP="00DA4DCF">
      <w:pPr>
        <w:ind w:left="0" w:firstLine="0"/>
        <w:rPr>
          <w:sz w:val="22"/>
          <w:lang w:val="en-GB"/>
        </w:rPr>
      </w:pPr>
      <w:r w:rsidRPr="002C75B8">
        <w:rPr>
          <w:sz w:val="22"/>
          <w:lang w:val="en-GB"/>
        </w:rPr>
        <w:t>Population 0-14 years: 21%</w:t>
      </w:r>
    </w:p>
    <w:p w:rsidR="00DA4DCF" w:rsidRPr="002C75B8" w:rsidRDefault="00DA4DCF" w:rsidP="00DA4DCF">
      <w:pPr>
        <w:ind w:left="0" w:firstLine="0"/>
        <w:rPr>
          <w:sz w:val="22"/>
          <w:lang w:val="en-GB"/>
        </w:rPr>
      </w:pPr>
      <w:r w:rsidRPr="002C75B8">
        <w:rPr>
          <w:sz w:val="22"/>
          <w:lang w:val="en-GB"/>
        </w:rPr>
        <w:t>Rural population: 66%</w:t>
      </w:r>
    </w:p>
    <w:p w:rsidR="00DA4DCF" w:rsidRPr="002C75B8" w:rsidRDefault="00DA4DCF" w:rsidP="00DA4DCF">
      <w:pPr>
        <w:ind w:left="0" w:firstLine="0"/>
        <w:rPr>
          <w:sz w:val="22"/>
          <w:lang w:val="en-GB"/>
        </w:rPr>
      </w:pPr>
      <w:r w:rsidRPr="002C75B8">
        <w:rPr>
          <w:sz w:val="22"/>
          <w:lang w:val="en-GB"/>
        </w:rPr>
        <w:t>Population living under USD 1</w:t>
      </w:r>
      <w:r>
        <w:rPr>
          <w:sz w:val="22"/>
          <w:lang w:val="en-GB"/>
        </w:rPr>
        <w:t>.</w:t>
      </w:r>
      <w:r w:rsidRPr="002C75B8">
        <w:rPr>
          <w:sz w:val="22"/>
          <w:lang w:val="en-GB"/>
        </w:rPr>
        <w:t xml:space="preserve">25 a day: </w:t>
      </w:r>
      <w:r>
        <w:rPr>
          <w:sz w:val="22"/>
          <w:lang w:val="en-GB"/>
        </w:rPr>
        <w:t>10.8</w:t>
      </w:r>
      <w:r w:rsidRPr="002C75B8">
        <w:rPr>
          <w:sz w:val="22"/>
          <w:lang w:val="en-GB"/>
        </w:rPr>
        <w:t>%</w:t>
      </w:r>
    </w:p>
    <w:p w:rsidR="00DA4DCF" w:rsidRPr="002C75B8" w:rsidRDefault="00DA4DCF" w:rsidP="00DA4DCF">
      <w:pPr>
        <w:ind w:left="0" w:firstLine="0"/>
        <w:rPr>
          <w:sz w:val="22"/>
          <w:lang w:val="en-GB"/>
        </w:rPr>
      </w:pPr>
      <w:r w:rsidRPr="002C75B8">
        <w:rPr>
          <w:sz w:val="22"/>
          <w:lang w:val="en-GB"/>
        </w:rPr>
        <w:t>Population living under the national poverty line: 8</w:t>
      </w:r>
      <w:r>
        <w:rPr>
          <w:sz w:val="22"/>
          <w:lang w:val="en-GB"/>
        </w:rPr>
        <w:t>.</w:t>
      </w:r>
      <w:r w:rsidRPr="002C75B8">
        <w:rPr>
          <w:sz w:val="22"/>
          <w:lang w:val="en-GB"/>
        </w:rPr>
        <w:t>1%</w:t>
      </w:r>
    </w:p>
    <w:p w:rsidR="00DA4DCF" w:rsidRPr="002C75B8" w:rsidRDefault="00DA4DCF" w:rsidP="00DA4DCF">
      <w:pPr>
        <w:ind w:left="0" w:firstLine="0"/>
        <w:rPr>
          <w:sz w:val="22"/>
          <w:vertAlign w:val="superscript"/>
          <w:lang w:val="en-GB"/>
        </w:rPr>
      </w:pPr>
      <w:r w:rsidRPr="002C75B8">
        <w:rPr>
          <w:sz w:val="22"/>
          <w:lang w:val="en-GB"/>
        </w:rPr>
        <w:t xml:space="preserve">Income status: </w:t>
      </w:r>
      <w:r>
        <w:rPr>
          <w:sz w:val="22"/>
          <w:lang w:val="en-GB"/>
        </w:rPr>
        <w:t>Upp</w:t>
      </w:r>
      <w:r w:rsidRPr="002C75B8">
        <w:rPr>
          <w:sz w:val="22"/>
          <w:lang w:val="en-GB"/>
        </w:rPr>
        <w:t>er middle income economy</w:t>
      </w:r>
    </w:p>
    <w:p w:rsidR="00DA4DCF" w:rsidRPr="002C75B8" w:rsidRDefault="00DA4DCF" w:rsidP="00DA4DCF">
      <w:pPr>
        <w:tabs>
          <w:tab w:val="left" w:pos="1685"/>
        </w:tabs>
        <w:ind w:left="0" w:firstLine="0"/>
        <w:rPr>
          <w:sz w:val="22"/>
          <w:lang w:val="en-GB"/>
        </w:rPr>
      </w:pPr>
      <w:r w:rsidRPr="002C75B8">
        <w:rPr>
          <w:sz w:val="22"/>
          <w:lang w:val="en-GB"/>
        </w:rPr>
        <w:t xml:space="preserve">Ranking: Medium </w:t>
      </w:r>
      <w:r>
        <w:rPr>
          <w:sz w:val="22"/>
          <w:lang w:val="en-GB"/>
        </w:rPr>
        <w:t>h</w:t>
      </w:r>
      <w:r w:rsidRPr="002C75B8">
        <w:rPr>
          <w:sz w:val="22"/>
          <w:lang w:val="en-GB"/>
        </w:rPr>
        <w:t xml:space="preserve">uman </w:t>
      </w:r>
      <w:r>
        <w:rPr>
          <w:sz w:val="22"/>
          <w:lang w:val="en-GB"/>
        </w:rPr>
        <w:t>d</w:t>
      </w:r>
      <w:r w:rsidRPr="002C75B8">
        <w:rPr>
          <w:sz w:val="22"/>
          <w:lang w:val="en-GB"/>
        </w:rPr>
        <w:t xml:space="preserve">evelopment (ranking </w:t>
      </w:r>
      <w:r>
        <w:rPr>
          <w:sz w:val="22"/>
          <w:lang w:val="en-GB"/>
        </w:rPr>
        <w:t>103</w:t>
      </w:r>
      <w:r w:rsidRPr="002C75B8">
        <w:rPr>
          <w:sz w:val="22"/>
          <w:lang w:val="en-GB"/>
        </w:rPr>
        <w:t>)</w:t>
      </w:r>
    </w:p>
    <w:p w:rsidR="00DA4DCF" w:rsidRPr="002C75B8" w:rsidRDefault="00DA4DCF" w:rsidP="00DA4DCF">
      <w:pPr>
        <w:ind w:left="0" w:firstLine="0"/>
        <w:rPr>
          <w:sz w:val="22"/>
          <w:lang w:val="en-GB"/>
        </w:rPr>
      </w:pPr>
      <w:r w:rsidRPr="002C75B8">
        <w:rPr>
          <w:sz w:val="22"/>
          <w:lang w:val="en-GB"/>
        </w:rPr>
        <w:t xml:space="preserve">Per capita total expenditure on health at average exchange rate (US dollar): </w:t>
      </w:r>
      <w:r>
        <w:rPr>
          <w:sz w:val="22"/>
          <w:lang w:val="en-GB"/>
        </w:rPr>
        <w:t>168</w:t>
      </w:r>
    </w:p>
    <w:p w:rsidR="00DA4DCF" w:rsidRPr="002C75B8" w:rsidRDefault="00DA4DCF" w:rsidP="00DA4DCF">
      <w:pPr>
        <w:ind w:left="0" w:firstLine="0"/>
        <w:rPr>
          <w:sz w:val="22"/>
          <w:lang w:val="en-GB"/>
        </w:rPr>
      </w:pPr>
      <w:r w:rsidRPr="002C75B8">
        <w:rPr>
          <w:sz w:val="22"/>
          <w:lang w:val="en-GB"/>
        </w:rPr>
        <w:t>Life expectancy at birth (years): 7</w:t>
      </w:r>
      <w:r>
        <w:rPr>
          <w:sz w:val="22"/>
          <w:lang w:val="en-GB"/>
        </w:rPr>
        <w:t>4</w:t>
      </w:r>
    </w:p>
    <w:p w:rsidR="00DA4DCF" w:rsidRPr="002C75B8" w:rsidRDefault="00DA4DCF" w:rsidP="00DA4DCF">
      <w:pPr>
        <w:ind w:left="0" w:firstLine="0"/>
        <w:rPr>
          <w:sz w:val="22"/>
          <w:lang w:val="en-GB"/>
        </w:rPr>
      </w:pPr>
      <w:r w:rsidRPr="002C75B8">
        <w:rPr>
          <w:sz w:val="22"/>
          <w:lang w:val="en-GB"/>
        </w:rPr>
        <w:t>Health</w:t>
      </w:r>
      <w:r>
        <w:rPr>
          <w:sz w:val="22"/>
          <w:lang w:val="en-GB"/>
        </w:rPr>
        <w:t>y</w:t>
      </w:r>
      <w:r w:rsidRPr="002C75B8">
        <w:rPr>
          <w:sz w:val="22"/>
          <w:lang w:val="en-GB"/>
        </w:rPr>
        <w:t xml:space="preserve"> life expectancy at birth (years): 60</w:t>
      </w:r>
    </w:p>
    <w:p w:rsidR="00DA4DCF" w:rsidRPr="002C75B8" w:rsidRDefault="00DA4DCF" w:rsidP="00DA4DCF">
      <w:pPr>
        <w:ind w:left="0" w:firstLine="0"/>
        <w:rPr>
          <w:sz w:val="22"/>
          <w:lang w:val="en-GB"/>
        </w:rPr>
      </w:pPr>
    </w:p>
    <w:p w:rsidR="00DA4DCF" w:rsidRPr="002C75B8" w:rsidRDefault="00DA4DCF" w:rsidP="00DA4DCF">
      <w:pPr>
        <w:ind w:left="0" w:firstLine="0"/>
        <w:rPr>
          <w:sz w:val="22"/>
          <w:lang w:val="en-GB"/>
        </w:rPr>
      </w:pPr>
    </w:p>
    <w:p w:rsidR="00DA4DCF" w:rsidRPr="002C75B8" w:rsidRDefault="00DA4DCF" w:rsidP="00DA4DCF">
      <w:pPr>
        <w:ind w:left="0" w:firstLine="0"/>
        <w:rPr>
          <w:sz w:val="22"/>
          <w:lang w:val="en-GB"/>
        </w:rPr>
      </w:pPr>
      <w:r w:rsidRPr="002C75B8">
        <w:rPr>
          <w:b/>
          <w:sz w:val="22"/>
          <w:lang w:val="en-GB"/>
        </w:rPr>
        <w:t>BACKGROUND INFORMATION</w:t>
      </w:r>
      <w:r w:rsidRPr="002C75B8">
        <w:rPr>
          <w:sz w:val="22"/>
          <w:lang w:val="en-GB"/>
        </w:rPr>
        <w:t xml:space="preserve"> </w:t>
      </w:r>
    </w:p>
    <w:p w:rsidR="00DA4DCF" w:rsidRPr="002C75B8" w:rsidRDefault="00DA4DCF" w:rsidP="00DA4DCF">
      <w:pPr>
        <w:ind w:left="0" w:firstLine="0"/>
        <w:rPr>
          <w:sz w:val="22"/>
          <w:lang w:val="en-GB"/>
        </w:rPr>
      </w:pPr>
    </w:p>
    <w:p w:rsidR="00DA4DCF" w:rsidRPr="002C75B8" w:rsidRDefault="00DA4DCF" w:rsidP="00DA4DCF">
      <w:pPr>
        <w:ind w:left="0" w:firstLine="0"/>
        <w:rPr>
          <w:bCs/>
          <w:sz w:val="22"/>
          <w:lang w:val="en-GB"/>
        </w:rPr>
      </w:pPr>
      <w:r w:rsidRPr="002C75B8">
        <w:rPr>
          <w:bCs/>
          <w:sz w:val="22"/>
          <w:lang w:val="en-GB"/>
        </w:rPr>
        <w:t>VL was first notified in 1960</w:t>
      </w:r>
      <w:r>
        <w:rPr>
          <w:bCs/>
          <w:sz w:val="22"/>
          <w:lang w:val="en-GB"/>
        </w:rPr>
        <w:t>;</w:t>
      </w:r>
      <w:r w:rsidRPr="002C75B8">
        <w:rPr>
          <w:bCs/>
          <w:sz w:val="22"/>
          <w:lang w:val="en-GB"/>
        </w:rPr>
        <w:t xml:space="preserve"> 6 more cases were reported</w:t>
      </w:r>
      <w:r>
        <w:rPr>
          <w:bCs/>
          <w:sz w:val="22"/>
          <w:lang w:val="en-GB"/>
        </w:rPr>
        <w:t xml:space="preserve"> between 1960 and</w:t>
      </w:r>
      <w:r>
        <w:rPr>
          <w:bCs/>
          <w:sz w:val="22"/>
          <w:lang w:val="en-GB"/>
        </w:rPr>
        <w:t>1987</w:t>
      </w:r>
      <w:r w:rsidRPr="002C75B8">
        <w:rPr>
          <w:bCs/>
          <w:sz w:val="22"/>
          <w:lang w:val="en-GB"/>
        </w:rPr>
        <w:t>. CL was first seen in 1981</w:t>
      </w:r>
      <w:r>
        <w:rPr>
          <w:bCs/>
          <w:sz w:val="22"/>
          <w:lang w:val="en-GB"/>
        </w:rPr>
        <w:t xml:space="preserve"> and</w:t>
      </w:r>
      <w:r w:rsidRPr="002C75B8">
        <w:rPr>
          <w:bCs/>
          <w:sz w:val="22"/>
          <w:lang w:val="en-GB"/>
        </w:rPr>
        <w:t xml:space="preserve"> 40 cases </w:t>
      </w:r>
      <w:r>
        <w:rPr>
          <w:bCs/>
          <w:sz w:val="22"/>
          <w:lang w:val="en-GB"/>
        </w:rPr>
        <w:t>were</w:t>
      </w:r>
      <w:r w:rsidRPr="002C75B8">
        <w:rPr>
          <w:bCs/>
          <w:sz w:val="22"/>
          <w:lang w:val="en-GB"/>
        </w:rPr>
        <w:t xml:space="preserve"> reported until 1997. All these cases were imported, mostly among Thai workers returning from </w:t>
      </w:r>
      <w:smartTag w:uri="urn:schemas-microsoft-com:office:smarttags" w:element="country-region">
        <w:smartTag w:uri="urn:schemas-microsoft-com:office:smarttags" w:element="place">
          <w:r w:rsidRPr="002C75B8">
            <w:rPr>
              <w:bCs/>
              <w:sz w:val="22"/>
              <w:lang w:val="en-GB"/>
            </w:rPr>
            <w:t>Saudi Arabia</w:t>
          </w:r>
        </w:smartTag>
      </w:smartTag>
      <w:r w:rsidRPr="002C75B8">
        <w:rPr>
          <w:bCs/>
          <w:sz w:val="22"/>
          <w:lang w:val="en-GB"/>
        </w:rPr>
        <w:t xml:space="preserve">. Between 1996 and 2010, the first 13 </w:t>
      </w:r>
      <w:proofErr w:type="spellStart"/>
      <w:r>
        <w:rPr>
          <w:bCs/>
          <w:sz w:val="22"/>
          <w:lang w:val="en-GB"/>
        </w:rPr>
        <w:t>autochtonous</w:t>
      </w:r>
      <w:proofErr w:type="spellEnd"/>
      <w:r w:rsidRPr="002C75B8">
        <w:rPr>
          <w:bCs/>
          <w:sz w:val="22"/>
          <w:lang w:val="en-GB"/>
        </w:rPr>
        <w:t xml:space="preserve"> cases (10 VL and 3 CL) were reported from 10 provinces. Most of these cases occurred in the </w:t>
      </w:r>
      <w:r>
        <w:rPr>
          <w:bCs/>
          <w:sz w:val="22"/>
          <w:lang w:val="en-GB"/>
        </w:rPr>
        <w:t>s</w:t>
      </w:r>
      <w:r w:rsidRPr="002C75B8">
        <w:rPr>
          <w:bCs/>
          <w:sz w:val="22"/>
          <w:lang w:val="en-GB"/>
        </w:rPr>
        <w:t>outh. Diagnosis was often late and underreporting is suspected</w:t>
      </w:r>
      <w:r>
        <w:rPr>
          <w:bCs/>
          <w:sz w:val="22"/>
          <w:lang w:val="en-GB"/>
        </w:rPr>
        <w:t>,</w:t>
      </w:r>
      <w:r w:rsidRPr="002C75B8">
        <w:rPr>
          <w:bCs/>
          <w:sz w:val="22"/>
          <w:lang w:val="en-GB"/>
        </w:rPr>
        <w:t xml:space="preserve"> due to a low awareness of leishmaniasis in the country. Three cases were coinfected with HIV, of which two VL cases and one CL case. The trend of HIV spreading to rural areas is a risk factor for</w:t>
      </w:r>
      <w:r>
        <w:rPr>
          <w:bCs/>
          <w:sz w:val="22"/>
          <w:lang w:val="en-GB"/>
        </w:rPr>
        <w:t xml:space="preserve"> </w:t>
      </w:r>
      <w:r>
        <w:rPr>
          <w:bCs/>
          <w:sz w:val="22"/>
          <w:lang w:val="en-GB"/>
        </w:rPr>
        <w:t xml:space="preserve">an increase of </w:t>
      </w:r>
      <w:r w:rsidRPr="002C75B8">
        <w:rPr>
          <w:bCs/>
          <w:sz w:val="22"/>
          <w:lang w:val="en-GB"/>
        </w:rPr>
        <w:t>co</w:t>
      </w:r>
      <w:r>
        <w:rPr>
          <w:bCs/>
          <w:sz w:val="22"/>
          <w:lang w:val="en-GB"/>
        </w:rPr>
        <w:t>-</w:t>
      </w:r>
      <w:r w:rsidRPr="002C75B8">
        <w:rPr>
          <w:bCs/>
          <w:sz w:val="22"/>
          <w:lang w:val="en-GB"/>
        </w:rPr>
        <w:t>infect</w:t>
      </w:r>
      <w:r>
        <w:rPr>
          <w:bCs/>
          <w:sz w:val="22"/>
          <w:lang w:val="en-GB"/>
        </w:rPr>
        <w:t xml:space="preserve">ed cases. </w:t>
      </w:r>
      <w:r w:rsidRPr="002C75B8">
        <w:rPr>
          <w:bCs/>
          <w:sz w:val="22"/>
          <w:lang w:val="en-GB"/>
        </w:rPr>
        <w:t xml:space="preserve"> </w:t>
      </w:r>
    </w:p>
    <w:p w:rsidR="00DA4DCF" w:rsidRPr="002C75B8" w:rsidRDefault="00DA4DCF" w:rsidP="00DA4DCF">
      <w:pPr>
        <w:ind w:left="0" w:firstLine="0"/>
        <w:rPr>
          <w:b/>
          <w:bCs/>
          <w:sz w:val="22"/>
          <w:lang w:val="en-GB"/>
        </w:rPr>
      </w:pPr>
    </w:p>
    <w:p w:rsidR="00DA4DCF" w:rsidRPr="002C75B8" w:rsidRDefault="00DA4DCF" w:rsidP="00DA4DCF">
      <w:pPr>
        <w:ind w:left="0" w:firstLine="0"/>
        <w:rPr>
          <w:sz w:val="22"/>
          <w:lang w:val="en-GB"/>
        </w:rPr>
      </w:pPr>
    </w:p>
    <w:p w:rsidR="00DA4DCF" w:rsidRPr="002C75B8" w:rsidRDefault="00DA4DCF" w:rsidP="00DA4DCF">
      <w:pPr>
        <w:ind w:left="0" w:firstLine="0"/>
        <w:rPr>
          <w:b/>
          <w:sz w:val="22"/>
          <w:lang w:val="en-GB"/>
        </w:rPr>
      </w:pPr>
      <w:r w:rsidRPr="002C75B8">
        <w:rPr>
          <w:b/>
          <w:sz w:val="22"/>
          <w:lang w:val="en-GB"/>
        </w:rPr>
        <w:t>PARASITOLOGICAL INFORMATION</w:t>
      </w:r>
    </w:p>
    <w:p w:rsidR="00DA4DCF" w:rsidRPr="002C75B8" w:rsidRDefault="00DA4DCF" w:rsidP="00DA4DCF">
      <w:pPr>
        <w:ind w:left="0" w:firstLine="0"/>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2"/>
        <w:gridCol w:w="2292"/>
        <w:gridCol w:w="2310"/>
        <w:gridCol w:w="2318"/>
      </w:tblGrid>
      <w:tr w:rsidR="00DA4DCF" w:rsidRPr="002C75B8" w:rsidTr="00A7768B">
        <w:tc>
          <w:tcPr>
            <w:tcW w:w="2322" w:type="dxa"/>
            <w:vAlign w:val="center"/>
          </w:tcPr>
          <w:p w:rsidR="00DA4DCF" w:rsidRDefault="00DA4DCF" w:rsidP="00A7768B">
            <w:pPr>
              <w:ind w:left="0" w:firstLine="0"/>
              <w:jc w:val="center"/>
              <w:rPr>
                <w:b/>
                <w:bCs/>
                <w:i/>
                <w:iCs/>
                <w:sz w:val="22"/>
              </w:rPr>
            </w:pPr>
          </w:p>
          <w:p w:rsidR="00DA4DCF" w:rsidRDefault="00DA4DCF" w:rsidP="00A7768B">
            <w:pPr>
              <w:ind w:left="0" w:firstLine="0"/>
              <w:jc w:val="center"/>
              <w:rPr>
                <w:b/>
                <w:bCs/>
                <w:sz w:val="22"/>
              </w:rPr>
            </w:pPr>
            <w:r w:rsidRPr="002C75B8">
              <w:rPr>
                <w:b/>
                <w:bCs/>
                <w:i/>
                <w:iCs/>
                <w:sz w:val="22"/>
              </w:rPr>
              <w:t xml:space="preserve">Leishmania </w:t>
            </w:r>
            <w:proofErr w:type="spellStart"/>
            <w:r w:rsidRPr="002C75B8">
              <w:rPr>
                <w:b/>
                <w:bCs/>
                <w:sz w:val="22"/>
              </w:rPr>
              <w:t>species</w:t>
            </w:r>
            <w:proofErr w:type="spellEnd"/>
          </w:p>
          <w:p w:rsidR="00DA4DCF" w:rsidRPr="002C75B8" w:rsidRDefault="00DA4DCF" w:rsidP="00A7768B">
            <w:pPr>
              <w:ind w:left="0" w:firstLine="0"/>
              <w:jc w:val="center"/>
              <w:rPr>
                <w:sz w:val="22"/>
              </w:rPr>
            </w:pPr>
          </w:p>
        </w:tc>
        <w:tc>
          <w:tcPr>
            <w:tcW w:w="2292" w:type="dxa"/>
            <w:vAlign w:val="center"/>
          </w:tcPr>
          <w:p w:rsidR="00DA4DCF" w:rsidRPr="002C75B8" w:rsidRDefault="00DA4DCF" w:rsidP="00DA4DCF">
            <w:pPr>
              <w:ind w:left="0" w:firstLine="0"/>
              <w:rPr>
                <w:sz w:val="22"/>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2310" w:type="dxa"/>
            <w:vAlign w:val="center"/>
          </w:tcPr>
          <w:p w:rsidR="00DA4DCF" w:rsidRPr="002C75B8" w:rsidRDefault="00DA4DCF" w:rsidP="00DA4DCF">
            <w:pPr>
              <w:ind w:left="0" w:firstLine="0"/>
              <w:rPr>
                <w:sz w:val="22"/>
              </w:rPr>
            </w:pPr>
            <w:r w:rsidRPr="002C75B8">
              <w:rPr>
                <w:b/>
                <w:bCs/>
                <w:sz w:val="22"/>
              </w:rPr>
              <w:t xml:space="preserve">Vector </w:t>
            </w:r>
            <w:proofErr w:type="spellStart"/>
            <w:r w:rsidRPr="002C75B8">
              <w:rPr>
                <w:b/>
                <w:bCs/>
                <w:sz w:val="22"/>
              </w:rPr>
              <w:t>species</w:t>
            </w:r>
            <w:proofErr w:type="spellEnd"/>
          </w:p>
        </w:tc>
        <w:tc>
          <w:tcPr>
            <w:tcW w:w="2318" w:type="dxa"/>
            <w:vAlign w:val="center"/>
          </w:tcPr>
          <w:p w:rsidR="00DA4DCF" w:rsidRPr="002C75B8" w:rsidRDefault="00DA4DCF" w:rsidP="00DA4DCF">
            <w:pPr>
              <w:ind w:left="0" w:firstLine="0"/>
              <w:rPr>
                <w:sz w:val="22"/>
              </w:rPr>
            </w:pPr>
            <w:proofErr w:type="spellStart"/>
            <w:r w:rsidRPr="002C75B8">
              <w:rPr>
                <w:b/>
                <w:bCs/>
                <w:sz w:val="22"/>
              </w:rPr>
              <w:t>Reservoirs</w:t>
            </w:r>
            <w:proofErr w:type="spellEnd"/>
          </w:p>
        </w:tc>
      </w:tr>
      <w:tr w:rsidR="00DA4DCF" w:rsidRPr="002C75B8" w:rsidTr="00A7768B">
        <w:tc>
          <w:tcPr>
            <w:tcW w:w="2322" w:type="dxa"/>
            <w:vAlign w:val="center"/>
          </w:tcPr>
          <w:p w:rsidR="00DA4DCF" w:rsidRPr="002C75B8" w:rsidRDefault="00DA4DCF"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sz w:val="22"/>
                <w:szCs w:val="22"/>
              </w:rPr>
              <w:t>Unknown</w:t>
            </w:r>
          </w:p>
        </w:tc>
        <w:tc>
          <w:tcPr>
            <w:tcW w:w="2292" w:type="dxa"/>
            <w:vAlign w:val="center"/>
          </w:tcPr>
          <w:p w:rsidR="00DA4DCF" w:rsidRPr="002C75B8" w:rsidRDefault="00DA4DCF"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sz w:val="22"/>
                <w:szCs w:val="22"/>
              </w:rPr>
              <w:t>VL, CL</w:t>
            </w:r>
          </w:p>
        </w:tc>
        <w:tc>
          <w:tcPr>
            <w:tcW w:w="2310" w:type="dxa"/>
            <w:vAlign w:val="center"/>
          </w:tcPr>
          <w:p w:rsidR="00DA4DCF" w:rsidRPr="002C75B8" w:rsidRDefault="00DA4DCF"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sz w:val="22"/>
                <w:szCs w:val="22"/>
              </w:rPr>
              <w:t>Unknown</w:t>
            </w:r>
          </w:p>
        </w:tc>
        <w:tc>
          <w:tcPr>
            <w:tcW w:w="2318" w:type="dxa"/>
            <w:vAlign w:val="center"/>
          </w:tcPr>
          <w:p w:rsidR="00DA4DCF" w:rsidRPr="002C75B8" w:rsidRDefault="00DA4DCF"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sz w:val="22"/>
                <w:szCs w:val="22"/>
              </w:rPr>
              <w:t>Unknown</w:t>
            </w:r>
          </w:p>
        </w:tc>
      </w:tr>
    </w:tbl>
    <w:p w:rsidR="00DA4DCF" w:rsidRPr="002C75B8" w:rsidRDefault="00DA4DCF" w:rsidP="00DA4DCF">
      <w:pPr>
        <w:ind w:left="0" w:firstLine="0"/>
        <w:jc w:val="center"/>
        <w:rPr>
          <w:b/>
          <w:sz w:val="22"/>
        </w:rPr>
      </w:pPr>
    </w:p>
    <w:p w:rsidR="00DA4DCF" w:rsidRPr="002C75B8" w:rsidRDefault="00DA4DCF" w:rsidP="00DA4DCF">
      <w:pPr>
        <w:ind w:left="0" w:firstLine="0"/>
        <w:rPr>
          <w:sz w:val="22"/>
        </w:rPr>
      </w:pPr>
    </w:p>
    <w:p w:rsidR="00DA4DCF" w:rsidRPr="0026730A" w:rsidRDefault="00DA4DCF" w:rsidP="00DA4DCF">
      <w:pPr>
        <w:ind w:left="0" w:firstLine="0"/>
        <w:rPr>
          <w:b/>
          <w:bCs/>
          <w:sz w:val="22"/>
          <w:lang w:val="en-GB"/>
        </w:rPr>
      </w:pPr>
      <w:r>
        <w:rPr>
          <w:b/>
          <w:bCs/>
          <w:sz w:val="22"/>
          <w:lang w:val="en-GB"/>
        </w:rPr>
        <w:lastRenderedPageBreak/>
        <w:t>M</w:t>
      </w:r>
      <w:r w:rsidRPr="0026730A">
        <w:rPr>
          <w:b/>
          <w:bCs/>
          <w:sz w:val="22"/>
          <w:lang w:val="en-GB"/>
        </w:rPr>
        <w:t>APS AND TRENDS</w:t>
      </w:r>
    </w:p>
    <w:p w:rsidR="00DA4DCF" w:rsidRPr="0026730A" w:rsidRDefault="00DA4DCF" w:rsidP="00DA4DCF">
      <w:pPr>
        <w:ind w:left="0" w:firstLine="0"/>
        <w:rPr>
          <w:b/>
          <w:bCs/>
          <w:sz w:val="22"/>
          <w:lang w:val="en-GB"/>
        </w:rPr>
      </w:pPr>
    </w:p>
    <w:p w:rsidR="00DA4DCF" w:rsidRPr="0026730A" w:rsidRDefault="00DA4DCF" w:rsidP="00DA4DCF">
      <w:pPr>
        <w:ind w:left="0" w:firstLine="0"/>
        <w:rPr>
          <w:b/>
          <w:bCs/>
          <w:sz w:val="22"/>
          <w:lang w:val="en-GB"/>
        </w:rPr>
      </w:pPr>
      <w:r w:rsidRPr="0026730A">
        <w:rPr>
          <w:b/>
          <w:bCs/>
          <w:sz w:val="22"/>
          <w:lang w:val="en-GB"/>
        </w:rPr>
        <w:t>Visceral</w:t>
      </w:r>
      <w:r>
        <w:rPr>
          <w:b/>
          <w:bCs/>
          <w:sz w:val="22"/>
          <w:lang w:val="en-GB"/>
        </w:rPr>
        <w:t xml:space="preserve"> and cutaneous</w:t>
      </w:r>
      <w:r w:rsidRPr="0026730A">
        <w:rPr>
          <w:b/>
          <w:bCs/>
          <w:sz w:val="22"/>
          <w:lang w:val="en-GB"/>
        </w:rPr>
        <w:t xml:space="preserve"> leishmaniasis</w:t>
      </w:r>
    </w:p>
    <w:p w:rsidR="00DA4DCF" w:rsidRPr="002C75B8" w:rsidRDefault="00DA4DCF" w:rsidP="00DA4DCF">
      <w:pPr>
        <w:ind w:left="0" w:firstLine="0"/>
        <w:rPr>
          <w:sz w:val="22"/>
        </w:rPr>
      </w:pPr>
    </w:p>
    <w:p w:rsidR="00DA4DCF" w:rsidRDefault="00DA4DCF" w:rsidP="00DA4DCF">
      <w:pPr>
        <w:ind w:left="0" w:firstLine="0"/>
        <w:rPr>
          <w:noProof/>
          <w:sz w:val="22"/>
          <w:lang w:eastAsia="zh-CN"/>
        </w:rPr>
      </w:pPr>
      <w:r>
        <w:rPr>
          <w:noProof/>
          <w:sz w:val="22"/>
          <w:lang w:val="en-US"/>
        </w:rPr>
        <w:drawing>
          <wp:anchor distT="0" distB="0" distL="114300" distR="114300" simplePos="0" relativeHeight="251661312" behindDoc="0" locked="0" layoutInCell="1" allowOverlap="1">
            <wp:simplePos x="0" y="0"/>
            <wp:positionH relativeFrom="column">
              <wp:posOffset>90805</wp:posOffset>
            </wp:positionH>
            <wp:positionV relativeFrom="paragraph">
              <wp:posOffset>43180</wp:posOffset>
            </wp:positionV>
            <wp:extent cx="2098040" cy="3129280"/>
            <wp:effectExtent l="19050" t="0" r="0" b="0"/>
            <wp:wrapNone/>
            <wp:docPr id="4" name="Picture 4" descr="THVL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VLbis"/>
                    <pic:cNvPicPr>
                      <a:picLocks noChangeAspect="1" noChangeArrowheads="1"/>
                    </pic:cNvPicPr>
                  </pic:nvPicPr>
                  <pic:blipFill>
                    <a:blip r:embed="rId6" cstate="print"/>
                    <a:srcRect/>
                    <a:stretch>
                      <a:fillRect/>
                    </a:stretch>
                  </pic:blipFill>
                  <pic:spPr bwMode="auto">
                    <a:xfrm>
                      <a:off x="0" y="0"/>
                      <a:ext cx="2098040" cy="3129280"/>
                    </a:xfrm>
                    <a:prstGeom prst="rect">
                      <a:avLst/>
                    </a:prstGeom>
                    <a:noFill/>
                  </pic:spPr>
                </pic:pic>
              </a:graphicData>
            </a:graphic>
          </wp:anchor>
        </w:drawing>
      </w:r>
      <w:r>
        <w:rPr>
          <w:noProof/>
          <w:sz w:val="22"/>
          <w:lang w:val="en-US"/>
        </w:rPr>
        <w:drawing>
          <wp:anchor distT="0" distB="0" distL="114300" distR="114300" simplePos="0" relativeHeight="251662336" behindDoc="0" locked="0" layoutInCell="1" allowOverlap="1">
            <wp:simplePos x="0" y="0"/>
            <wp:positionH relativeFrom="column">
              <wp:posOffset>2743200</wp:posOffset>
            </wp:positionH>
            <wp:positionV relativeFrom="paragraph">
              <wp:posOffset>43180</wp:posOffset>
            </wp:positionV>
            <wp:extent cx="2096135" cy="3129280"/>
            <wp:effectExtent l="19050" t="0" r="0" b="0"/>
            <wp:wrapNone/>
            <wp:docPr id="5" name="Picture 5" descr="THCL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CLbis"/>
                    <pic:cNvPicPr>
                      <a:picLocks noChangeAspect="1" noChangeArrowheads="1"/>
                    </pic:cNvPicPr>
                  </pic:nvPicPr>
                  <pic:blipFill>
                    <a:blip r:embed="rId7" cstate="print"/>
                    <a:srcRect/>
                    <a:stretch>
                      <a:fillRect/>
                    </a:stretch>
                  </pic:blipFill>
                  <pic:spPr bwMode="auto">
                    <a:xfrm>
                      <a:off x="0" y="0"/>
                      <a:ext cx="2096135" cy="3129280"/>
                    </a:xfrm>
                    <a:prstGeom prst="rect">
                      <a:avLst/>
                    </a:prstGeom>
                    <a:noFill/>
                  </pic:spPr>
                </pic:pic>
              </a:graphicData>
            </a:graphic>
          </wp:anchor>
        </w:drawing>
      </w:r>
    </w:p>
    <w:p w:rsidR="00DA4DCF" w:rsidRDefault="00DA4DCF" w:rsidP="00DA4DCF">
      <w:pPr>
        <w:ind w:left="0" w:firstLine="0"/>
        <w:rPr>
          <w:noProof/>
          <w:sz w:val="22"/>
          <w:lang w:eastAsia="zh-CN"/>
        </w:rPr>
      </w:pPr>
    </w:p>
    <w:p w:rsidR="00DA4DCF" w:rsidRDefault="00DA4DCF" w:rsidP="00DA4DCF">
      <w:pPr>
        <w:ind w:left="0" w:firstLine="0"/>
        <w:rPr>
          <w:noProof/>
          <w:sz w:val="22"/>
          <w:lang w:eastAsia="zh-CN"/>
        </w:rPr>
      </w:pPr>
    </w:p>
    <w:p w:rsidR="00DA4DCF" w:rsidRDefault="00DA4DCF" w:rsidP="00DA4DCF">
      <w:pPr>
        <w:ind w:left="0" w:firstLine="0"/>
        <w:rPr>
          <w:noProof/>
          <w:sz w:val="22"/>
          <w:lang w:eastAsia="zh-CN"/>
        </w:rPr>
      </w:pPr>
    </w:p>
    <w:p w:rsidR="00DA4DCF" w:rsidRDefault="00DA4DCF" w:rsidP="00DA4DCF">
      <w:pPr>
        <w:ind w:left="0" w:firstLine="0"/>
        <w:rPr>
          <w:noProof/>
          <w:sz w:val="22"/>
          <w:lang w:eastAsia="zh-CN"/>
        </w:rPr>
      </w:pPr>
    </w:p>
    <w:p w:rsidR="00DA4DCF" w:rsidRDefault="00DA4DCF" w:rsidP="00DA4DCF">
      <w:pPr>
        <w:ind w:left="0" w:firstLine="0"/>
        <w:rPr>
          <w:noProof/>
          <w:sz w:val="22"/>
          <w:lang w:eastAsia="zh-CN"/>
        </w:rPr>
      </w:pPr>
    </w:p>
    <w:p w:rsidR="00DA4DCF" w:rsidRDefault="00DA4DCF" w:rsidP="00DA4DCF">
      <w:pPr>
        <w:ind w:left="0" w:firstLine="0"/>
        <w:rPr>
          <w:noProof/>
          <w:sz w:val="22"/>
          <w:lang w:eastAsia="zh-CN"/>
        </w:rPr>
      </w:pPr>
    </w:p>
    <w:p w:rsidR="00DA4DCF" w:rsidRDefault="00DA4DCF" w:rsidP="00DA4DCF">
      <w:pPr>
        <w:ind w:left="0" w:firstLine="0"/>
        <w:rPr>
          <w:noProof/>
          <w:sz w:val="22"/>
          <w:lang w:eastAsia="zh-CN"/>
        </w:rPr>
      </w:pPr>
    </w:p>
    <w:p w:rsidR="00DA4DCF" w:rsidRDefault="00DA4DCF" w:rsidP="00DA4DCF">
      <w:pPr>
        <w:ind w:left="0" w:firstLine="0"/>
        <w:rPr>
          <w:noProof/>
          <w:sz w:val="22"/>
          <w:lang w:eastAsia="zh-CN"/>
        </w:rPr>
      </w:pPr>
    </w:p>
    <w:p w:rsidR="00DA4DCF" w:rsidRDefault="00DA4DCF" w:rsidP="00DA4DCF">
      <w:pPr>
        <w:ind w:left="0" w:firstLine="0"/>
        <w:rPr>
          <w:noProof/>
          <w:sz w:val="22"/>
          <w:lang w:eastAsia="zh-CN"/>
        </w:rPr>
      </w:pPr>
    </w:p>
    <w:p w:rsidR="00DA4DCF" w:rsidRDefault="00DA4DCF" w:rsidP="00DA4DCF">
      <w:pPr>
        <w:ind w:left="0" w:firstLine="0"/>
        <w:rPr>
          <w:noProof/>
          <w:sz w:val="22"/>
          <w:lang w:eastAsia="zh-CN"/>
        </w:rPr>
      </w:pPr>
    </w:p>
    <w:p w:rsidR="00DA4DCF" w:rsidRDefault="00DA4DCF" w:rsidP="00DA4DCF">
      <w:pPr>
        <w:ind w:left="0" w:firstLine="0"/>
        <w:rPr>
          <w:noProof/>
          <w:sz w:val="22"/>
          <w:lang w:eastAsia="zh-CN"/>
        </w:rPr>
      </w:pPr>
    </w:p>
    <w:p w:rsidR="00DA4DCF" w:rsidRDefault="00DA4DCF" w:rsidP="00DA4DCF">
      <w:pPr>
        <w:ind w:left="0" w:firstLine="0"/>
        <w:rPr>
          <w:noProof/>
          <w:sz w:val="22"/>
          <w:lang w:eastAsia="zh-CN"/>
        </w:rPr>
      </w:pPr>
    </w:p>
    <w:p w:rsidR="00DA4DCF" w:rsidRDefault="00DA4DCF" w:rsidP="00DA4DCF">
      <w:pPr>
        <w:ind w:left="0" w:firstLine="0"/>
        <w:rPr>
          <w:noProof/>
          <w:sz w:val="22"/>
          <w:lang w:eastAsia="zh-CN"/>
        </w:rPr>
      </w:pPr>
    </w:p>
    <w:p w:rsidR="00DA4DCF" w:rsidRDefault="00DA4DCF" w:rsidP="00DA4DCF">
      <w:pPr>
        <w:ind w:left="0" w:firstLine="0"/>
        <w:rPr>
          <w:noProof/>
          <w:sz w:val="22"/>
          <w:lang w:eastAsia="zh-CN"/>
        </w:rPr>
      </w:pPr>
    </w:p>
    <w:p w:rsidR="00DA4DCF" w:rsidRPr="002C75B8" w:rsidRDefault="00DA4DCF" w:rsidP="00DA4DCF">
      <w:pPr>
        <w:ind w:left="0" w:firstLine="0"/>
        <w:rPr>
          <w:sz w:val="22"/>
        </w:rPr>
      </w:pPr>
    </w:p>
    <w:p w:rsidR="00DA4DCF" w:rsidRDefault="00DA4DCF" w:rsidP="00DA4DCF">
      <w:pPr>
        <w:ind w:left="0" w:firstLine="0"/>
        <w:rPr>
          <w:sz w:val="22"/>
        </w:rPr>
      </w:pPr>
    </w:p>
    <w:p w:rsidR="00DA4DCF" w:rsidRDefault="00DA4DCF" w:rsidP="00DA4DCF">
      <w:pPr>
        <w:ind w:left="0" w:firstLine="0"/>
        <w:rPr>
          <w:sz w:val="22"/>
        </w:rPr>
      </w:pPr>
    </w:p>
    <w:p w:rsidR="00DA4DCF" w:rsidRDefault="00DA4DCF" w:rsidP="00DA4DCF">
      <w:pPr>
        <w:ind w:left="0" w:firstLine="0"/>
        <w:rPr>
          <w:sz w:val="22"/>
        </w:rPr>
      </w:pPr>
    </w:p>
    <w:p w:rsidR="00DA4DCF" w:rsidRDefault="00DA4DCF" w:rsidP="00DA4DCF">
      <w:pPr>
        <w:ind w:left="0" w:firstLine="0"/>
        <w:rPr>
          <w:sz w:val="22"/>
        </w:rPr>
      </w:pPr>
    </w:p>
    <w:p w:rsidR="00DA4DCF" w:rsidRPr="00203B91" w:rsidRDefault="00DA4DCF" w:rsidP="00DA4DCF">
      <w:pPr>
        <w:ind w:left="0" w:firstLine="0"/>
        <w:rPr>
          <w:b/>
          <w:bCs/>
          <w:sz w:val="22"/>
          <w:lang w:val="it-IT"/>
        </w:rPr>
      </w:pPr>
      <w:r>
        <w:rPr>
          <w:noProof/>
          <w:sz w:val="22"/>
          <w:lang w:val="en-US"/>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145415</wp:posOffset>
            </wp:positionV>
            <wp:extent cx="7800340" cy="2820670"/>
            <wp:effectExtent l="0" t="0" r="0" b="0"/>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203B91">
        <w:rPr>
          <w:b/>
          <w:bCs/>
          <w:sz w:val="22"/>
          <w:lang w:val="it-IT"/>
        </w:rPr>
        <w:t xml:space="preserve">Trend in visceral </w:t>
      </w:r>
      <w:r>
        <w:rPr>
          <w:b/>
          <w:bCs/>
          <w:sz w:val="22"/>
          <w:lang w:val="it-IT"/>
        </w:rPr>
        <w:t>l</w:t>
      </w:r>
      <w:r w:rsidRPr="00203B91">
        <w:rPr>
          <w:b/>
          <w:bCs/>
          <w:sz w:val="22"/>
          <w:lang w:val="it-IT"/>
        </w:rPr>
        <w:t>eishmaniasis</w:t>
      </w:r>
    </w:p>
    <w:p w:rsidR="00DA4DCF" w:rsidRPr="00203B91" w:rsidRDefault="00DA4DCF" w:rsidP="00DA4DCF">
      <w:pPr>
        <w:ind w:left="0" w:firstLine="0"/>
        <w:rPr>
          <w:b/>
          <w:bCs/>
          <w:sz w:val="22"/>
          <w:lang w:val="it-IT"/>
        </w:rPr>
      </w:pPr>
    </w:p>
    <w:p w:rsidR="00DA4DCF" w:rsidRPr="00203B91" w:rsidRDefault="00DA4DCF" w:rsidP="00DA4DCF">
      <w:pPr>
        <w:ind w:left="0" w:firstLine="0"/>
        <w:rPr>
          <w:b/>
          <w:bCs/>
          <w:sz w:val="22"/>
          <w:lang w:val="it-IT"/>
        </w:rPr>
      </w:pPr>
    </w:p>
    <w:p w:rsidR="00DA4DCF" w:rsidRPr="00203B91" w:rsidRDefault="00DA4DCF" w:rsidP="00DA4DCF">
      <w:pPr>
        <w:ind w:left="0" w:firstLine="0"/>
        <w:rPr>
          <w:b/>
          <w:bCs/>
          <w:sz w:val="22"/>
          <w:lang w:val="it-IT"/>
        </w:rPr>
      </w:pPr>
    </w:p>
    <w:p w:rsidR="00DA4DCF" w:rsidRPr="00203B91" w:rsidRDefault="00DA4DCF" w:rsidP="00DA4DCF">
      <w:pPr>
        <w:ind w:left="0" w:firstLine="0"/>
        <w:rPr>
          <w:sz w:val="22"/>
          <w:lang w:val="it-IT"/>
        </w:rPr>
      </w:pPr>
    </w:p>
    <w:p w:rsidR="00DA4DCF" w:rsidRPr="00203B91" w:rsidRDefault="00DA4DCF" w:rsidP="00DA4DCF">
      <w:pPr>
        <w:ind w:left="0" w:firstLine="0"/>
        <w:rPr>
          <w:sz w:val="22"/>
          <w:lang w:val="it-IT"/>
        </w:rPr>
      </w:pPr>
    </w:p>
    <w:p w:rsidR="00DA4DCF" w:rsidRPr="00203B91" w:rsidRDefault="00DA4DCF" w:rsidP="00DA4DCF">
      <w:pPr>
        <w:ind w:left="0" w:firstLine="0"/>
        <w:rPr>
          <w:sz w:val="22"/>
          <w:lang w:val="it-IT"/>
        </w:rPr>
      </w:pPr>
    </w:p>
    <w:p w:rsidR="00DA4DCF" w:rsidRPr="00203B91" w:rsidRDefault="00DA4DCF" w:rsidP="00DA4DCF">
      <w:pPr>
        <w:ind w:left="0" w:firstLine="0"/>
        <w:rPr>
          <w:sz w:val="22"/>
          <w:lang w:val="it-IT"/>
        </w:rPr>
      </w:pPr>
    </w:p>
    <w:p w:rsidR="00DA4DCF" w:rsidRPr="00203B91" w:rsidRDefault="00DA4DCF" w:rsidP="00DA4DCF">
      <w:pPr>
        <w:ind w:left="0" w:firstLine="0"/>
        <w:rPr>
          <w:sz w:val="22"/>
          <w:lang w:val="it-IT"/>
        </w:rPr>
      </w:pPr>
    </w:p>
    <w:p w:rsidR="00DA4DCF" w:rsidRPr="00203B91" w:rsidRDefault="00DA4DCF" w:rsidP="00DA4DCF">
      <w:pPr>
        <w:ind w:left="0" w:firstLine="0"/>
        <w:rPr>
          <w:sz w:val="22"/>
          <w:lang w:val="it-IT"/>
        </w:rPr>
      </w:pPr>
    </w:p>
    <w:p w:rsidR="00DA4DCF" w:rsidRPr="00203B91" w:rsidRDefault="00DA4DCF" w:rsidP="00DA4DCF">
      <w:pPr>
        <w:ind w:left="0" w:firstLine="0"/>
        <w:rPr>
          <w:sz w:val="22"/>
          <w:lang w:val="it-IT"/>
        </w:rPr>
      </w:pPr>
    </w:p>
    <w:p w:rsidR="00DA4DCF" w:rsidRPr="00203B91" w:rsidRDefault="00DA4DCF" w:rsidP="00DA4DCF">
      <w:pPr>
        <w:ind w:left="0" w:firstLine="0"/>
        <w:rPr>
          <w:sz w:val="22"/>
          <w:lang w:val="it-IT"/>
        </w:rPr>
      </w:pPr>
    </w:p>
    <w:p w:rsidR="00DA4DCF" w:rsidRPr="00203B91" w:rsidRDefault="00DA4DCF" w:rsidP="00DA4DCF">
      <w:pPr>
        <w:ind w:left="0" w:firstLine="0"/>
        <w:rPr>
          <w:sz w:val="22"/>
          <w:lang w:val="it-IT"/>
        </w:rPr>
      </w:pPr>
    </w:p>
    <w:p w:rsidR="00DA4DCF" w:rsidRPr="00203B91" w:rsidRDefault="00DA4DCF" w:rsidP="00DA4DCF">
      <w:pPr>
        <w:ind w:left="0" w:firstLine="0"/>
        <w:rPr>
          <w:sz w:val="22"/>
          <w:lang w:val="it-IT"/>
        </w:rPr>
      </w:pPr>
    </w:p>
    <w:p w:rsidR="00DA4DCF" w:rsidRPr="00203B91" w:rsidRDefault="00DA4DCF" w:rsidP="00DA4DCF">
      <w:pPr>
        <w:ind w:left="0" w:firstLine="0"/>
        <w:rPr>
          <w:sz w:val="22"/>
          <w:lang w:val="it-IT"/>
        </w:rPr>
      </w:pPr>
    </w:p>
    <w:p w:rsidR="00DA4DCF" w:rsidRPr="00203B91" w:rsidRDefault="00DA4DCF" w:rsidP="00DA4DCF">
      <w:pPr>
        <w:ind w:left="0" w:firstLine="0"/>
        <w:rPr>
          <w:sz w:val="22"/>
          <w:lang w:val="it-IT"/>
        </w:rPr>
      </w:pPr>
    </w:p>
    <w:p w:rsidR="00DA4DCF" w:rsidRPr="00203B91" w:rsidRDefault="00DA4DCF" w:rsidP="00DA4DCF">
      <w:pPr>
        <w:ind w:left="0" w:firstLine="0"/>
        <w:rPr>
          <w:sz w:val="22"/>
          <w:lang w:val="it-IT"/>
        </w:rPr>
      </w:pPr>
    </w:p>
    <w:p w:rsidR="00DA4DCF" w:rsidRPr="00203B91" w:rsidRDefault="00DA4DCF" w:rsidP="00DA4DCF">
      <w:pPr>
        <w:ind w:left="0" w:firstLine="0"/>
        <w:rPr>
          <w:sz w:val="22"/>
          <w:lang w:val="it-IT"/>
        </w:rPr>
      </w:pPr>
    </w:p>
    <w:p w:rsidR="00DA4DCF" w:rsidRPr="00203B91" w:rsidRDefault="00DA4DCF" w:rsidP="00DA4DCF">
      <w:pPr>
        <w:ind w:left="0" w:firstLine="0"/>
        <w:rPr>
          <w:sz w:val="22"/>
          <w:lang w:val="it-IT"/>
        </w:rPr>
      </w:pPr>
    </w:p>
    <w:p w:rsidR="00DA4DCF" w:rsidRPr="00203B91" w:rsidRDefault="00DA4DCF" w:rsidP="00DA4DCF">
      <w:pPr>
        <w:ind w:left="0" w:firstLine="0"/>
        <w:rPr>
          <w:sz w:val="22"/>
          <w:lang w:val="it-IT"/>
        </w:rPr>
      </w:pPr>
    </w:p>
    <w:p w:rsidR="00DA4DCF" w:rsidRDefault="00DA4DCF" w:rsidP="00DA4DCF">
      <w:pPr>
        <w:ind w:left="0" w:firstLine="0"/>
        <w:rPr>
          <w:b/>
          <w:sz w:val="22"/>
          <w:lang w:val="it-IT"/>
        </w:rPr>
      </w:pPr>
    </w:p>
    <w:p w:rsidR="00DA4DCF" w:rsidRDefault="00DA4DCF" w:rsidP="00DA4DCF">
      <w:pPr>
        <w:ind w:left="0" w:firstLine="0"/>
        <w:rPr>
          <w:b/>
          <w:sz w:val="22"/>
          <w:lang w:val="it-IT"/>
        </w:rPr>
      </w:pPr>
    </w:p>
    <w:p w:rsidR="00DA4DCF" w:rsidRDefault="00DA4DCF" w:rsidP="00DA4DCF">
      <w:pPr>
        <w:ind w:left="0" w:firstLine="0"/>
        <w:rPr>
          <w:b/>
          <w:sz w:val="22"/>
          <w:lang w:val="it-IT"/>
        </w:rPr>
      </w:pPr>
    </w:p>
    <w:p w:rsidR="00DA4DCF" w:rsidRDefault="00DA4DCF" w:rsidP="00DA4DCF">
      <w:pPr>
        <w:ind w:left="0" w:firstLine="0"/>
        <w:rPr>
          <w:b/>
          <w:sz w:val="22"/>
          <w:lang w:val="it-IT"/>
        </w:rPr>
      </w:pPr>
    </w:p>
    <w:p w:rsidR="00DA4DCF" w:rsidRDefault="00DA4DCF" w:rsidP="00DA4DCF">
      <w:pPr>
        <w:ind w:left="0" w:firstLine="0"/>
        <w:rPr>
          <w:b/>
          <w:sz w:val="22"/>
          <w:lang w:val="it-IT"/>
        </w:rPr>
      </w:pPr>
    </w:p>
    <w:p w:rsidR="00DA4DCF" w:rsidRDefault="00DA4DCF" w:rsidP="00DA4DCF">
      <w:pPr>
        <w:ind w:left="0" w:firstLine="0"/>
        <w:rPr>
          <w:b/>
          <w:sz w:val="22"/>
          <w:lang w:val="it-IT"/>
        </w:rPr>
      </w:pPr>
    </w:p>
    <w:p w:rsidR="00DA4DCF" w:rsidRDefault="00DA4DCF" w:rsidP="00DA4DCF">
      <w:pPr>
        <w:ind w:left="0" w:firstLine="0"/>
        <w:rPr>
          <w:b/>
          <w:sz w:val="22"/>
          <w:lang w:val="it-IT"/>
        </w:rPr>
      </w:pPr>
    </w:p>
    <w:p w:rsidR="00DA4DCF" w:rsidRPr="00203B91" w:rsidRDefault="00DA4DCF" w:rsidP="00DA4DCF">
      <w:pPr>
        <w:ind w:left="0" w:firstLine="0"/>
        <w:rPr>
          <w:b/>
          <w:sz w:val="22"/>
          <w:lang w:val="it-IT"/>
        </w:rPr>
      </w:pPr>
      <w:r w:rsidRPr="00203B91">
        <w:rPr>
          <w:b/>
          <w:sz w:val="22"/>
          <w:lang w:val="it-IT"/>
        </w:rPr>
        <w:lastRenderedPageBreak/>
        <w:t>CONTROL</w:t>
      </w:r>
    </w:p>
    <w:p w:rsidR="00DA4DCF" w:rsidRPr="00203B91" w:rsidRDefault="00DA4DCF" w:rsidP="00DA4DCF">
      <w:pPr>
        <w:ind w:left="0" w:firstLine="0"/>
        <w:rPr>
          <w:sz w:val="22"/>
          <w:lang w:val="it-IT" w:eastAsia="en-AU" w:bidi="th-TH"/>
        </w:rPr>
      </w:pPr>
    </w:p>
    <w:p w:rsidR="00DA4DCF" w:rsidRDefault="00DA4DCF" w:rsidP="00DA4DCF">
      <w:pPr>
        <w:autoSpaceDE w:val="0"/>
        <w:autoSpaceDN w:val="0"/>
        <w:adjustRightInd w:val="0"/>
        <w:ind w:left="0" w:firstLine="0"/>
        <w:rPr>
          <w:bCs/>
          <w:sz w:val="22"/>
          <w:lang w:val="en-GB"/>
        </w:rPr>
      </w:pPr>
      <w:r w:rsidRPr="002C75B8">
        <w:rPr>
          <w:bCs/>
          <w:sz w:val="22"/>
          <w:lang w:val="en-GB"/>
        </w:rPr>
        <w:t>On-the</w:t>
      </w:r>
      <w:r>
        <w:rPr>
          <w:bCs/>
          <w:sz w:val="22"/>
          <w:lang w:val="en-GB"/>
        </w:rPr>
        <w:t>-</w:t>
      </w:r>
      <w:r w:rsidRPr="002C75B8">
        <w:rPr>
          <w:bCs/>
          <w:sz w:val="22"/>
          <w:lang w:val="en-GB"/>
        </w:rPr>
        <w:t>spot control measures were introduced</w:t>
      </w:r>
      <w:r>
        <w:rPr>
          <w:bCs/>
          <w:sz w:val="22"/>
          <w:lang w:val="en-GB"/>
        </w:rPr>
        <w:t>,</w:t>
      </w:r>
      <w:r w:rsidRPr="002C75B8">
        <w:rPr>
          <w:bCs/>
          <w:sz w:val="22"/>
          <w:lang w:val="en-GB"/>
        </w:rPr>
        <w:t xml:space="preserve"> such as IRS, ITN</w:t>
      </w:r>
      <w:r>
        <w:rPr>
          <w:bCs/>
          <w:sz w:val="22"/>
          <w:lang w:val="en-GB"/>
        </w:rPr>
        <w:t xml:space="preserve"> and</w:t>
      </w:r>
      <w:r w:rsidRPr="002C75B8">
        <w:rPr>
          <w:bCs/>
          <w:sz w:val="22"/>
          <w:lang w:val="en-GB"/>
        </w:rPr>
        <w:t xml:space="preserve"> insect repell</w:t>
      </w:r>
      <w:r>
        <w:rPr>
          <w:bCs/>
          <w:sz w:val="22"/>
          <w:lang w:val="en-GB"/>
        </w:rPr>
        <w:t>e</w:t>
      </w:r>
      <w:r w:rsidRPr="002C75B8">
        <w:rPr>
          <w:bCs/>
          <w:sz w:val="22"/>
          <w:lang w:val="en-GB"/>
        </w:rPr>
        <w:t>nt</w:t>
      </w:r>
      <w:r>
        <w:rPr>
          <w:bCs/>
          <w:sz w:val="22"/>
          <w:lang w:val="en-GB"/>
        </w:rPr>
        <w:t xml:space="preserve"> distribution</w:t>
      </w:r>
      <w:r w:rsidRPr="002C75B8">
        <w:rPr>
          <w:bCs/>
          <w:sz w:val="22"/>
          <w:lang w:val="en-GB"/>
        </w:rPr>
        <w:t>, clean</w:t>
      </w:r>
      <w:r>
        <w:rPr>
          <w:bCs/>
          <w:sz w:val="22"/>
          <w:lang w:val="en-GB"/>
        </w:rPr>
        <w:t>ing</w:t>
      </w:r>
      <w:r w:rsidRPr="002C75B8">
        <w:rPr>
          <w:bCs/>
          <w:sz w:val="22"/>
          <w:lang w:val="en-GB"/>
        </w:rPr>
        <w:t xml:space="preserve">-up around houses and </w:t>
      </w:r>
      <w:r>
        <w:rPr>
          <w:bCs/>
          <w:sz w:val="22"/>
          <w:lang w:val="en-GB"/>
        </w:rPr>
        <w:t xml:space="preserve">raising </w:t>
      </w:r>
      <w:r w:rsidRPr="002C75B8">
        <w:rPr>
          <w:bCs/>
          <w:sz w:val="22"/>
          <w:lang w:val="en-GB"/>
        </w:rPr>
        <w:t>awareness among population and health workers.</w:t>
      </w:r>
      <w:r w:rsidRPr="002C75B8">
        <w:rPr>
          <w:sz w:val="22"/>
          <w:lang w:val="en-GB"/>
        </w:rPr>
        <w:t xml:space="preserve"> </w:t>
      </w:r>
      <w:r w:rsidRPr="002C75B8">
        <w:rPr>
          <w:bCs/>
          <w:sz w:val="22"/>
          <w:lang w:val="en-GB"/>
        </w:rPr>
        <w:t xml:space="preserve">The national program has set an elimination target of &lt;1/10,000 population before 2016, with a comprehensive approach involving surveillance, prevention, early diagnosis and treatment with miltefosine, </w:t>
      </w:r>
      <w:r>
        <w:rPr>
          <w:bCs/>
          <w:sz w:val="22"/>
          <w:lang w:val="en-GB"/>
        </w:rPr>
        <w:t xml:space="preserve">and </w:t>
      </w:r>
      <w:r w:rsidRPr="002C75B8">
        <w:rPr>
          <w:bCs/>
          <w:sz w:val="22"/>
          <w:lang w:val="en-GB"/>
        </w:rPr>
        <w:t>control measures</w:t>
      </w:r>
      <w:r>
        <w:rPr>
          <w:bCs/>
          <w:sz w:val="22"/>
          <w:lang w:val="en-GB"/>
        </w:rPr>
        <w:t>,</w:t>
      </w:r>
      <w:r w:rsidRPr="002C75B8">
        <w:rPr>
          <w:bCs/>
          <w:sz w:val="22"/>
          <w:lang w:val="en-GB"/>
        </w:rPr>
        <w:t xml:space="preserve"> </w:t>
      </w:r>
      <w:r>
        <w:rPr>
          <w:bCs/>
          <w:sz w:val="22"/>
          <w:lang w:val="en-GB"/>
        </w:rPr>
        <w:t xml:space="preserve">including </w:t>
      </w:r>
      <w:r w:rsidRPr="002C75B8">
        <w:rPr>
          <w:bCs/>
          <w:sz w:val="22"/>
          <w:lang w:val="en-GB"/>
        </w:rPr>
        <w:t>culling</w:t>
      </w:r>
      <w:r>
        <w:rPr>
          <w:bCs/>
          <w:sz w:val="22"/>
          <w:lang w:val="en-GB"/>
        </w:rPr>
        <w:t>,</w:t>
      </w:r>
      <w:r w:rsidRPr="002C75B8">
        <w:rPr>
          <w:bCs/>
          <w:sz w:val="22"/>
          <w:lang w:val="en-GB"/>
        </w:rPr>
        <w:t xml:space="preserve"> IRS and rehabilitation </w:t>
      </w:r>
      <w:r>
        <w:rPr>
          <w:bCs/>
          <w:sz w:val="22"/>
          <w:lang w:val="en-GB"/>
        </w:rPr>
        <w:t>(</w:t>
      </w:r>
      <w:r w:rsidRPr="002C75B8">
        <w:rPr>
          <w:bCs/>
          <w:sz w:val="22"/>
          <w:lang w:val="en-GB"/>
        </w:rPr>
        <w:t>counsel</w:t>
      </w:r>
      <w:r>
        <w:rPr>
          <w:bCs/>
          <w:sz w:val="22"/>
          <w:lang w:val="en-GB"/>
        </w:rPr>
        <w:t>l</w:t>
      </w:r>
      <w:r w:rsidRPr="002C75B8">
        <w:rPr>
          <w:bCs/>
          <w:sz w:val="22"/>
          <w:lang w:val="en-GB"/>
        </w:rPr>
        <w:t>ing</w:t>
      </w:r>
      <w:r>
        <w:rPr>
          <w:bCs/>
          <w:sz w:val="22"/>
          <w:lang w:val="en-GB"/>
        </w:rPr>
        <w:t>) offered to cases</w:t>
      </w:r>
      <w:r w:rsidRPr="002C75B8">
        <w:rPr>
          <w:bCs/>
          <w:sz w:val="22"/>
          <w:lang w:val="en-GB"/>
        </w:rPr>
        <w:t xml:space="preserve">  </w:t>
      </w:r>
    </w:p>
    <w:p w:rsidR="00DA4DCF" w:rsidRPr="002C75B8" w:rsidRDefault="00DA4DCF" w:rsidP="00DA4DCF">
      <w:pPr>
        <w:autoSpaceDE w:val="0"/>
        <w:autoSpaceDN w:val="0"/>
        <w:adjustRightInd w:val="0"/>
        <w:ind w:left="0" w:firstLine="0"/>
        <w:rPr>
          <w:sz w:val="22"/>
          <w:lang w:val="en-GB"/>
        </w:rPr>
      </w:pPr>
    </w:p>
    <w:p w:rsidR="00DA4DCF" w:rsidRPr="002C75B8" w:rsidRDefault="00DA4DCF" w:rsidP="00DA4DCF">
      <w:pPr>
        <w:ind w:left="0" w:firstLine="0"/>
        <w:rPr>
          <w:sz w:val="22"/>
          <w:lang w:val="en-GB"/>
        </w:rPr>
      </w:pPr>
    </w:p>
    <w:p w:rsidR="00DA4DCF" w:rsidRPr="002C75B8" w:rsidRDefault="00DA4DCF" w:rsidP="00DA4DCF">
      <w:pPr>
        <w:spacing w:line="360" w:lineRule="auto"/>
        <w:ind w:left="0" w:firstLine="0"/>
        <w:rPr>
          <w:b/>
          <w:sz w:val="22"/>
          <w:lang w:val="en-GB"/>
        </w:rPr>
      </w:pPr>
      <w:r w:rsidRPr="002C75B8">
        <w:rPr>
          <w:b/>
          <w:sz w:val="22"/>
          <w:lang w:val="en-GB"/>
        </w:rPr>
        <w:t xml:space="preserve">DIAGNOSIS, TREATMENT </w:t>
      </w:r>
    </w:p>
    <w:p w:rsidR="00DA4DCF" w:rsidRPr="001B4B77" w:rsidRDefault="00DA4DCF" w:rsidP="00DA4DCF">
      <w:pPr>
        <w:ind w:left="0" w:firstLine="0"/>
        <w:rPr>
          <w:rFonts w:eastAsia="SimSun"/>
          <w:b/>
          <w:bCs/>
          <w:sz w:val="22"/>
          <w:lang w:val="en-GB"/>
        </w:rPr>
      </w:pPr>
      <w:r w:rsidRPr="001B4B77">
        <w:rPr>
          <w:rFonts w:eastAsia="SimSun"/>
          <w:b/>
          <w:bCs/>
          <w:sz w:val="22"/>
          <w:lang w:val="en-GB"/>
        </w:rPr>
        <w:t>Diagnosis</w:t>
      </w:r>
    </w:p>
    <w:p w:rsidR="00DA4DCF" w:rsidRPr="00562689" w:rsidRDefault="00DA4DCF" w:rsidP="00DA4DCF">
      <w:pPr>
        <w:ind w:left="0" w:firstLine="0"/>
        <w:rPr>
          <w:rFonts w:eastAsia="SimSun"/>
          <w:sz w:val="22"/>
          <w:lang w:val="en-GB"/>
        </w:rPr>
      </w:pPr>
      <w:r w:rsidRPr="00562689">
        <w:rPr>
          <w:rFonts w:eastAsia="SimSun"/>
          <w:bCs/>
          <w:sz w:val="22"/>
          <w:lang w:val="en-GB"/>
        </w:rPr>
        <w:t>CL</w:t>
      </w:r>
      <w:r w:rsidRPr="00562689">
        <w:rPr>
          <w:rFonts w:eastAsia="SimSun"/>
          <w:sz w:val="22"/>
          <w:lang w:val="en-GB"/>
        </w:rPr>
        <w:t>: on clinical picture and c</w:t>
      </w:r>
      <w:r w:rsidRPr="00562689">
        <w:rPr>
          <w:sz w:val="22"/>
          <w:lang w:val="en-GB"/>
        </w:rPr>
        <w:t>onfirmation with microscopic examination of skin lesion sample</w:t>
      </w:r>
      <w:r w:rsidRPr="00562689">
        <w:rPr>
          <w:rFonts w:eastAsia="SimSun"/>
          <w:sz w:val="22"/>
          <w:lang w:val="en-GB"/>
        </w:rPr>
        <w:t xml:space="preserve"> (possible only in specialized hospitals). PCR can be carried out in specialized laboratories.  </w:t>
      </w:r>
    </w:p>
    <w:p w:rsidR="00DA4DCF" w:rsidRPr="00562689" w:rsidRDefault="00DA4DCF" w:rsidP="00DA4DCF">
      <w:pPr>
        <w:ind w:left="0" w:firstLine="0"/>
        <w:rPr>
          <w:rFonts w:eastAsia="SimSun"/>
          <w:sz w:val="22"/>
          <w:lang w:val="en-GB"/>
        </w:rPr>
      </w:pPr>
      <w:r w:rsidRPr="00562689">
        <w:rPr>
          <w:rFonts w:eastAsia="SimSun"/>
          <w:bCs/>
          <w:sz w:val="22"/>
          <w:lang w:val="en-GB"/>
        </w:rPr>
        <w:t>VL</w:t>
      </w:r>
      <w:r w:rsidRPr="00562689">
        <w:rPr>
          <w:rFonts w:eastAsia="SimSun"/>
          <w:sz w:val="22"/>
          <w:lang w:val="en-GB"/>
        </w:rPr>
        <w:t xml:space="preserve">: microscopic evaluation of bone marrow aspirates (possible only in specialized hospitals). PCR can be carried out in specialized laboratories.  </w:t>
      </w:r>
    </w:p>
    <w:p w:rsidR="00DA4DCF" w:rsidRPr="00562689" w:rsidRDefault="00DA4DCF" w:rsidP="00DA4DCF">
      <w:pPr>
        <w:ind w:left="0" w:firstLine="0"/>
        <w:rPr>
          <w:rFonts w:eastAsia="SimSun"/>
          <w:sz w:val="22"/>
          <w:lang w:val="en-GB"/>
        </w:rPr>
      </w:pPr>
    </w:p>
    <w:p w:rsidR="00DA4DCF" w:rsidRPr="001B4B77" w:rsidRDefault="00DA4DCF" w:rsidP="00DA4DCF">
      <w:pPr>
        <w:ind w:left="0" w:firstLine="0"/>
        <w:rPr>
          <w:rFonts w:eastAsia="SimSun"/>
          <w:b/>
          <w:bCs/>
          <w:sz w:val="22"/>
          <w:lang w:val="en-GB"/>
        </w:rPr>
      </w:pPr>
      <w:r w:rsidRPr="001B4B77">
        <w:rPr>
          <w:rFonts w:eastAsia="SimSun"/>
          <w:b/>
          <w:bCs/>
          <w:sz w:val="22"/>
          <w:lang w:val="en-GB"/>
        </w:rPr>
        <w:t>Treatment</w:t>
      </w:r>
    </w:p>
    <w:p w:rsidR="00DA4DCF" w:rsidRPr="00562689" w:rsidRDefault="00DA4DCF" w:rsidP="00DA4DCF">
      <w:pPr>
        <w:ind w:left="0" w:firstLine="0"/>
        <w:rPr>
          <w:sz w:val="22"/>
          <w:lang w:val="en-GB"/>
        </w:rPr>
      </w:pPr>
      <w:r w:rsidRPr="00562689">
        <w:rPr>
          <w:rFonts w:eastAsia="SimSun"/>
          <w:bCs/>
          <w:sz w:val="22"/>
          <w:lang w:val="en-GB"/>
        </w:rPr>
        <w:t>CL and VL</w:t>
      </w:r>
      <w:r w:rsidRPr="00562689">
        <w:rPr>
          <w:rFonts w:eastAsia="SimSun"/>
          <w:sz w:val="22"/>
          <w:lang w:val="en-GB"/>
        </w:rPr>
        <w:t xml:space="preserve">: </w:t>
      </w:r>
      <w:r w:rsidRPr="00562689">
        <w:rPr>
          <w:sz w:val="22"/>
          <w:lang w:val="en-GB"/>
        </w:rPr>
        <w:t>conventional amphotericin B, 1 mg/kg/day. Cure rate for VL is 70%, with 30% recurring infection, and 100% for CL.</w:t>
      </w:r>
    </w:p>
    <w:p w:rsidR="00DA4DCF" w:rsidRPr="00562689" w:rsidRDefault="00DA4DCF" w:rsidP="00DA4DCF">
      <w:pPr>
        <w:ind w:left="0" w:firstLine="0"/>
        <w:rPr>
          <w:sz w:val="22"/>
          <w:lang w:val="en-GB"/>
        </w:rPr>
      </w:pPr>
      <w:r w:rsidRPr="00562689">
        <w:rPr>
          <w:sz w:val="22"/>
          <w:lang w:val="en-GB"/>
        </w:rPr>
        <w:t xml:space="preserve">  </w:t>
      </w:r>
    </w:p>
    <w:p w:rsidR="00DA4DCF" w:rsidRPr="002C75B8" w:rsidRDefault="00DA4DCF" w:rsidP="00DA4DCF">
      <w:pPr>
        <w:ind w:left="0" w:firstLine="0"/>
        <w:rPr>
          <w:sz w:val="22"/>
          <w:lang w:val="en-GB"/>
        </w:rPr>
      </w:pPr>
    </w:p>
    <w:p w:rsidR="00DA4DCF" w:rsidRPr="002C75B8" w:rsidRDefault="00DA4DCF" w:rsidP="00DA4DCF">
      <w:pPr>
        <w:spacing w:line="360" w:lineRule="auto"/>
        <w:ind w:left="0" w:firstLine="0"/>
        <w:rPr>
          <w:b/>
          <w:bCs/>
          <w:sz w:val="22"/>
          <w:lang w:val="en-GB"/>
        </w:rPr>
      </w:pPr>
      <w:r w:rsidRPr="002C75B8">
        <w:rPr>
          <w:b/>
          <w:bCs/>
          <w:sz w:val="22"/>
          <w:lang w:val="en-GB"/>
        </w:rPr>
        <w:t xml:space="preserve">ACCESS TO CARE </w:t>
      </w:r>
    </w:p>
    <w:p w:rsidR="00DA4DCF" w:rsidRDefault="00DA4DCF" w:rsidP="00DA4DCF">
      <w:pPr>
        <w:autoSpaceDE w:val="0"/>
        <w:autoSpaceDN w:val="0"/>
        <w:adjustRightInd w:val="0"/>
        <w:ind w:left="0" w:firstLine="0"/>
        <w:rPr>
          <w:color w:val="231F20"/>
          <w:sz w:val="22"/>
          <w:lang w:val="en-GB"/>
        </w:rPr>
      </w:pPr>
    </w:p>
    <w:p w:rsidR="00DA4DCF" w:rsidRDefault="00DA4DCF" w:rsidP="00DA4DCF">
      <w:pPr>
        <w:autoSpaceDE w:val="0"/>
        <w:autoSpaceDN w:val="0"/>
        <w:adjustRightInd w:val="0"/>
        <w:ind w:left="0" w:firstLine="0"/>
        <w:rPr>
          <w:sz w:val="22"/>
          <w:lang w:val="en-GB"/>
        </w:rPr>
      </w:pPr>
      <w:r w:rsidRPr="002C75B8">
        <w:rPr>
          <w:color w:val="231F20"/>
          <w:sz w:val="22"/>
          <w:lang w:val="en-GB"/>
        </w:rPr>
        <w:t xml:space="preserve">Treatment for CL and VL is provided </w:t>
      </w:r>
      <w:r w:rsidRPr="002C75B8">
        <w:rPr>
          <w:sz w:val="22"/>
          <w:lang w:val="en-GB"/>
        </w:rPr>
        <w:t>free of charge. All patients are thought to have access to care, however</w:t>
      </w:r>
      <w:r>
        <w:rPr>
          <w:sz w:val="22"/>
          <w:lang w:val="en-GB"/>
        </w:rPr>
        <w:t>,</w:t>
      </w:r>
      <w:r w:rsidRPr="002C75B8">
        <w:rPr>
          <w:sz w:val="22"/>
          <w:lang w:val="en-GB"/>
        </w:rPr>
        <w:t xml:space="preserve"> diagnosis often takes places very late (up to one year after onset of symptoms as health personnel have little experience and knowledge of leishmaniasis). </w:t>
      </w:r>
      <w:r>
        <w:rPr>
          <w:sz w:val="22"/>
          <w:lang w:val="en-GB"/>
        </w:rPr>
        <w:t xml:space="preserve">Often, </w:t>
      </w:r>
      <w:r w:rsidRPr="002C75B8">
        <w:rPr>
          <w:sz w:val="22"/>
          <w:lang w:val="en-GB"/>
        </w:rPr>
        <w:t xml:space="preserve">CL is wrongly diagnosed </w:t>
      </w:r>
      <w:r>
        <w:rPr>
          <w:sz w:val="22"/>
          <w:lang w:val="en-GB"/>
        </w:rPr>
        <w:t xml:space="preserve">at first </w:t>
      </w:r>
      <w:r w:rsidRPr="002C75B8">
        <w:rPr>
          <w:sz w:val="22"/>
          <w:lang w:val="en-GB"/>
        </w:rPr>
        <w:t xml:space="preserve">and treated with antibiotics. </w:t>
      </w:r>
    </w:p>
    <w:p w:rsidR="00DA4DCF" w:rsidRPr="002C75B8" w:rsidRDefault="00DA4DCF" w:rsidP="00DA4DCF">
      <w:pPr>
        <w:autoSpaceDE w:val="0"/>
        <w:autoSpaceDN w:val="0"/>
        <w:adjustRightInd w:val="0"/>
        <w:ind w:left="0" w:firstLine="0"/>
        <w:rPr>
          <w:color w:val="231F20"/>
          <w:sz w:val="22"/>
          <w:lang w:val="en-GB"/>
        </w:rPr>
      </w:pPr>
    </w:p>
    <w:p w:rsidR="00DA4DCF" w:rsidRPr="002C75B8" w:rsidRDefault="00DA4DCF" w:rsidP="00DA4DCF">
      <w:pPr>
        <w:spacing w:line="360" w:lineRule="auto"/>
        <w:ind w:left="0" w:firstLine="0"/>
        <w:rPr>
          <w:b/>
          <w:bCs/>
          <w:sz w:val="22"/>
          <w:lang w:val="en-GB"/>
        </w:rPr>
      </w:pPr>
    </w:p>
    <w:p w:rsidR="00DA4DCF" w:rsidRPr="002C75B8" w:rsidRDefault="00DA4DCF" w:rsidP="00DA4DCF">
      <w:pPr>
        <w:spacing w:line="360" w:lineRule="auto"/>
        <w:ind w:left="0" w:firstLine="0"/>
        <w:rPr>
          <w:b/>
          <w:bCs/>
          <w:sz w:val="22"/>
          <w:lang w:val="en-GB"/>
        </w:rPr>
      </w:pPr>
      <w:r w:rsidRPr="002C75B8">
        <w:rPr>
          <w:b/>
          <w:bCs/>
          <w:sz w:val="22"/>
          <w:lang w:val="en-GB"/>
        </w:rPr>
        <w:t>ACCES</w:t>
      </w:r>
      <w:r>
        <w:rPr>
          <w:b/>
          <w:bCs/>
          <w:sz w:val="22"/>
          <w:lang w:val="en-GB"/>
        </w:rPr>
        <w:t>S</w:t>
      </w:r>
      <w:r w:rsidRPr="002C75B8">
        <w:rPr>
          <w:b/>
          <w:bCs/>
          <w:sz w:val="22"/>
          <w:lang w:val="en-GB"/>
        </w:rPr>
        <w:t xml:space="preserve"> TO DRUGS</w:t>
      </w:r>
    </w:p>
    <w:p w:rsidR="00DA4DCF" w:rsidRDefault="00DA4DCF" w:rsidP="00DA4DCF">
      <w:pPr>
        <w:autoSpaceDE w:val="0"/>
        <w:autoSpaceDN w:val="0"/>
        <w:adjustRightInd w:val="0"/>
        <w:ind w:left="0" w:firstLine="0"/>
        <w:rPr>
          <w:sz w:val="22"/>
          <w:lang w:val="en-GB"/>
        </w:rPr>
      </w:pPr>
      <w:r w:rsidRPr="002C75B8">
        <w:rPr>
          <w:sz w:val="22"/>
          <w:lang w:val="en-GB"/>
        </w:rPr>
        <w:t xml:space="preserve">Sodium stibogluconate and amphotericin B are included in the National Essential Drug List for leishmaniasis. </w:t>
      </w:r>
    </w:p>
    <w:p w:rsidR="00DA4DCF" w:rsidRPr="002C75B8" w:rsidRDefault="00DA4DCF" w:rsidP="00DA4DCF">
      <w:pPr>
        <w:autoSpaceDE w:val="0"/>
        <w:autoSpaceDN w:val="0"/>
        <w:adjustRightInd w:val="0"/>
        <w:ind w:left="0" w:firstLine="0"/>
        <w:rPr>
          <w:sz w:val="22"/>
          <w:lang w:val="en-GB"/>
        </w:rPr>
      </w:pPr>
    </w:p>
    <w:p w:rsidR="00DA4DCF" w:rsidRPr="002C75B8" w:rsidRDefault="00DA4DCF" w:rsidP="00DA4DCF">
      <w:pPr>
        <w:autoSpaceDE w:val="0"/>
        <w:autoSpaceDN w:val="0"/>
        <w:adjustRightInd w:val="0"/>
        <w:ind w:left="0" w:firstLine="0"/>
        <w:rPr>
          <w:sz w:val="22"/>
          <w:lang w:val="en-GB"/>
        </w:rPr>
      </w:pPr>
    </w:p>
    <w:p w:rsidR="00DA4DCF" w:rsidRPr="002C75B8" w:rsidRDefault="00DA4DCF" w:rsidP="00DA4DCF">
      <w:pPr>
        <w:autoSpaceDE w:val="0"/>
        <w:autoSpaceDN w:val="0"/>
        <w:adjustRightInd w:val="0"/>
        <w:ind w:left="0" w:firstLine="0"/>
        <w:rPr>
          <w:b/>
          <w:sz w:val="22"/>
          <w:lang w:val="en-GB"/>
        </w:rPr>
      </w:pPr>
      <w:r w:rsidRPr="002C75B8">
        <w:rPr>
          <w:b/>
          <w:sz w:val="22"/>
          <w:lang w:val="en-GB"/>
        </w:rPr>
        <w:t>SOURCES OF INFORMATION</w:t>
      </w:r>
    </w:p>
    <w:p w:rsidR="00DA4DCF" w:rsidRPr="002C75B8" w:rsidRDefault="00DA4DCF" w:rsidP="00DA4DCF">
      <w:pPr>
        <w:autoSpaceDE w:val="0"/>
        <w:autoSpaceDN w:val="0"/>
        <w:adjustRightInd w:val="0"/>
        <w:ind w:left="0" w:firstLine="0"/>
        <w:rPr>
          <w:b/>
          <w:sz w:val="22"/>
          <w:lang w:val="en-GB"/>
        </w:rPr>
      </w:pPr>
    </w:p>
    <w:p w:rsidR="00DA4DCF" w:rsidRPr="00FD5714" w:rsidRDefault="00DA4DCF" w:rsidP="00DA4DCF">
      <w:pPr>
        <w:numPr>
          <w:ilvl w:val="0"/>
          <w:numId w:val="5"/>
        </w:numPr>
        <w:ind w:right="-1"/>
        <w:rPr>
          <w:bCs/>
          <w:i/>
          <w:iCs/>
          <w:sz w:val="22"/>
        </w:rPr>
      </w:pPr>
      <w:r>
        <w:rPr>
          <w:sz w:val="22"/>
          <w:lang w:val="en-GB"/>
        </w:rPr>
        <w:t>Dr</w:t>
      </w:r>
      <w:r w:rsidRPr="002C75B8">
        <w:rPr>
          <w:sz w:val="22"/>
          <w:lang w:val="en-GB"/>
        </w:rPr>
        <w:t xml:space="preserve"> Kobkan Kanjanopas</w:t>
      </w:r>
      <w:r>
        <w:rPr>
          <w:sz w:val="22"/>
          <w:lang w:val="en-GB"/>
        </w:rPr>
        <w:t>.</w:t>
      </w:r>
      <w:r w:rsidRPr="002C75B8">
        <w:rPr>
          <w:sz w:val="22"/>
          <w:lang w:val="en-GB"/>
        </w:rPr>
        <w:t xml:space="preserve"> Bureau of Vector Borne Disease </w:t>
      </w:r>
      <w:r>
        <w:rPr>
          <w:sz w:val="22"/>
          <w:lang w:val="en-GB"/>
        </w:rPr>
        <w:t>D</w:t>
      </w:r>
      <w:r w:rsidRPr="002C75B8">
        <w:rPr>
          <w:sz w:val="22"/>
          <w:lang w:val="en-GB"/>
        </w:rPr>
        <w:t>epartment</w:t>
      </w:r>
      <w:r>
        <w:rPr>
          <w:sz w:val="22"/>
          <w:lang w:val="en-GB"/>
        </w:rPr>
        <w:t>,</w:t>
      </w:r>
      <w:r w:rsidRPr="002C75B8">
        <w:rPr>
          <w:sz w:val="22"/>
          <w:lang w:val="en-GB"/>
        </w:rPr>
        <w:t xml:space="preserve"> </w:t>
      </w:r>
      <w:r>
        <w:rPr>
          <w:sz w:val="22"/>
          <w:lang w:val="en-GB"/>
        </w:rPr>
        <w:t>M</w:t>
      </w:r>
      <w:r w:rsidRPr="002C75B8">
        <w:rPr>
          <w:sz w:val="22"/>
          <w:lang w:val="en-GB"/>
        </w:rPr>
        <w:t>inistry of Public Health</w:t>
      </w:r>
      <w:r>
        <w:rPr>
          <w:sz w:val="22"/>
          <w:lang w:val="en-GB"/>
        </w:rPr>
        <w:t xml:space="preserve">. </w:t>
      </w:r>
      <w:r w:rsidRPr="002D7A89">
        <w:rPr>
          <w:bCs/>
          <w:i/>
          <w:iCs/>
          <w:sz w:val="22"/>
          <w:lang w:val="en-GB"/>
        </w:rPr>
        <w:t xml:space="preserve">WHO informal consultation on epidemiological information on disease burden due to kala-azar in </w:t>
      </w:r>
      <w:smartTag w:uri="urn:schemas-microsoft-com:office:smarttags" w:element="country-region">
        <w:r w:rsidRPr="002D7A89">
          <w:rPr>
            <w:bCs/>
            <w:i/>
            <w:iCs/>
            <w:sz w:val="22"/>
            <w:lang w:val="en-GB"/>
          </w:rPr>
          <w:t>Bangladesh</w:t>
        </w:r>
      </w:smartTag>
      <w:r w:rsidRPr="002D7A89">
        <w:rPr>
          <w:bCs/>
          <w:i/>
          <w:iCs/>
          <w:sz w:val="22"/>
          <w:lang w:val="en-GB"/>
        </w:rPr>
        <w:t xml:space="preserve">, </w:t>
      </w:r>
      <w:smartTag w:uri="urn:schemas-microsoft-com:office:smarttags" w:element="country-region">
        <w:r w:rsidRPr="002D7A89">
          <w:rPr>
            <w:bCs/>
            <w:i/>
            <w:iCs/>
            <w:sz w:val="22"/>
            <w:lang w:val="en-GB"/>
          </w:rPr>
          <w:t>India</w:t>
        </w:r>
      </w:smartTag>
      <w:r w:rsidRPr="002D7A89">
        <w:rPr>
          <w:bCs/>
          <w:i/>
          <w:iCs/>
          <w:sz w:val="22"/>
          <w:lang w:val="en-GB"/>
        </w:rPr>
        <w:t xml:space="preserve"> and </w:t>
      </w:r>
      <w:smartTag w:uri="urn:schemas-microsoft-com:office:smarttags" w:element="place">
        <w:smartTag w:uri="urn:schemas-microsoft-com:office:smarttags" w:element="country-region">
          <w:r w:rsidRPr="002D7A89">
            <w:rPr>
              <w:bCs/>
              <w:i/>
              <w:iCs/>
              <w:sz w:val="22"/>
              <w:lang w:val="en-GB"/>
            </w:rPr>
            <w:t>Nepal</w:t>
          </w:r>
        </w:smartTag>
      </w:smartTag>
      <w:r w:rsidRPr="002D7A89">
        <w:rPr>
          <w:bCs/>
          <w:i/>
          <w:iCs/>
          <w:sz w:val="22"/>
          <w:lang w:val="en-GB"/>
        </w:rPr>
        <w:t xml:space="preserve">. </w:t>
      </w:r>
      <w:r w:rsidRPr="00FD5714">
        <w:rPr>
          <w:bCs/>
          <w:i/>
          <w:iCs/>
          <w:sz w:val="22"/>
        </w:rPr>
        <w:t xml:space="preserve">Paro, </w:t>
      </w:r>
      <w:proofErr w:type="spellStart"/>
      <w:r w:rsidRPr="00FD5714">
        <w:rPr>
          <w:bCs/>
          <w:i/>
          <w:iCs/>
          <w:sz w:val="22"/>
        </w:rPr>
        <w:t>Bhutan</w:t>
      </w:r>
      <w:proofErr w:type="spellEnd"/>
      <w:r w:rsidRPr="00FD5714">
        <w:rPr>
          <w:bCs/>
          <w:i/>
          <w:iCs/>
          <w:sz w:val="22"/>
        </w:rPr>
        <w:t xml:space="preserve">, 8-10 </w:t>
      </w:r>
      <w:proofErr w:type="spellStart"/>
      <w:r w:rsidRPr="00FD5714">
        <w:rPr>
          <w:bCs/>
          <w:i/>
          <w:iCs/>
          <w:sz w:val="22"/>
        </w:rPr>
        <w:t>March</w:t>
      </w:r>
      <w:proofErr w:type="spellEnd"/>
      <w:r w:rsidRPr="00FD5714">
        <w:rPr>
          <w:bCs/>
          <w:i/>
          <w:iCs/>
          <w:sz w:val="22"/>
        </w:rPr>
        <w:t xml:space="preserve"> 2011</w:t>
      </w:r>
      <w:r>
        <w:rPr>
          <w:bCs/>
          <w:i/>
          <w:iCs/>
          <w:sz w:val="22"/>
        </w:rPr>
        <w:t>.</w:t>
      </w:r>
    </w:p>
    <w:p w:rsidR="00DA4DCF" w:rsidRPr="002C75B8" w:rsidRDefault="00DA4DCF" w:rsidP="00DA4DCF">
      <w:pPr>
        <w:ind w:left="0" w:firstLine="0"/>
        <w:rPr>
          <w:sz w:val="22"/>
          <w:lang w:val="en-GB"/>
        </w:rPr>
      </w:pPr>
    </w:p>
    <w:p w:rsidR="002F7C1A" w:rsidRDefault="002F7C1A" w:rsidP="00DA4DCF"/>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50C6"/>
    <w:multiLevelType w:val="hybridMultilevel"/>
    <w:tmpl w:val="12D49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A4DCF"/>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661A"/>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A4DCF"/>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DCF"/>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DA4DCF"/>
    <w:pPr>
      <w:spacing w:before="100" w:beforeAutospacing="1" w:after="100" w:afterAutospacing="1"/>
      <w:ind w:left="0" w:firstLine="0"/>
      <w:jc w:val="left"/>
    </w:pPr>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DA4DCF"/>
    <w:rPr>
      <w:rFonts w:ascii="Tahoma" w:hAnsi="Tahoma" w:cs="Tahoma"/>
      <w:sz w:val="16"/>
      <w:szCs w:val="16"/>
    </w:rPr>
  </w:style>
  <w:style w:type="character" w:customStyle="1" w:styleId="BalloonTextChar">
    <w:name w:val="Balloon Text Char"/>
    <w:basedOn w:val="DefaultParagraphFont"/>
    <w:link w:val="BalloonText"/>
    <w:uiPriority w:val="99"/>
    <w:semiHidden/>
    <w:rsid w:val="00DA4DCF"/>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34"/>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1584158415841596E-2"/>
          <c:y val="5.944055944055944E-2"/>
          <c:w val="0.89603960396039628"/>
          <c:h val="0.76223776223776218"/>
        </c:manualLayout>
      </c:layout>
      <c:bar3DChart>
        <c:barDir val="col"/>
        <c:grouping val="clustered"/>
        <c:ser>
          <c:idx val="0"/>
          <c:order val="0"/>
          <c:tx>
            <c:strRef>
              <c:f>Sheet1!$A$2</c:f>
              <c:strCache>
                <c:ptCount val="1"/>
                <c:pt idx="0">
                  <c:v>VL cases</c:v>
                </c:pt>
              </c:strCache>
            </c:strRef>
          </c:tx>
          <c:spPr>
            <a:solidFill>
              <a:srgbClr val="0066CC"/>
            </a:solidFill>
            <a:ln w="12706">
              <a:solidFill>
                <a:srgbClr val="000000"/>
              </a:solidFill>
              <a:prstDash val="solid"/>
            </a:ln>
          </c:spPr>
          <c:cat>
            <c:numRef>
              <c:f>Sheet1!$B$1:$S$1</c:f>
              <c:numCache>
                <c:formatCode>General</c:formatCode>
                <c:ptCount val="18"/>
                <c:pt idx="0">
                  <c:v>1960</c:v>
                </c:pt>
                <c:pt idx="2">
                  <c:v>1977</c:v>
                </c:pt>
                <c:pt idx="4">
                  <c:v>1981</c:v>
                </c:pt>
                <c:pt idx="5">
                  <c:v>1982</c:v>
                </c:pt>
                <c:pt idx="6">
                  <c:v>1984</c:v>
                </c:pt>
                <c:pt idx="7">
                  <c:v>1985</c:v>
                </c:pt>
                <c:pt idx="8">
                  <c:v>1986</c:v>
                </c:pt>
                <c:pt idx="9">
                  <c:v>1987</c:v>
                </c:pt>
                <c:pt idx="11">
                  <c:v>1997</c:v>
                </c:pt>
                <c:pt idx="13">
                  <c:v>2006</c:v>
                </c:pt>
                <c:pt idx="14">
                  <c:v>2007</c:v>
                </c:pt>
                <c:pt idx="15">
                  <c:v>2008</c:v>
                </c:pt>
                <c:pt idx="16">
                  <c:v>2009</c:v>
                </c:pt>
                <c:pt idx="17">
                  <c:v>2010</c:v>
                </c:pt>
              </c:numCache>
            </c:numRef>
          </c:cat>
          <c:val>
            <c:numRef>
              <c:f>Sheet1!$B$2:$S$2</c:f>
              <c:numCache>
                <c:formatCode>General</c:formatCode>
                <c:ptCount val="18"/>
                <c:pt idx="0">
                  <c:v>1</c:v>
                </c:pt>
                <c:pt idx="2">
                  <c:v>1</c:v>
                </c:pt>
                <c:pt idx="4">
                  <c:v>2</c:v>
                </c:pt>
                <c:pt idx="5">
                  <c:v>3</c:v>
                </c:pt>
                <c:pt idx="6">
                  <c:v>1</c:v>
                </c:pt>
                <c:pt idx="7">
                  <c:v>6</c:v>
                </c:pt>
                <c:pt idx="8">
                  <c:v>6</c:v>
                </c:pt>
                <c:pt idx="9">
                  <c:v>24</c:v>
                </c:pt>
                <c:pt idx="11">
                  <c:v>11</c:v>
                </c:pt>
                <c:pt idx="13">
                  <c:v>1</c:v>
                </c:pt>
                <c:pt idx="14">
                  <c:v>2</c:v>
                </c:pt>
                <c:pt idx="15">
                  <c:v>4</c:v>
                </c:pt>
                <c:pt idx="16">
                  <c:v>1</c:v>
                </c:pt>
                <c:pt idx="17">
                  <c:v>2</c:v>
                </c:pt>
              </c:numCache>
            </c:numRef>
          </c:val>
        </c:ser>
        <c:gapDepth val="0"/>
        <c:shape val="box"/>
        <c:axId val="285526656"/>
        <c:axId val="285528448"/>
        <c:axId val="0"/>
      </c:bar3DChart>
      <c:catAx>
        <c:axId val="285526656"/>
        <c:scaling>
          <c:orientation val="minMax"/>
        </c:scaling>
        <c:axPos val="b"/>
        <c:numFmt formatCode="General" sourceLinked="1"/>
        <c:tickLblPos val="low"/>
        <c:spPr>
          <a:ln w="3176">
            <a:solidFill>
              <a:srgbClr val="000000"/>
            </a:solidFill>
            <a:prstDash val="solid"/>
          </a:ln>
        </c:spPr>
        <c:txPr>
          <a:bodyPr rot="0" vert="horz"/>
          <a:lstStyle/>
          <a:p>
            <a:pPr>
              <a:defRPr sz="1226" b="1" i="0" u="none" strike="noStrike" baseline="0">
                <a:solidFill>
                  <a:srgbClr val="000000"/>
                </a:solidFill>
                <a:latin typeface="Arial"/>
                <a:ea typeface="Arial"/>
                <a:cs typeface="Arial"/>
              </a:defRPr>
            </a:pPr>
            <a:endParaRPr lang="en-US"/>
          </a:p>
        </c:txPr>
        <c:crossAx val="285528448"/>
        <c:crosses val="autoZero"/>
        <c:auto val="1"/>
        <c:lblAlgn val="ctr"/>
        <c:lblOffset val="100"/>
        <c:tickLblSkip val="2"/>
        <c:tickMarkSkip val="1"/>
      </c:catAx>
      <c:valAx>
        <c:axId val="285528448"/>
        <c:scaling>
          <c:orientation val="minMax"/>
        </c:scaling>
        <c:axPos val="l"/>
        <c:numFmt formatCode="General" sourceLinked="1"/>
        <c:tickLblPos val="nextTo"/>
        <c:spPr>
          <a:ln w="3176">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85526656"/>
        <c:crosses val="autoZero"/>
        <c:crossBetween val="between"/>
      </c:valAx>
      <c:dTable>
        <c:showHorzBorder val="1"/>
        <c:showVertBorder val="1"/>
        <c:showOutline val="1"/>
        <c:showKeys val="1"/>
        <c:spPr>
          <a:ln w="3176">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en-US"/>
          </a:p>
        </c:txPr>
      </c:dTable>
      <c:spPr>
        <a:noFill/>
        <a:ln w="25411">
          <a:noFill/>
        </a:ln>
      </c:spPr>
    </c:plotArea>
    <c:plotVisOnly val="1"/>
    <c:dispBlanksAs val="gap"/>
  </c:chart>
  <c:spPr>
    <a:noFill/>
    <a:ln>
      <a:noFill/>
    </a:ln>
  </c:spPr>
  <c:txPr>
    <a:bodyPr/>
    <a:lstStyle/>
    <a:p>
      <a:pPr>
        <a:defRPr sz="1226"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2012-04-02T15:00:00Z</dcterms:created>
  <dcterms:modified xsi:type="dcterms:W3CDTF">2012-04-02T15:05:00Z</dcterms:modified>
</cp:coreProperties>
</file>