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EE" w:rsidRDefault="00E84AEE" w:rsidP="00E84AEE">
      <w:pPr>
        <w:rPr>
          <w:b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EF5963">
            <w:rPr>
              <w:b/>
              <w:u w:val="single"/>
              <w:lang w:val="en-GB"/>
            </w:rPr>
            <w:t>SUDAN</w:t>
          </w:r>
        </w:smartTag>
      </w:smartTag>
    </w:p>
    <w:p w:rsidR="00E84AEE" w:rsidRDefault="00E84AEE" w:rsidP="00E84AEE">
      <w:pPr>
        <w:rPr>
          <w:b/>
          <w:u w:val="single"/>
          <w:lang w:val="en-GB"/>
        </w:rPr>
      </w:pPr>
    </w:p>
    <w:p w:rsidR="00E84AEE" w:rsidRDefault="00E84AEE" w:rsidP="00E84AEE">
      <w:pPr>
        <w:rPr>
          <w:b/>
          <w:u w:val="single"/>
          <w:lang w:val="en-GB"/>
        </w:rPr>
      </w:pPr>
      <w:r>
        <w:rPr>
          <w:b/>
          <w:noProof/>
          <w:u w:val="single"/>
          <w:lang w:val="en-US"/>
        </w:rPr>
        <w:drawing>
          <wp:inline distT="0" distB="0" distL="0" distR="0">
            <wp:extent cx="2971800" cy="19919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EE" w:rsidRPr="00BF76A6" w:rsidRDefault="00E84AEE" w:rsidP="00E84AEE">
      <w:pPr>
        <w:rPr>
          <w:b/>
          <w:sz w:val="22"/>
          <w:u w:val="single"/>
          <w:lang w:val="en-GB"/>
        </w:rPr>
      </w:pPr>
    </w:p>
    <w:p w:rsidR="00E84AEE" w:rsidRPr="00BF76A6" w:rsidRDefault="00E84AEE" w:rsidP="00E84AEE">
      <w:pPr>
        <w:ind w:left="0" w:firstLine="0"/>
        <w:rPr>
          <w:noProof/>
          <w:sz w:val="22"/>
          <w:lang w:val="en-GB" w:eastAsia="es-CO"/>
        </w:rPr>
      </w:pP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b/>
          <w:bCs/>
          <w:sz w:val="22"/>
          <w:lang w:val="en-US"/>
        </w:rPr>
        <w:t>BASIC COUNTRY DATA</w:t>
      </w:r>
    </w:p>
    <w:p w:rsidR="00E84AEE" w:rsidRPr="00BF76A6" w:rsidRDefault="00E84AEE" w:rsidP="00E84AEE">
      <w:pPr>
        <w:rPr>
          <w:sz w:val="22"/>
          <w:lang w:val="en-US"/>
        </w:rPr>
      </w:pP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43,551,941</w:t>
      </w:r>
      <w:r w:rsidRPr="00BF76A6">
        <w:rPr>
          <w:sz w:val="22"/>
          <w:lang w:val="en-US"/>
        </w:rPr>
        <w:t xml:space="preserve"> 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 xml:space="preserve">Population 0-14 years: 40% 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>Rural population: 5</w:t>
      </w:r>
      <w:r>
        <w:rPr>
          <w:sz w:val="22"/>
          <w:lang w:val="en-US"/>
        </w:rPr>
        <w:t>5</w:t>
      </w:r>
      <w:r w:rsidRPr="00BF76A6">
        <w:rPr>
          <w:sz w:val="22"/>
          <w:lang w:val="en-US"/>
        </w:rPr>
        <w:t xml:space="preserve">% 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BF76A6">
        <w:rPr>
          <w:sz w:val="22"/>
          <w:lang w:val="en-US"/>
        </w:rPr>
        <w:t>25 a day: no data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no data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 xml:space="preserve">Income status: Lower middle income economy 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 xml:space="preserve">Ranking: </w:t>
      </w:r>
      <w:r>
        <w:rPr>
          <w:sz w:val="22"/>
          <w:lang w:val="en-US"/>
        </w:rPr>
        <w:t>Low</w:t>
      </w:r>
      <w:r w:rsidRPr="00BF76A6">
        <w:rPr>
          <w:sz w:val="22"/>
          <w:lang w:val="en-US"/>
        </w:rPr>
        <w:t xml:space="preserve"> human development (ranking 1</w:t>
      </w:r>
      <w:r>
        <w:rPr>
          <w:sz w:val="22"/>
          <w:lang w:val="en-US"/>
        </w:rPr>
        <w:t>69</w:t>
      </w:r>
      <w:r w:rsidRPr="00BF76A6">
        <w:rPr>
          <w:sz w:val="22"/>
          <w:lang w:val="en-US"/>
        </w:rPr>
        <w:t>)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95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>Life expectancy at birth (years): 6</w:t>
      </w:r>
      <w:r>
        <w:rPr>
          <w:sz w:val="22"/>
          <w:lang w:val="en-US"/>
        </w:rPr>
        <w:t>1</w:t>
      </w:r>
      <w:r w:rsidRPr="00BF76A6">
        <w:rPr>
          <w:sz w:val="22"/>
          <w:lang w:val="en-US"/>
        </w:rPr>
        <w:t xml:space="preserve"> </w:t>
      </w:r>
    </w:p>
    <w:p w:rsidR="00E84AEE" w:rsidRPr="00BF76A6" w:rsidRDefault="00E84AEE" w:rsidP="00E84AEE">
      <w:pPr>
        <w:rPr>
          <w:sz w:val="22"/>
          <w:lang w:val="en-US"/>
        </w:rPr>
      </w:pPr>
      <w:r w:rsidRPr="00BF76A6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BF76A6">
        <w:rPr>
          <w:sz w:val="22"/>
          <w:lang w:val="en-US"/>
        </w:rPr>
        <w:t xml:space="preserve"> life expectancy at birth (years): 49 </w:t>
      </w:r>
    </w:p>
    <w:p w:rsidR="00E84AEE" w:rsidRPr="00BF76A6" w:rsidRDefault="00E84AEE" w:rsidP="00E84AEE">
      <w:pPr>
        <w:rPr>
          <w:sz w:val="22"/>
          <w:lang w:val="en-US"/>
        </w:rPr>
      </w:pPr>
    </w:p>
    <w:p w:rsidR="00E84AEE" w:rsidRPr="00BF76A6" w:rsidRDefault="00E84AEE" w:rsidP="00E84AEE">
      <w:pPr>
        <w:rPr>
          <w:sz w:val="22"/>
          <w:lang w:val="en-US"/>
        </w:rPr>
      </w:pPr>
    </w:p>
    <w:p w:rsidR="00E84AEE" w:rsidRPr="00BF76A6" w:rsidRDefault="00E84AEE" w:rsidP="00E84AEE">
      <w:pPr>
        <w:rPr>
          <w:b/>
          <w:bCs/>
          <w:sz w:val="22"/>
          <w:lang w:val="en-US"/>
        </w:rPr>
      </w:pPr>
      <w:proofErr w:type="gramStart"/>
      <w:r w:rsidRPr="00BF76A6">
        <w:rPr>
          <w:b/>
          <w:bCs/>
          <w:sz w:val="22"/>
          <w:lang w:val="en-US"/>
        </w:rPr>
        <w:t xml:space="preserve">BACKGROUND </w:t>
      </w:r>
      <w:r>
        <w:rPr>
          <w:b/>
          <w:bCs/>
          <w:sz w:val="22"/>
          <w:lang w:val="en-US"/>
        </w:rPr>
        <w:t xml:space="preserve"> </w:t>
      </w:r>
      <w:r w:rsidRPr="00BF76A6">
        <w:rPr>
          <w:b/>
          <w:bCs/>
          <w:sz w:val="22"/>
          <w:lang w:val="en-US"/>
        </w:rPr>
        <w:t>INFORMATION</w:t>
      </w:r>
      <w:proofErr w:type="gramEnd"/>
    </w:p>
    <w:p w:rsidR="00E84AEE" w:rsidRPr="00BF76A6" w:rsidRDefault="00E84AEE" w:rsidP="00E84AEE">
      <w:pPr>
        <w:rPr>
          <w:sz w:val="22"/>
          <w:lang w:val="en-US"/>
        </w:rPr>
      </w:pPr>
    </w:p>
    <w:p w:rsidR="00E84AEE" w:rsidRPr="00BF76A6" w:rsidRDefault="00E84AEE" w:rsidP="00E84AEE">
      <w:pPr>
        <w:ind w:left="0" w:firstLine="0"/>
        <w:rPr>
          <w:sz w:val="22"/>
          <w:lang w:val="en-US"/>
        </w:rPr>
      </w:pPr>
      <w:smartTag w:uri="urn:schemas-microsoft-com:office:smarttags" w:element="country-region">
        <w:smartTag w:uri="urn:schemas-microsoft-com:office:smarttags" w:element="PersonName">
          <w:r w:rsidRPr="00BF76A6">
            <w:rPr>
              <w:sz w:val="22"/>
              <w:lang w:val="en-US"/>
            </w:rPr>
            <w:t>Sudan</w:t>
          </w:r>
        </w:smartTag>
      </w:smartTag>
      <w:r w:rsidRPr="00BF76A6">
        <w:rPr>
          <w:sz w:val="22"/>
          <w:lang w:val="en-US"/>
        </w:rPr>
        <w:t xml:space="preserve"> is the original focus of VL; </w:t>
      </w:r>
      <w:r w:rsidRPr="00BF76A6">
        <w:rPr>
          <w:i/>
          <w:iCs/>
          <w:sz w:val="22"/>
          <w:lang w:val="en-US"/>
        </w:rPr>
        <w:t xml:space="preserve">L.donovani </w:t>
      </w:r>
      <w:r w:rsidRPr="00BF76A6">
        <w:rPr>
          <w:sz w:val="22"/>
          <w:lang w:val="en-US"/>
        </w:rPr>
        <w:t>DNA was found in bone marrow samples from ancient Egyptian and Nubian mummies originating from around 4000 BC</w:t>
      </w:r>
      <w:r>
        <w:rPr>
          <w:sz w:val="22"/>
          <w:lang w:val="en-US"/>
        </w:rPr>
        <w:t xml:space="preserve"> [1] </w:t>
      </w:r>
      <w:r w:rsidRPr="00BF76A6">
        <w:rPr>
          <w:sz w:val="22"/>
          <w:lang w:val="en-US"/>
        </w:rPr>
        <w:t xml:space="preserve">and it has been proposed that the </w:t>
      </w:r>
      <w:r w:rsidRPr="0073510F">
        <w:rPr>
          <w:i/>
          <w:sz w:val="22"/>
          <w:lang w:val="en-US"/>
        </w:rPr>
        <w:t>Leishmania</w:t>
      </w:r>
      <w:r w:rsidRPr="00BF76A6">
        <w:rPr>
          <w:sz w:val="22"/>
          <w:lang w:val="en-US"/>
        </w:rPr>
        <w:t xml:space="preserve"> parasite has evolved before or at the same time as </w:t>
      </w:r>
      <w:r w:rsidRPr="00BF76A6">
        <w:rPr>
          <w:i/>
          <w:iCs/>
          <w:sz w:val="22"/>
          <w:lang w:val="en-US"/>
        </w:rPr>
        <w:t>Homo sapiens</w:t>
      </w:r>
      <w:r w:rsidRPr="00BF76A6">
        <w:rPr>
          <w:sz w:val="22"/>
          <w:lang w:val="en-US"/>
        </w:rPr>
        <w:t xml:space="preserve"> in </w:t>
      </w:r>
      <w:smartTag w:uri="urn:schemas-microsoft-com:office:smarttags" w:element="place">
        <w:r w:rsidRPr="00BF76A6">
          <w:rPr>
            <w:sz w:val="22"/>
            <w:lang w:val="en-US"/>
          </w:rPr>
          <w:t>East Africa</w:t>
        </w:r>
      </w:smartTag>
      <w:r>
        <w:rPr>
          <w:sz w:val="22"/>
          <w:lang w:val="en-US"/>
        </w:rPr>
        <w:t xml:space="preserve"> [2]</w:t>
      </w:r>
      <w:r w:rsidRPr="00BF76A6">
        <w:rPr>
          <w:sz w:val="22"/>
          <w:lang w:val="en-US"/>
        </w:rPr>
        <w:t xml:space="preserve">. The reported occurrence of VL in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ersonName">
            <w:r w:rsidRPr="00BF76A6">
              <w:rPr>
                <w:sz w:val="22"/>
                <w:lang w:val="en-US"/>
              </w:rPr>
              <w:t>Sudan</w:t>
            </w:r>
          </w:smartTag>
        </w:smartTag>
      </w:smartTag>
      <w:r w:rsidRPr="00BF76A6">
        <w:rPr>
          <w:sz w:val="22"/>
          <w:lang w:val="en-US"/>
        </w:rPr>
        <w:t xml:space="preserve"> is wide, erratic and variable</w:t>
      </w:r>
      <w:r>
        <w:rPr>
          <w:sz w:val="22"/>
          <w:lang w:val="en-US"/>
        </w:rPr>
        <w:t xml:space="preserve"> [3]</w:t>
      </w:r>
      <w:r w:rsidRPr="00BF76A6">
        <w:rPr>
          <w:sz w:val="22"/>
          <w:lang w:val="en-US"/>
        </w:rPr>
        <w:t xml:space="preserve">. Following </w:t>
      </w:r>
      <w:r w:rsidRPr="00686228">
        <w:rPr>
          <w:sz w:val="22"/>
          <w:lang w:val="en-US"/>
        </w:rPr>
        <w:t xml:space="preserve">the first </w:t>
      </w:r>
      <w:r>
        <w:rPr>
          <w:sz w:val="22"/>
          <w:lang w:val="en-US"/>
        </w:rPr>
        <w:t xml:space="preserve">reported </w:t>
      </w:r>
      <w:r w:rsidRPr="00686228">
        <w:rPr>
          <w:sz w:val="22"/>
          <w:lang w:val="en-US"/>
        </w:rPr>
        <w:t>case of VL in 1904</w:t>
      </w:r>
      <w:r w:rsidRPr="00BF76A6">
        <w:rPr>
          <w:sz w:val="22"/>
          <w:lang w:val="en-US"/>
        </w:rPr>
        <w:t>, only sporadic cases were reported until the 1930s. Then, endemic areas started to expand considerably and erratically, following an epidemic pattern</w:t>
      </w:r>
      <w:r>
        <w:rPr>
          <w:sz w:val="22"/>
          <w:lang w:val="en-US"/>
        </w:rPr>
        <w:t xml:space="preserve"> [4</w:t>
      </w:r>
      <w:proofErr w:type="gramStart"/>
      <w:r>
        <w:rPr>
          <w:sz w:val="22"/>
          <w:lang w:val="en-US"/>
        </w:rPr>
        <w:t>,5</w:t>
      </w:r>
      <w:proofErr w:type="gramEnd"/>
      <w:r>
        <w:rPr>
          <w:sz w:val="22"/>
          <w:lang w:val="en-US"/>
        </w:rPr>
        <w:t>]</w:t>
      </w:r>
      <w:r w:rsidRPr="00BF76A6">
        <w:rPr>
          <w:sz w:val="22"/>
          <w:lang w:val="en-US"/>
        </w:rPr>
        <w:t xml:space="preserve">. </w:t>
      </w:r>
      <w:proofErr w:type="spellStart"/>
      <w:smartTag w:uri="urn:schemas-microsoft-com:office:smarttags" w:element="PlaceName">
        <w:r w:rsidRPr="00BF76A6">
          <w:rPr>
            <w:sz w:val="22"/>
            <w:lang w:val="en-US"/>
          </w:rPr>
          <w:t>Gedaref</w:t>
        </w:r>
      </w:smartTag>
      <w:proofErr w:type="spellEnd"/>
      <w:r w:rsidRPr="00BF76A6">
        <w:rPr>
          <w:sz w:val="22"/>
          <w:lang w:val="en-US"/>
        </w:rPr>
        <w:t xml:space="preserve"> </w:t>
      </w:r>
      <w:smartTag w:uri="urn:schemas-microsoft-com:office:smarttags" w:element="PlaceType">
        <w:r w:rsidRPr="00BF76A6">
          <w:rPr>
            <w:sz w:val="22"/>
            <w:lang w:val="en-US"/>
          </w:rPr>
          <w:t>State</w:t>
        </w:r>
      </w:smartTag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in </w:t>
      </w:r>
      <w:r>
        <w:rPr>
          <w:sz w:val="22"/>
          <w:lang w:val="en-US"/>
        </w:rPr>
        <w:t xml:space="preserve">northern </w:t>
      </w:r>
      <w:smartTag w:uri="urn:schemas-microsoft-com:office:smarttags" w:element="country-region">
        <w:r w:rsidRPr="00BF76A6">
          <w:rPr>
            <w:sz w:val="22"/>
            <w:lang w:val="en-US"/>
          </w:rPr>
          <w:t>Sudan</w:t>
        </w:r>
      </w:smartTag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is the only known stable </w:t>
      </w:r>
      <w:proofErr w:type="spellStart"/>
      <w:r w:rsidRPr="00BF76A6">
        <w:rPr>
          <w:sz w:val="22"/>
          <w:lang w:val="en-US"/>
        </w:rPr>
        <w:t>hyperendemic</w:t>
      </w:r>
      <w:proofErr w:type="spellEnd"/>
      <w:r w:rsidRPr="00BF76A6">
        <w:rPr>
          <w:sz w:val="22"/>
          <w:lang w:val="en-US"/>
        </w:rPr>
        <w:t xml:space="preserve"> region in </w:t>
      </w:r>
      <w:smartTag w:uri="urn:schemas-microsoft-com:office:smarttags" w:element="country-region">
        <w:smartTag w:uri="urn:schemas-microsoft-com:office:smarttags" w:element="place">
          <w:r w:rsidRPr="00BF76A6">
            <w:rPr>
              <w:sz w:val="22"/>
              <w:lang w:val="en-US"/>
            </w:rPr>
            <w:t>Sudan</w:t>
          </w:r>
        </w:smartTag>
      </w:smartTag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with a consistently high annual incidence of thousands of reported cases. </w:t>
      </w:r>
    </w:p>
    <w:p w:rsidR="00E84AEE" w:rsidRPr="00BF76A6" w:rsidRDefault="00E84AEE" w:rsidP="00E84AEE">
      <w:pPr>
        <w:ind w:left="0" w:firstLine="0"/>
        <w:rPr>
          <w:sz w:val="22"/>
          <w:lang w:val="en-US"/>
        </w:rPr>
      </w:pPr>
    </w:p>
    <w:p w:rsidR="00E84AEE" w:rsidRPr="00BF76A6" w:rsidRDefault="00E84AEE" w:rsidP="00E84AEE">
      <w:pPr>
        <w:ind w:left="0" w:firstLine="0"/>
        <w:rPr>
          <w:sz w:val="22"/>
          <w:lang w:val="en-US"/>
        </w:rPr>
      </w:pPr>
      <w:r w:rsidRPr="00BF76A6">
        <w:rPr>
          <w:sz w:val="22"/>
          <w:lang w:val="en-US"/>
        </w:rPr>
        <w:t xml:space="preserve">In 1990-1992, VL also spread northwards to the south of </w:t>
      </w:r>
      <w:proofErr w:type="spellStart"/>
      <w:smartTag w:uri="urn:schemas-microsoft-com:office:smarttags" w:element="place">
        <w:smartTag w:uri="urn:schemas-microsoft-com:office:smarttags" w:element="PlaceName">
          <w:r w:rsidRPr="00BF76A6">
            <w:rPr>
              <w:sz w:val="22"/>
              <w:lang w:val="en-US"/>
            </w:rPr>
            <w:t>Kordofan</w:t>
          </w:r>
        </w:smartTag>
        <w:proofErr w:type="spellEnd"/>
        <w:r w:rsidRPr="00BF76A6">
          <w:rPr>
            <w:sz w:val="22"/>
            <w:lang w:val="en-US"/>
          </w:rPr>
          <w:t xml:space="preserve"> </w:t>
        </w:r>
        <w:smartTag w:uri="urn:schemas-microsoft-com:office:smarttags" w:element="PlaceType">
          <w:r w:rsidRPr="00BF76A6">
            <w:rPr>
              <w:sz w:val="22"/>
              <w:lang w:val="en-US"/>
            </w:rPr>
            <w:t>State</w:t>
          </w:r>
        </w:smartTag>
      </w:smartTag>
      <w:r w:rsidRPr="00BF76A6">
        <w:rPr>
          <w:sz w:val="22"/>
          <w:lang w:val="en-US"/>
        </w:rPr>
        <w:t xml:space="preserve">, with nomadic tribes moving between this area and </w:t>
      </w:r>
      <w:r w:rsidRPr="003C76A4">
        <w:rPr>
          <w:sz w:val="22"/>
          <w:lang w:val="en-US"/>
        </w:rPr>
        <w:t>Western Upper Nile</w:t>
      </w:r>
      <w:r w:rsidRPr="00BF76A6">
        <w:rPr>
          <w:sz w:val="22"/>
          <w:lang w:val="en-US"/>
        </w:rPr>
        <w:t xml:space="preserve">, causing an </w:t>
      </w:r>
      <w:smartTag w:uri="urn:schemas-microsoft-com:office:smarttags" w:element="PersonName">
        <w:r w:rsidRPr="00BF76A6">
          <w:rPr>
            <w:sz w:val="22"/>
            <w:lang w:val="en-US"/>
          </w:rPr>
          <w:t>outbreak</w:t>
        </w:r>
      </w:smartTag>
      <w:r w:rsidRPr="00BF76A6">
        <w:rPr>
          <w:sz w:val="22"/>
          <w:lang w:val="en-US"/>
        </w:rPr>
        <w:t xml:space="preserve"> in the non-immune population</w:t>
      </w:r>
      <w:r>
        <w:rPr>
          <w:sz w:val="22"/>
          <w:lang w:val="en-US"/>
        </w:rPr>
        <w:t xml:space="preserve"> [3</w:t>
      </w:r>
      <w:proofErr w:type="gramStart"/>
      <w:r>
        <w:rPr>
          <w:sz w:val="22"/>
          <w:lang w:val="en-US"/>
        </w:rPr>
        <w:t>,6</w:t>
      </w:r>
      <w:proofErr w:type="gramEnd"/>
      <w:r>
        <w:rPr>
          <w:sz w:val="22"/>
          <w:lang w:val="en-US"/>
        </w:rPr>
        <w:t>]</w:t>
      </w:r>
      <w:r w:rsidRPr="00BF76A6">
        <w:rPr>
          <w:sz w:val="22"/>
          <w:lang w:val="en-US"/>
        </w:rPr>
        <w:t xml:space="preserve">. </w:t>
      </w:r>
      <w:r>
        <w:rPr>
          <w:sz w:val="22"/>
          <w:lang w:val="en-US"/>
        </w:rPr>
        <w:t>Since</w:t>
      </w:r>
      <w:r w:rsidRPr="00BF76A6">
        <w:rPr>
          <w:sz w:val="22"/>
          <w:lang w:val="en-US"/>
        </w:rPr>
        <w:t xml:space="preserve"> 2006</w:t>
      </w:r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after VL had been absent for 25 years</w:t>
      </w:r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a surge of new cases has been observed </w:t>
      </w:r>
      <w:r>
        <w:rPr>
          <w:sz w:val="22"/>
          <w:lang w:val="en-US"/>
        </w:rPr>
        <w:t xml:space="preserve">in </w:t>
      </w:r>
      <w:smartTag w:uri="urn:schemas-microsoft-com:office:smarttags" w:element="PlaceName">
        <w:r w:rsidRPr="00BF76A6">
          <w:rPr>
            <w:sz w:val="22"/>
            <w:lang w:val="en-US"/>
          </w:rPr>
          <w:t>White Nile</w:t>
        </w:r>
      </w:smartTag>
      <w:r w:rsidRPr="00BF76A6">
        <w:rPr>
          <w:sz w:val="22"/>
          <w:lang w:val="en-US"/>
        </w:rPr>
        <w:t xml:space="preserve"> </w:t>
      </w:r>
      <w:smartTag w:uri="urn:schemas-microsoft-com:office:smarttags" w:element="PlaceType">
        <w:r w:rsidRPr="00BF76A6">
          <w:rPr>
            <w:sz w:val="22"/>
            <w:lang w:val="en-US"/>
          </w:rPr>
          <w:t>State</w:t>
        </w:r>
      </w:smartTag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central </w:t>
      </w:r>
      <w:smartTag w:uri="urn:schemas-microsoft-com:office:smarttags" w:element="country-region">
        <w:smartTag w:uri="urn:schemas-microsoft-com:office:smarttags" w:element="PersonName">
          <w:r w:rsidRPr="00BF76A6">
            <w:rPr>
              <w:sz w:val="22"/>
              <w:lang w:val="en-US"/>
            </w:rPr>
            <w:t>Sudan</w:t>
          </w:r>
        </w:smartTag>
      </w:smartTag>
      <w:r w:rsidRPr="00BF76A6">
        <w:rPr>
          <w:sz w:val="22"/>
          <w:lang w:val="en-US"/>
        </w:rPr>
        <w:t xml:space="preserve">, close to Khartoum </w:t>
      </w:r>
      <w:r>
        <w:rPr>
          <w:sz w:val="22"/>
          <w:lang w:val="en-US"/>
        </w:rPr>
        <w:t>[7]</w:t>
      </w:r>
      <w:r w:rsidRPr="00BF76A6">
        <w:rPr>
          <w:sz w:val="22"/>
          <w:lang w:val="en-US"/>
        </w:rPr>
        <w:t xml:space="preserve">. Transmission during epidemics is predominantly anthroponotic. However, VL occurred in game wardens in uninhabited </w:t>
      </w:r>
      <w:proofErr w:type="spellStart"/>
      <w:r w:rsidRPr="00BF76A6">
        <w:rPr>
          <w:sz w:val="22"/>
          <w:lang w:val="en-US"/>
        </w:rPr>
        <w:t>Dinder</w:t>
      </w:r>
      <w:proofErr w:type="spellEnd"/>
      <w:r w:rsidRPr="00BF76A6">
        <w:rPr>
          <w:sz w:val="22"/>
          <w:lang w:val="en-US"/>
        </w:rPr>
        <w:t xml:space="preserve"> National Park, suggesting transmission was zoonotic in this case </w:t>
      </w:r>
      <w:r>
        <w:rPr>
          <w:sz w:val="22"/>
          <w:lang w:val="en-US"/>
        </w:rPr>
        <w:t>[8]</w:t>
      </w:r>
      <w:r w:rsidRPr="00BF76A6">
        <w:rPr>
          <w:sz w:val="22"/>
          <w:lang w:val="en-US"/>
        </w:rPr>
        <w:t xml:space="preserve">. </w:t>
      </w:r>
      <w:r>
        <w:rPr>
          <w:sz w:val="22"/>
          <w:lang w:val="en-US"/>
        </w:rPr>
        <w:t xml:space="preserve">However, </w:t>
      </w:r>
      <w:r w:rsidRPr="00BF76A6">
        <w:rPr>
          <w:sz w:val="22"/>
          <w:lang w:val="en-US"/>
        </w:rPr>
        <w:t xml:space="preserve">no important animal reservoir has been identified since the discovery of the first case of VL in </w:t>
      </w:r>
      <w:smartTag w:uri="urn:schemas-microsoft-com:office:smarttags" w:element="country-region">
        <w:smartTag w:uri="urn:schemas-microsoft-com:office:smarttags" w:element="place">
          <w:r w:rsidRPr="00BF76A6">
            <w:rPr>
              <w:sz w:val="22"/>
              <w:lang w:val="en-US"/>
            </w:rPr>
            <w:t>Sudan</w:t>
          </w:r>
        </w:smartTag>
      </w:smartTag>
      <w:r>
        <w:rPr>
          <w:sz w:val="22"/>
          <w:lang w:val="en-US"/>
        </w:rPr>
        <w:t>, although</w:t>
      </w:r>
      <w:r w:rsidRPr="00BF76A6">
        <w:rPr>
          <w:sz w:val="22"/>
          <w:lang w:val="en-US"/>
        </w:rPr>
        <w:t xml:space="preserve"> thousands of small and large mammals and reptiles have been </w:t>
      </w:r>
      <w:r w:rsidRPr="00BF76A6">
        <w:rPr>
          <w:sz w:val="22"/>
          <w:lang w:val="en-US"/>
        </w:rPr>
        <w:lastRenderedPageBreak/>
        <w:t xml:space="preserve">investigated </w:t>
      </w:r>
      <w:r>
        <w:rPr>
          <w:sz w:val="22"/>
          <w:lang w:val="en-US"/>
        </w:rPr>
        <w:t>[3]</w:t>
      </w:r>
      <w:r w:rsidRPr="00BF76A6">
        <w:rPr>
          <w:sz w:val="22"/>
          <w:lang w:val="en-US"/>
        </w:rPr>
        <w:t>. Climatic events</w:t>
      </w:r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such as increased annual rainfall</w:t>
      </w:r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have preceded past epidemics</w:t>
      </w:r>
      <w:r>
        <w:rPr>
          <w:sz w:val="22"/>
          <w:lang w:val="en-US"/>
        </w:rPr>
        <w:t xml:space="preserve"> </w:t>
      </w:r>
      <w:r w:rsidRPr="00BF76A6">
        <w:rPr>
          <w:sz w:val="22"/>
          <w:lang w:val="en-US"/>
        </w:rPr>
        <w:t xml:space="preserve">on several occasions </w:t>
      </w:r>
      <w:r>
        <w:rPr>
          <w:sz w:val="22"/>
          <w:lang w:val="en-US"/>
        </w:rPr>
        <w:t>[3</w:t>
      </w:r>
      <w:proofErr w:type="gramStart"/>
      <w:r>
        <w:rPr>
          <w:sz w:val="22"/>
          <w:lang w:val="en-US"/>
        </w:rPr>
        <w:t>,9</w:t>
      </w:r>
      <w:proofErr w:type="gramEnd"/>
      <w:r>
        <w:rPr>
          <w:sz w:val="22"/>
          <w:lang w:val="en-US"/>
        </w:rPr>
        <w:t>]</w:t>
      </w:r>
      <w:r w:rsidRPr="00BF76A6">
        <w:rPr>
          <w:sz w:val="22"/>
          <w:lang w:val="en-US"/>
        </w:rPr>
        <w:t xml:space="preserve">. </w:t>
      </w:r>
      <w:r w:rsidRPr="00BF76A6">
        <w:rPr>
          <w:sz w:val="22"/>
          <w:lang w:val="en-GB"/>
        </w:rPr>
        <w:t xml:space="preserve">In </w:t>
      </w:r>
      <w:proofErr w:type="spellStart"/>
      <w:r w:rsidRPr="00BF76A6">
        <w:rPr>
          <w:sz w:val="22"/>
          <w:lang w:val="en-GB"/>
        </w:rPr>
        <w:t>Gedaref</w:t>
      </w:r>
      <w:proofErr w:type="spellEnd"/>
      <w:r w:rsidRPr="00BF76A6">
        <w:rPr>
          <w:sz w:val="22"/>
          <w:lang w:val="en-GB"/>
        </w:rPr>
        <w:t xml:space="preserve"> state, annual rainfall and altitude were the best predictors</w:t>
      </w:r>
      <w:r>
        <w:rPr>
          <w:sz w:val="22"/>
          <w:lang w:val="en-GB"/>
        </w:rPr>
        <w:t>,</w:t>
      </w:r>
      <w:r w:rsidRPr="00BF76A6">
        <w:rPr>
          <w:sz w:val="22"/>
          <w:lang w:val="en-GB"/>
        </w:rPr>
        <w:t xml:space="preserve"> among many factors that were studied</w:t>
      </w:r>
      <w:r>
        <w:rPr>
          <w:sz w:val="22"/>
          <w:lang w:val="en-GB"/>
        </w:rPr>
        <w:t xml:space="preserve">, </w:t>
      </w:r>
      <w:r w:rsidRPr="00BF76A6">
        <w:rPr>
          <w:sz w:val="22"/>
          <w:lang w:val="en-GB"/>
        </w:rPr>
        <w:t xml:space="preserve">for the occurrence of VL </w:t>
      </w:r>
      <w:r>
        <w:rPr>
          <w:sz w:val="22"/>
          <w:lang w:val="en-GB"/>
        </w:rPr>
        <w:t>[10]</w:t>
      </w:r>
      <w:r w:rsidRPr="00BF76A6">
        <w:rPr>
          <w:sz w:val="22"/>
          <w:lang w:val="en-GB"/>
        </w:rPr>
        <w:t xml:space="preserve">. A resurgence of the </w:t>
      </w:r>
      <w:proofErr w:type="spellStart"/>
      <w:r w:rsidRPr="00BF76A6">
        <w:rPr>
          <w:sz w:val="22"/>
          <w:lang w:val="en-GB"/>
        </w:rPr>
        <w:t>sandfly</w:t>
      </w:r>
      <w:proofErr w:type="spellEnd"/>
      <w:r w:rsidRPr="00BF76A6">
        <w:rPr>
          <w:sz w:val="22"/>
          <w:lang w:val="en-GB"/>
        </w:rPr>
        <w:t xml:space="preserve"> population</w:t>
      </w:r>
      <w:r>
        <w:rPr>
          <w:sz w:val="22"/>
          <w:lang w:val="en-GB"/>
        </w:rPr>
        <w:t>,</w:t>
      </w:r>
      <w:r w:rsidRPr="00BF76A6">
        <w:rPr>
          <w:sz w:val="22"/>
          <w:lang w:val="en-US"/>
        </w:rPr>
        <w:t xml:space="preserve"> as a consequence of </w:t>
      </w:r>
      <w:proofErr w:type="spellStart"/>
      <w:r w:rsidRPr="00BF76A6">
        <w:rPr>
          <w:sz w:val="22"/>
          <w:lang w:val="en-US"/>
        </w:rPr>
        <w:t>regrowth</w:t>
      </w:r>
      <w:proofErr w:type="spellEnd"/>
      <w:r w:rsidRPr="00BF76A6">
        <w:rPr>
          <w:sz w:val="22"/>
          <w:lang w:val="en-US"/>
        </w:rPr>
        <w:t xml:space="preserve"> of Acacia and </w:t>
      </w:r>
      <w:proofErr w:type="spellStart"/>
      <w:r w:rsidRPr="00BF76A6">
        <w:rPr>
          <w:sz w:val="22"/>
          <w:lang w:val="en-US"/>
        </w:rPr>
        <w:t>Balanites</w:t>
      </w:r>
      <w:proofErr w:type="spellEnd"/>
      <w:r w:rsidRPr="00BF76A6">
        <w:rPr>
          <w:sz w:val="22"/>
          <w:lang w:val="en-US"/>
        </w:rPr>
        <w:t xml:space="preserve"> forests destroyed by floods, or </w:t>
      </w:r>
      <w:r>
        <w:rPr>
          <w:sz w:val="22"/>
          <w:lang w:val="en-US"/>
        </w:rPr>
        <w:t>the</w:t>
      </w:r>
      <w:r w:rsidRPr="00BF76A6">
        <w:rPr>
          <w:sz w:val="22"/>
          <w:lang w:val="en-US"/>
        </w:rPr>
        <w:t xml:space="preserve"> interrupted insecticide spraying ha</w:t>
      </w:r>
      <w:r>
        <w:rPr>
          <w:sz w:val="22"/>
          <w:lang w:val="en-US"/>
        </w:rPr>
        <w:t>ve</w:t>
      </w:r>
      <w:r w:rsidRPr="00BF76A6">
        <w:rPr>
          <w:sz w:val="22"/>
          <w:lang w:val="en-US"/>
        </w:rPr>
        <w:t xml:space="preserve"> also been associated with epidemics</w:t>
      </w:r>
      <w:r>
        <w:rPr>
          <w:sz w:val="22"/>
          <w:lang w:val="en-US"/>
        </w:rPr>
        <w:t xml:space="preserve"> [3,11]</w:t>
      </w:r>
      <w:r w:rsidRPr="00BF76A6">
        <w:rPr>
          <w:sz w:val="22"/>
          <w:lang w:val="en-US"/>
        </w:rPr>
        <w:t xml:space="preserve">.   </w:t>
      </w:r>
    </w:p>
    <w:p w:rsidR="00E84AEE" w:rsidRPr="00BF76A6" w:rsidRDefault="00E84AEE" w:rsidP="00E84AEE">
      <w:pPr>
        <w:ind w:left="0" w:firstLine="0"/>
        <w:rPr>
          <w:sz w:val="22"/>
          <w:lang w:val="en-US"/>
        </w:rPr>
      </w:pPr>
    </w:p>
    <w:p w:rsidR="00E84AEE" w:rsidRPr="00417727" w:rsidRDefault="00E84AEE" w:rsidP="00E84AEE">
      <w:pPr>
        <w:ind w:left="0" w:firstLine="0"/>
        <w:rPr>
          <w:sz w:val="22"/>
          <w:lang w:val="en-US"/>
        </w:rPr>
      </w:pPr>
      <w:r w:rsidRPr="00BF76A6">
        <w:rPr>
          <w:sz w:val="22"/>
          <w:lang w:val="en-US"/>
        </w:rPr>
        <w:t xml:space="preserve">PKDL occurs in about 55% of </w:t>
      </w:r>
      <w:smartTag w:uri="urn:schemas-microsoft-com:office:smarttags" w:element="PersonName">
        <w:r w:rsidRPr="00BF76A6">
          <w:rPr>
            <w:sz w:val="22"/>
            <w:lang w:val="en-US"/>
          </w:rPr>
          <w:t>Sudan</w:t>
        </w:r>
      </w:smartTag>
      <w:r w:rsidRPr="00BF76A6">
        <w:rPr>
          <w:sz w:val="22"/>
          <w:lang w:val="en-US"/>
        </w:rPr>
        <w:t>ese patients</w:t>
      </w:r>
      <w:r>
        <w:rPr>
          <w:sz w:val="22"/>
          <w:lang w:val="en-US"/>
        </w:rPr>
        <w:t xml:space="preserve"> [12]</w:t>
      </w:r>
      <w:r w:rsidRPr="00BF76A6">
        <w:rPr>
          <w:sz w:val="22"/>
          <w:lang w:val="en-US"/>
        </w:rPr>
        <w:t>. No HIV coinfected cases have yet been found. Mucosal involvement in VL is uncommon</w:t>
      </w:r>
      <w:r>
        <w:rPr>
          <w:sz w:val="22"/>
          <w:lang w:val="en-US"/>
        </w:rPr>
        <w:t>;</w:t>
      </w:r>
      <w:r w:rsidRPr="00BF76A6">
        <w:rPr>
          <w:sz w:val="22"/>
          <w:lang w:val="en-US"/>
        </w:rPr>
        <w:t xml:space="preserve"> since the disease was first described in 1914</w:t>
      </w:r>
      <w:r>
        <w:rPr>
          <w:sz w:val="22"/>
          <w:lang w:val="en-US"/>
        </w:rPr>
        <w:t xml:space="preserve">, </w:t>
      </w:r>
      <w:r w:rsidRPr="00BF76A6">
        <w:rPr>
          <w:sz w:val="22"/>
          <w:lang w:val="en-US"/>
        </w:rPr>
        <w:t xml:space="preserve">only 64 cases, mostly in adult males from </w:t>
      </w:r>
      <w:r>
        <w:rPr>
          <w:sz w:val="22"/>
          <w:lang w:val="en-US"/>
        </w:rPr>
        <w:t>several</w:t>
      </w:r>
      <w:r w:rsidRPr="00BF76A6">
        <w:rPr>
          <w:sz w:val="22"/>
          <w:lang w:val="en-US"/>
        </w:rPr>
        <w:t xml:space="preserve"> closely related tribes in western </w:t>
      </w:r>
      <w:smartTag w:uri="urn:schemas-microsoft-com:office:smarttags" w:element="PersonName">
        <w:r w:rsidRPr="00BF76A6">
          <w:rPr>
            <w:sz w:val="22"/>
            <w:lang w:val="en-US"/>
          </w:rPr>
          <w:t>Sudan</w:t>
        </w:r>
      </w:smartTag>
      <w:r w:rsidRPr="00BF76A6">
        <w:rPr>
          <w:sz w:val="22"/>
          <w:lang w:val="en-US"/>
        </w:rPr>
        <w:t xml:space="preserve">, </w:t>
      </w:r>
      <w:r>
        <w:rPr>
          <w:sz w:val="22"/>
          <w:lang w:val="en-US"/>
        </w:rPr>
        <w:t>were</w:t>
      </w:r>
      <w:r w:rsidRPr="00BF76A6">
        <w:rPr>
          <w:sz w:val="22"/>
          <w:lang w:val="en-US"/>
        </w:rPr>
        <w:t xml:space="preserve"> </w:t>
      </w:r>
      <w:r>
        <w:rPr>
          <w:sz w:val="22"/>
          <w:lang w:val="en-US"/>
        </w:rPr>
        <w:t>reported</w:t>
      </w:r>
      <w:r w:rsidRPr="00BF76A6">
        <w:rPr>
          <w:sz w:val="22"/>
          <w:lang w:val="en-US"/>
        </w:rPr>
        <w:t xml:space="preserve"> up until 1992 </w:t>
      </w:r>
      <w:r>
        <w:rPr>
          <w:sz w:val="22"/>
          <w:lang w:val="en-US"/>
        </w:rPr>
        <w:t>[13].</w:t>
      </w:r>
    </w:p>
    <w:p w:rsidR="00E84AEE" w:rsidRPr="00BF76A6" w:rsidRDefault="00E84AEE" w:rsidP="00E84AEE">
      <w:pPr>
        <w:ind w:left="0" w:firstLine="0"/>
        <w:rPr>
          <w:sz w:val="22"/>
          <w:lang w:val="en-US"/>
        </w:rPr>
      </w:pPr>
    </w:p>
    <w:p w:rsidR="00E84AEE" w:rsidRPr="00BF76A6" w:rsidRDefault="00E84AEE" w:rsidP="00E84AEE">
      <w:pPr>
        <w:ind w:left="0" w:firstLine="0"/>
        <w:rPr>
          <w:sz w:val="22"/>
          <w:lang w:val="en-US"/>
        </w:rPr>
      </w:pPr>
      <w:r w:rsidRPr="00BF76A6">
        <w:rPr>
          <w:sz w:val="22"/>
          <w:lang w:val="en-US"/>
        </w:rPr>
        <w:t xml:space="preserve">The first </w:t>
      </w:r>
      <w:proofErr w:type="spellStart"/>
      <w:r>
        <w:rPr>
          <w:sz w:val="22"/>
          <w:lang w:val="en-US"/>
        </w:rPr>
        <w:t>autochtonous</w:t>
      </w:r>
      <w:proofErr w:type="spellEnd"/>
      <w:r w:rsidRPr="00BF76A6">
        <w:rPr>
          <w:sz w:val="22"/>
          <w:lang w:val="en-US"/>
        </w:rPr>
        <w:t xml:space="preserve"> case of CL was found in 1911</w:t>
      </w:r>
      <w:r>
        <w:rPr>
          <w:sz w:val="22"/>
          <w:lang w:val="en-US"/>
        </w:rPr>
        <w:t xml:space="preserve"> [14]. </w:t>
      </w:r>
      <w:r w:rsidRPr="00BF76A6">
        <w:rPr>
          <w:sz w:val="22"/>
          <w:lang w:val="en-US"/>
        </w:rPr>
        <w:t xml:space="preserve">The reporting of sporadic cases was followed by three </w:t>
      </w:r>
      <w:smartTag w:uri="urn:schemas-microsoft-com:office:smarttags" w:element="PersonName">
        <w:r w:rsidRPr="00BF76A6">
          <w:rPr>
            <w:sz w:val="22"/>
            <w:lang w:val="en-US"/>
          </w:rPr>
          <w:t>outbreak</w:t>
        </w:r>
      </w:smartTag>
      <w:r w:rsidRPr="00BF76A6">
        <w:rPr>
          <w:sz w:val="22"/>
          <w:lang w:val="en-US"/>
        </w:rPr>
        <w:t xml:space="preserve">s: in the </w:t>
      </w:r>
      <w:proofErr w:type="spellStart"/>
      <w:r w:rsidRPr="00BF76A6">
        <w:rPr>
          <w:sz w:val="22"/>
          <w:lang w:val="en-US"/>
        </w:rPr>
        <w:t>Shendi</w:t>
      </w:r>
      <w:proofErr w:type="spellEnd"/>
      <w:r w:rsidRPr="00BF76A6">
        <w:rPr>
          <w:sz w:val="22"/>
          <w:lang w:val="en-US"/>
        </w:rPr>
        <w:t xml:space="preserve"> Atbara area</w:t>
      </w:r>
      <w:r>
        <w:rPr>
          <w:sz w:val="22"/>
          <w:lang w:val="en-US"/>
        </w:rPr>
        <w:t xml:space="preserve"> </w:t>
      </w:r>
      <w:r w:rsidRPr="00BF76A6">
        <w:rPr>
          <w:sz w:val="22"/>
          <w:lang w:val="en-US"/>
        </w:rPr>
        <w:t>in 1976</w:t>
      </w:r>
      <w:r>
        <w:rPr>
          <w:sz w:val="22"/>
          <w:lang w:val="en-US"/>
        </w:rPr>
        <w:t>-</w:t>
      </w:r>
      <w:r w:rsidRPr="00BF76A6">
        <w:rPr>
          <w:sz w:val="22"/>
          <w:lang w:val="en-US"/>
        </w:rPr>
        <w:t xml:space="preserve">1977, in El </w:t>
      </w:r>
      <w:proofErr w:type="spellStart"/>
      <w:r w:rsidRPr="00BF76A6">
        <w:rPr>
          <w:sz w:val="22"/>
          <w:lang w:val="en-US"/>
        </w:rPr>
        <w:t>Garrasa</w:t>
      </w:r>
      <w:proofErr w:type="spellEnd"/>
      <w:r w:rsidRPr="00BF76A6">
        <w:rPr>
          <w:sz w:val="22"/>
          <w:lang w:val="en-US"/>
        </w:rPr>
        <w:t xml:space="preserve"> in the White Nile area</w:t>
      </w:r>
      <w:r>
        <w:rPr>
          <w:sz w:val="22"/>
          <w:lang w:val="en-US"/>
        </w:rPr>
        <w:t xml:space="preserve"> </w:t>
      </w:r>
      <w:r w:rsidRPr="00BF76A6">
        <w:rPr>
          <w:sz w:val="22"/>
          <w:lang w:val="en-US"/>
        </w:rPr>
        <w:t xml:space="preserve">early 1985, and in </w:t>
      </w:r>
      <w:proofErr w:type="spellStart"/>
      <w:r w:rsidRPr="00BF76A6">
        <w:rPr>
          <w:sz w:val="22"/>
          <w:lang w:val="en-US"/>
        </w:rPr>
        <w:t>Tuti</w:t>
      </w:r>
      <w:proofErr w:type="spellEnd"/>
      <w:r w:rsidRPr="00BF76A6">
        <w:rPr>
          <w:sz w:val="22"/>
          <w:lang w:val="en-US"/>
        </w:rPr>
        <w:t xml:space="preserve"> island</w:t>
      </w:r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at the junction of the Blue and White Nile</w:t>
      </w:r>
      <w:r>
        <w:rPr>
          <w:sz w:val="22"/>
          <w:lang w:val="en-US"/>
        </w:rPr>
        <w:t xml:space="preserve">, </w:t>
      </w:r>
      <w:r w:rsidRPr="00BF76A6">
        <w:rPr>
          <w:sz w:val="22"/>
          <w:lang w:val="en-US"/>
        </w:rPr>
        <w:t xml:space="preserve">in </w:t>
      </w:r>
      <w:smartTag w:uri="urn:schemas-microsoft-com:office:smarttags" w:element="metricconverter">
        <w:smartTagPr>
          <w:attr w:name="ProductID" w:val="1985. In"/>
        </w:smartTagPr>
        <w:r w:rsidRPr="00BF76A6">
          <w:rPr>
            <w:sz w:val="22"/>
            <w:lang w:val="en-US"/>
          </w:rPr>
          <w:t>1985. In</w:t>
        </w:r>
      </w:smartTag>
      <w:r w:rsidRPr="00BF76A6">
        <w:rPr>
          <w:sz w:val="22"/>
          <w:lang w:val="en-US"/>
        </w:rPr>
        <w:t xml:space="preserve"> 1986</w:t>
      </w:r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the number of cases increased dramatically; all age groups were affected with a total of 100,000 cases. Currently</w:t>
      </w:r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CL is endemic in Darfur and </w:t>
      </w:r>
      <w:proofErr w:type="spellStart"/>
      <w:r w:rsidRPr="00BF76A6">
        <w:rPr>
          <w:sz w:val="22"/>
          <w:lang w:val="en-US"/>
        </w:rPr>
        <w:t>Kordofan</w:t>
      </w:r>
      <w:proofErr w:type="spellEnd"/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in addition to the area from Khartoum state up to </w:t>
      </w:r>
      <w:proofErr w:type="spellStart"/>
      <w:r w:rsidRPr="00BF76A6">
        <w:rPr>
          <w:sz w:val="22"/>
          <w:lang w:val="en-US"/>
        </w:rPr>
        <w:t>Atbra</w:t>
      </w:r>
      <w:proofErr w:type="spellEnd"/>
      <w:r>
        <w:rPr>
          <w:sz w:val="22"/>
          <w:lang w:val="en-US"/>
        </w:rPr>
        <w:t>,</w:t>
      </w:r>
      <w:r w:rsidRPr="00BF76A6">
        <w:rPr>
          <w:sz w:val="22"/>
          <w:lang w:val="en-US"/>
        </w:rPr>
        <w:t xml:space="preserve"> in the northern part of the country.</w:t>
      </w:r>
      <w:r>
        <w:rPr>
          <w:sz w:val="22"/>
          <w:lang w:val="en-US"/>
        </w:rPr>
        <w:t xml:space="preserve"> </w:t>
      </w: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sz w:val="22"/>
        </w:rPr>
      </w:pPr>
      <w:r w:rsidRPr="006C29F0">
        <w:rPr>
          <w:b/>
          <w:bCs/>
          <w:sz w:val="22"/>
          <w:lang w:val="it-IT"/>
        </w:rPr>
        <w:t xml:space="preserve">PARASITOLOGICAL INFORMATION </w:t>
      </w:r>
    </w:p>
    <w:p w:rsidR="00E84AEE" w:rsidRDefault="00E84AEE" w:rsidP="00E84AEE">
      <w:pPr>
        <w:ind w:left="0" w:firstLine="0"/>
        <w:rPr>
          <w:lang w:val="en-US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860"/>
        <w:gridCol w:w="2820"/>
        <w:gridCol w:w="2468"/>
      </w:tblGrid>
      <w:tr w:rsidR="00E84AEE" w:rsidRPr="0087718E" w:rsidTr="00A7768B">
        <w:trPr>
          <w:trHeight w:val="399"/>
        </w:trPr>
        <w:tc>
          <w:tcPr>
            <w:tcW w:w="1908" w:type="dxa"/>
          </w:tcPr>
          <w:p w:rsidR="00E84AEE" w:rsidRPr="0087718E" w:rsidRDefault="00E84AEE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87718E">
              <w:rPr>
                <w:rFonts w:eastAsia="Times New Roman"/>
                <w:b/>
                <w:bCs/>
                <w:i/>
                <w:iCs/>
                <w:kern w:val="24"/>
                <w:sz w:val="22"/>
                <w:lang w:eastAsia="es-CO"/>
              </w:rPr>
              <w:t xml:space="preserve">Leishmania </w:t>
            </w:r>
            <w:proofErr w:type="spellStart"/>
            <w:r w:rsidRPr="0087718E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  <w:r w:rsidRPr="0087718E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860" w:type="dxa"/>
          </w:tcPr>
          <w:p w:rsidR="00E84AEE" w:rsidRPr="0087718E" w:rsidRDefault="00E84AEE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87718E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Clinical</w:t>
            </w:r>
            <w:proofErr w:type="spellEnd"/>
            <w:r w:rsidRPr="0087718E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87718E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form</w:t>
            </w:r>
            <w:proofErr w:type="spellEnd"/>
          </w:p>
        </w:tc>
        <w:tc>
          <w:tcPr>
            <w:tcW w:w="2820" w:type="dxa"/>
          </w:tcPr>
          <w:p w:rsidR="00E84AEE" w:rsidRPr="0087718E" w:rsidRDefault="00E84AEE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87718E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Vector </w:t>
            </w:r>
            <w:proofErr w:type="spellStart"/>
            <w:r w:rsidRPr="0087718E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</w:p>
        </w:tc>
        <w:tc>
          <w:tcPr>
            <w:tcW w:w="2468" w:type="dxa"/>
          </w:tcPr>
          <w:p w:rsidR="00E84AEE" w:rsidRPr="0087718E" w:rsidRDefault="00E84AEE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87718E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Reservoirs</w:t>
            </w:r>
            <w:proofErr w:type="spellEnd"/>
          </w:p>
        </w:tc>
      </w:tr>
      <w:tr w:rsidR="00E84AEE" w:rsidRPr="0087718E" w:rsidTr="00A7768B">
        <w:trPr>
          <w:trHeight w:val="324"/>
        </w:trPr>
        <w:tc>
          <w:tcPr>
            <w:tcW w:w="1908" w:type="dxa"/>
            <w:vAlign w:val="center"/>
          </w:tcPr>
          <w:p w:rsidR="00E84AEE" w:rsidRPr="0087718E" w:rsidRDefault="00E84AEE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donovani</w:t>
            </w:r>
            <w:r w:rsidRPr="0087718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E84AEE" w:rsidRPr="00916AF4" w:rsidRDefault="00E84AEE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16AF4">
              <w:rPr>
                <w:rFonts w:ascii="Arial" w:eastAsia="SimSun" w:hAnsi="Arial" w:cs="Arial"/>
                <w:kern w:val="24"/>
                <w:sz w:val="22"/>
                <w:szCs w:val="22"/>
              </w:rPr>
              <w:t>VL, PKDL, ML</w:t>
            </w:r>
            <w:r w:rsidRPr="00916AF4">
              <w:rPr>
                <w:rFonts w:ascii="Arial" w:eastAsia="Cambria" w:hAnsi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:rsidR="00E84AEE" w:rsidRPr="0087718E" w:rsidRDefault="00E84AEE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 xml:space="preserve">P. </w:t>
            </w:r>
            <w:proofErr w:type="spellStart"/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orientalis</w:t>
            </w:r>
            <w:proofErr w:type="spellEnd"/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, P. martini</w:t>
            </w:r>
            <w:r w:rsidRPr="0087718E">
              <w:rPr>
                <w:rFonts w:ascii="Arial" w:eastAsia="Cambria" w:hAnsi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:rsidR="00E84AEE" w:rsidRPr="0087718E" w:rsidRDefault="00E84AEE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718E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Human</w:t>
            </w:r>
            <w:r w:rsidRPr="0087718E">
              <w:rPr>
                <w:rFonts w:ascii="Arial" w:eastAsia="Cambria" w:hAnsi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84AEE" w:rsidRPr="0087718E" w:rsidTr="00A7768B">
        <w:trPr>
          <w:trHeight w:val="324"/>
        </w:trPr>
        <w:tc>
          <w:tcPr>
            <w:tcW w:w="1908" w:type="dxa"/>
            <w:vAlign w:val="center"/>
          </w:tcPr>
          <w:p w:rsidR="00E84AEE" w:rsidRPr="0087718E" w:rsidRDefault="00E84AE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  <w:r w:rsidRPr="0087718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E84AEE" w:rsidRPr="00916AF4" w:rsidRDefault="00E84AE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16AF4">
              <w:rPr>
                <w:rFonts w:ascii="Arial" w:eastAsia="SimSun" w:hAnsi="Arial" w:cs="Arial"/>
                <w:kern w:val="24"/>
                <w:sz w:val="22"/>
                <w:szCs w:val="22"/>
              </w:rPr>
              <w:t>ZVL</w:t>
            </w:r>
            <w:r w:rsidRPr="00916AF4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:rsidR="00E84AEE" w:rsidRPr="0087718E" w:rsidRDefault="00E84AE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718E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  <w:r w:rsidRPr="0087718E">
              <w:rPr>
                <w:rFonts w:ascii="Arial" w:eastAsia="Cambria" w:hAnsi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:rsidR="00E84AEE" w:rsidRPr="00A65B81" w:rsidRDefault="00E84AE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A65B81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A65B81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A65B81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  <w:tr w:rsidR="00E84AEE" w:rsidRPr="0087718E" w:rsidTr="00A7768B">
        <w:trPr>
          <w:trHeight w:val="324"/>
        </w:trPr>
        <w:tc>
          <w:tcPr>
            <w:tcW w:w="1908" w:type="dxa"/>
            <w:vAlign w:val="center"/>
          </w:tcPr>
          <w:p w:rsidR="00E84AEE" w:rsidRPr="0087718E" w:rsidRDefault="00E84AEE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  <w:r w:rsidRPr="0087718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E84AEE" w:rsidRPr="00916AF4" w:rsidRDefault="00E84AEE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16AF4">
              <w:rPr>
                <w:rFonts w:ascii="Arial" w:eastAsia="SimSun" w:hAnsi="Arial" w:cs="Arial"/>
                <w:kern w:val="24"/>
                <w:sz w:val="22"/>
                <w:szCs w:val="22"/>
              </w:rPr>
              <w:t>ZCL, ML</w:t>
            </w:r>
            <w:r w:rsidRPr="00916AF4">
              <w:rPr>
                <w:rFonts w:ascii="Arial" w:eastAsia="Cambria" w:hAnsi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:rsidR="00E84AEE" w:rsidRPr="0087718E" w:rsidRDefault="00E84AEE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papatasi</w:t>
            </w:r>
            <w:proofErr w:type="spellEnd"/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P. </w:t>
            </w:r>
            <w:proofErr w:type="spellStart"/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duboscqi</w:t>
            </w:r>
            <w:proofErr w:type="spellEnd"/>
            <w:r w:rsidRPr="0087718E">
              <w:rPr>
                <w:rFonts w:ascii="Arial" w:eastAsia="Cambria" w:hAnsi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vAlign w:val="center"/>
          </w:tcPr>
          <w:p w:rsidR="00E84AEE" w:rsidRPr="0087718E" w:rsidRDefault="00E84AEE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A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rvicantis</w:t>
            </w:r>
            <w:proofErr w:type="spellEnd"/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7718E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niloticus</w:t>
            </w:r>
            <w:proofErr w:type="spellEnd"/>
            <w:r w:rsidRPr="0087718E">
              <w:rPr>
                <w:rFonts w:ascii="Arial" w:eastAsia="Cambria" w:hAnsi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E84AEE" w:rsidRPr="006C29F0" w:rsidRDefault="00E84AEE" w:rsidP="00E84AEE">
      <w:pPr>
        <w:ind w:left="0" w:firstLine="0"/>
        <w:rPr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  <w:r w:rsidRPr="006C29F0">
        <w:rPr>
          <w:b/>
          <w:sz w:val="22"/>
          <w:lang w:val="en-US"/>
        </w:rPr>
        <w:t xml:space="preserve">MAPS AND TRENDS          </w:t>
      </w: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Visceral leishmaniasis</w:t>
      </w:r>
    </w:p>
    <w:p w:rsidR="00E84AEE" w:rsidRDefault="00E84AEE" w:rsidP="00E84AEE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139700</wp:posOffset>
            </wp:positionV>
            <wp:extent cx="3267075" cy="218884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139700</wp:posOffset>
            </wp:positionV>
            <wp:extent cx="3347085" cy="224282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Default="00E84AEE" w:rsidP="00E84AEE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lastRenderedPageBreak/>
        <w:t>Cutaneous leishmaniasis</w:t>
      </w:r>
    </w:p>
    <w:p w:rsidR="00E84AEE" w:rsidRPr="00B23A59" w:rsidRDefault="00E84AEE" w:rsidP="00E84AEE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546475" cy="2377440"/>
            <wp:effectExtent l="19050" t="0" r="0" b="0"/>
            <wp:docPr id="2" name="Picture 2" descr="SDnCL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nCLb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EE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Pr="00F44188" w:rsidRDefault="00E84AEE" w:rsidP="00E84AEE">
      <w:pPr>
        <w:ind w:left="0" w:firstLine="0"/>
        <w:rPr>
          <w:b/>
          <w:sz w:val="22"/>
          <w:lang w:val="en-GB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157480</wp:posOffset>
            </wp:positionV>
            <wp:extent cx="5607685" cy="2395220"/>
            <wp:effectExtent l="0" t="0" r="0" b="0"/>
            <wp:wrapNone/>
            <wp:docPr id="3" name="Object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6C29F0">
        <w:rPr>
          <w:b/>
          <w:sz w:val="22"/>
          <w:lang w:val="en-US"/>
        </w:rPr>
        <w:t>Visceral leishmaniasis trend</w:t>
      </w:r>
    </w:p>
    <w:p w:rsidR="00E84AEE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ind w:left="0" w:firstLine="0"/>
        <w:rPr>
          <w:b/>
          <w:lang w:val="en-US"/>
        </w:rPr>
      </w:pPr>
      <w:r w:rsidRPr="00264FAC">
        <w:rPr>
          <w:b/>
          <w:lang w:val="en-US"/>
        </w:rPr>
        <w:t xml:space="preserve">  </w:t>
      </w:r>
    </w:p>
    <w:p w:rsidR="00E84AEE" w:rsidRPr="00264FAC" w:rsidRDefault="00E84AEE" w:rsidP="00E84AEE">
      <w:pPr>
        <w:ind w:left="0" w:firstLine="0"/>
        <w:rPr>
          <w:b/>
          <w:lang w:val="en-US"/>
        </w:rPr>
      </w:pPr>
    </w:p>
    <w:p w:rsidR="00E84AEE" w:rsidRPr="00264FAC" w:rsidRDefault="00E84AEE" w:rsidP="00E84AEE">
      <w:pPr>
        <w:ind w:left="0" w:firstLine="0"/>
        <w:rPr>
          <w:b/>
          <w:lang w:val="en-US"/>
        </w:rPr>
      </w:pPr>
    </w:p>
    <w:p w:rsidR="00E84AEE" w:rsidRPr="00264FAC" w:rsidRDefault="00E84AEE" w:rsidP="00E84AEE">
      <w:pPr>
        <w:ind w:left="0" w:firstLine="0"/>
        <w:rPr>
          <w:b/>
          <w:lang w:val="en-US"/>
        </w:rPr>
      </w:pPr>
    </w:p>
    <w:p w:rsidR="00E84AEE" w:rsidRPr="00264FAC" w:rsidRDefault="00E84AEE" w:rsidP="00E84AEE">
      <w:pPr>
        <w:ind w:left="0" w:firstLine="0"/>
        <w:rPr>
          <w:b/>
          <w:lang w:val="en-US"/>
        </w:rPr>
      </w:pPr>
    </w:p>
    <w:p w:rsidR="00E84AEE" w:rsidRPr="00264FAC" w:rsidRDefault="00E84AEE" w:rsidP="00E84AEE">
      <w:pPr>
        <w:ind w:left="0" w:firstLine="0"/>
        <w:rPr>
          <w:b/>
          <w:lang w:val="en-US"/>
        </w:rPr>
      </w:pPr>
    </w:p>
    <w:p w:rsidR="00E84AEE" w:rsidRDefault="00E84AEE" w:rsidP="00E84AEE">
      <w:pPr>
        <w:rPr>
          <w:rFonts w:eastAsia="Times New Roman"/>
          <w:b/>
          <w:bCs/>
          <w:sz w:val="22"/>
          <w:lang w:val="en-US" w:eastAsia="es-ES"/>
        </w:rPr>
      </w:pPr>
      <w:r>
        <w:rPr>
          <w:rFonts w:eastAsia="Times New Roman"/>
          <w:b/>
          <w:bCs/>
          <w:sz w:val="22"/>
          <w:lang w:val="en-US" w:eastAsia="es-ES"/>
        </w:rPr>
        <w:t>Cutaneous leishmaniasis</w:t>
      </w:r>
    </w:p>
    <w:p w:rsidR="00E84AEE" w:rsidRDefault="00E84AEE" w:rsidP="00E84AEE">
      <w:pPr>
        <w:rPr>
          <w:rFonts w:eastAsia="Times New Roman"/>
          <w:b/>
          <w:bCs/>
          <w:sz w:val="22"/>
          <w:lang w:val="en-US"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2463"/>
        <w:tblGridChange w:id="0">
          <w:tblGrid>
            <w:gridCol w:w="1940"/>
            <w:gridCol w:w="2463"/>
          </w:tblGrid>
        </w:tblGridChange>
      </w:tblGrid>
      <w:tr w:rsidR="00E84AEE" w:rsidRPr="00C11721" w:rsidTr="00A7768B">
        <w:tc>
          <w:tcPr>
            <w:tcW w:w="1940" w:type="dxa"/>
          </w:tcPr>
          <w:p w:rsidR="00E84AEE" w:rsidRPr="00C11721" w:rsidRDefault="00E84AE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US" w:eastAsia="es-ES"/>
              </w:rPr>
            </w:pPr>
            <w:r w:rsidRPr="00C11721">
              <w:rPr>
                <w:rFonts w:eastAsia="Times New Roman"/>
                <w:b/>
                <w:bCs/>
                <w:sz w:val="22"/>
                <w:lang w:val="en-US" w:eastAsia="es-ES"/>
              </w:rPr>
              <w:t>Year</w:t>
            </w:r>
          </w:p>
        </w:tc>
        <w:tc>
          <w:tcPr>
            <w:tcW w:w="2463" w:type="dxa"/>
          </w:tcPr>
          <w:p w:rsidR="00E84AEE" w:rsidRPr="00C11721" w:rsidRDefault="00E84AE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US" w:eastAsia="es-ES"/>
              </w:rPr>
            </w:pPr>
            <w:r w:rsidRPr="00C11721">
              <w:rPr>
                <w:rFonts w:eastAsia="Times New Roman"/>
                <w:b/>
                <w:bCs/>
                <w:sz w:val="22"/>
                <w:lang w:val="en-US" w:eastAsia="es-ES"/>
              </w:rPr>
              <w:t>Cases</w:t>
            </w:r>
          </w:p>
        </w:tc>
      </w:tr>
      <w:tr w:rsidR="00E84AEE" w:rsidRPr="00C11721" w:rsidTr="00A7768B">
        <w:tc>
          <w:tcPr>
            <w:tcW w:w="1940" w:type="dxa"/>
          </w:tcPr>
          <w:p w:rsidR="00E84AEE" w:rsidRPr="00C11721" w:rsidRDefault="00E84AE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US" w:eastAsia="es-ES"/>
              </w:rPr>
            </w:pPr>
            <w:r w:rsidRPr="00C11721">
              <w:rPr>
                <w:rFonts w:eastAsia="Times New Roman"/>
                <w:b/>
                <w:bCs/>
                <w:sz w:val="22"/>
                <w:lang w:val="en-US" w:eastAsia="es-ES"/>
              </w:rPr>
              <w:t>2011</w:t>
            </w:r>
          </w:p>
        </w:tc>
        <w:tc>
          <w:tcPr>
            <w:tcW w:w="2463" w:type="dxa"/>
          </w:tcPr>
          <w:p w:rsidR="00E84AEE" w:rsidRPr="00C11721" w:rsidRDefault="00E84AE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US" w:eastAsia="es-ES"/>
              </w:rPr>
            </w:pPr>
            <w:r w:rsidRPr="00C11721">
              <w:rPr>
                <w:rFonts w:eastAsia="Times New Roman"/>
                <w:b/>
                <w:bCs/>
                <w:sz w:val="22"/>
                <w:lang w:val="en-US" w:eastAsia="es-ES"/>
              </w:rPr>
              <w:t>6062</w:t>
            </w:r>
          </w:p>
        </w:tc>
      </w:tr>
    </w:tbl>
    <w:p w:rsidR="00E84AEE" w:rsidRDefault="00E84AEE" w:rsidP="00E84AEE">
      <w:pPr>
        <w:rPr>
          <w:rFonts w:eastAsia="Times New Roman"/>
          <w:b/>
          <w:bCs/>
          <w:sz w:val="22"/>
          <w:lang w:val="en-US" w:eastAsia="es-ES"/>
        </w:rPr>
      </w:pPr>
    </w:p>
    <w:p w:rsidR="00E84AEE" w:rsidRDefault="00E84AEE" w:rsidP="00E84AEE">
      <w:pPr>
        <w:rPr>
          <w:rFonts w:eastAsia="Times New Roman"/>
          <w:b/>
          <w:bCs/>
          <w:sz w:val="22"/>
          <w:lang w:val="en-US" w:eastAsia="es-ES"/>
        </w:rPr>
      </w:pPr>
    </w:p>
    <w:p w:rsidR="00E84AEE" w:rsidRPr="006C29F0" w:rsidRDefault="00E84AEE" w:rsidP="00E84AEE">
      <w:pPr>
        <w:rPr>
          <w:rFonts w:eastAsia="Times New Roman"/>
          <w:b/>
          <w:bCs/>
          <w:sz w:val="22"/>
          <w:lang w:val="en-US" w:eastAsia="es-ES"/>
        </w:rPr>
      </w:pPr>
      <w:r w:rsidRPr="006C29F0">
        <w:rPr>
          <w:rFonts w:eastAsia="Times New Roman"/>
          <w:b/>
          <w:bCs/>
          <w:sz w:val="22"/>
          <w:lang w:val="en-US" w:eastAsia="es-ES"/>
        </w:rPr>
        <w:t>CONTROL</w:t>
      </w:r>
    </w:p>
    <w:p w:rsidR="00E84AEE" w:rsidRPr="006C29F0" w:rsidRDefault="00E84AEE" w:rsidP="00E84AEE">
      <w:pPr>
        <w:rPr>
          <w:rFonts w:eastAsia="Times New Roman"/>
          <w:b/>
          <w:bCs/>
          <w:sz w:val="22"/>
          <w:lang w:val="en-US" w:eastAsia="es-ES"/>
        </w:rPr>
      </w:pPr>
    </w:p>
    <w:p w:rsidR="00E84AEE" w:rsidRPr="006C29F0" w:rsidRDefault="00E84AEE" w:rsidP="00E84AEE">
      <w:pPr>
        <w:ind w:left="0" w:firstLine="0"/>
        <w:rPr>
          <w:rFonts w:eastAsia="Times New Roman"/>
          <w:bCs/>
          <w:sz w:val="22"/>
          <w:lang w:val="en-US" w:eastAsia="es-ES"/>
        </w:rPr>
      </w:pPr>
      <w:r w:rsidRPr="006C29F0">
        <w:rPr>
          <w:rFonts w:eastAsia="Times New Roman"/>
          <w:bCs/>
          <w:sz w:val="22"/>
          <w:lang w:val="en-US" w:eastAsia="es-ES"/>
        </w:rPr>
        <w:t>In Sudan</w:t>
      </w:r>
      <w:r>
        <w:rPr>
          <w:rFonts w:eastAsia="Times New Roman"/>
          <w:bCs/>
          <w:sz w:val="22"/>
          <w:lang w:val="en-US" w:eastAsia="es-ES"/>
        </w:rPr>
        <w:t>,</w:t>
      </w:r>
      <w:r w:rsidRPr="006C29F0">
        <w:rPr>
          <w:rFonts w:eastAsia="Times New Roman"/>
          <w:bCs/>
          <w:sz w:val="22"/>
          <w:lang w:val="en-US" w:eastAsia="es-ES"/>
        </w:rPr>
        <w:t xml:space="preserve"> there is a</w:t>
      </w:r>
      <w:r>
        <w:rPr>
          <w:rFonts w:eastAsia="Times New Roman"/>
          <w:bCs/>
          <w:sz w:val="22"/>
          <w:lang w:val="en-US" w:eastAsia="es-ES"/>
        </w:rPr>
        <w:t xml:space="preserve"> leishmaniasis control program</w:t>
      </w:r>
      <w:r w:rsidRPr="006C29F0">
        <w:rPr>
          <w:rFonts w:eastAsia="Times New Roman"/>
          <w:bCs/>
          <w:sz w:val="22"/>
          <w:lang w:val="en-US" w:eastAsia="es-ES"/>
        </w:rPr>
        <w:t xml:space="preserve"> addressing both CL and VL and notification of VL is mandatory. There is no leishm</w:t>
      </w:r>
      <w:r>
        <w:rPr>
          <w:rFonts w:eastAsia="Times New Roman"/>
          <w:bCs/>
          <w:sz w:val="22"/>
          <w:lang w:val="en-US" w:eastAsia="es-ES"/>
        </w:rPr>
        <w:t>aniasis vector control program</w:t>
      </w:r>
      <w:r w:rsidRPr="006C29F0">
        <w:rPr>
          <w:rFonts w:eastAsia="Times New Roman"/>
          <w:bCs/>
          <w:sz w:val="22"/>
          <w:lang w:val="en-US" w:eastAsia="es-ES"/>
        </w:rPr>
        <w:t xml:space="preserve"> and </w:t>
      </w:r>
      <w:r>
        <w:rPr>
          <w:rFonts w:eastAsia="Times New Roman"/>
          <w:bCs/>
          <w:sz w:val="22"/>
          <w:lang w:val="en-US" w:eastAsia="es-ES"/>
        </w:rPr>
        <w:t xml:space="preserve">no </w:t>
      </w:r>
      <w:proofErr w:type="spellStart"/>
      <w:r>
        <w:rPr>
          <w:rFonts w:eastAsia="Times New Roman"/>
          <w:bCs/>
          <w:sz w:val="22"/>
          <w:lang w:val="en-US" w:eastAsia="es-ES"/>
        </w:rPr>
        <w:t>bednet</w:t>
      </w:r>
      <w:proofErr w:type="spellEnd"/>
      <w:r>
        <w:rPr>
          <w:rFonts w:eastAsia="Times New Roman"/>
          <w:bCs/>
          <w:sz w:val="22"/>
          <w:lang w:val="en-US" w:eastAsia="es-ES"/>
        </w:rPr>
        <w:t xml:space="preserve"> distribution program</w:t>
      </w:r>
      <w:r w:rsidRPr="006C29F0">
        <w:rPr>
          <w:rFonts w:eastAsia="Times New Roman"/>
          <w:bCs/>
          <w:sz w:val="22"/>
          <w:lang w:val="en-US" w:eastAsia="es-ES"/>
        </w:rPr>
        <w:t xml:space="preserve"> in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country-region">
            <w:r w:rsidRPr="006C29F0">
              <w:rPr>
                <w:rFonts w:eastAsia="Times New Roman"/>
                <w:bCs/>
                <w:sz w:val="22"/>
                <w:lang w:val="en-US" w:eastAsia="es-ES"/>
              </w:rPr>
              <w:t>Sudan</w:t>
            </w:r>
          </w:smartTag>
        </w:smartTag>
      </w:smartTag>
      <w:r w:rsidRPr="006C29F0">
        <w:rPr>
          <w:rFonts w:eastAsia="Times New Roman"/>
          <w:bCs/>
          <w:sz w:val="22"/>
          <w:lang w:val="en-US" w:eastAsia="es-ES"/>
        </w:rPr>
        <w:t xml:space="preserve">. </w:t>
      </w:r>
    </w:p>
    <w:p w:rsidR="00E84AEE" w:rsidRPr="006C29F0" w:rsidRDefault="00E84AEE" w:rsidP="00E84AEE">
      <w:pPr>
        <w:ind w:left="0" w:firstLine="0"/>
        <w:rPr>
          <w:rFonts w:eastAsia="Times New Roman"/>
          <w:bCs/>
          <w:sz w:val="22"/>
          <w:lang w:val="en-US" w:eastAsia="es-ES"/>
        </w:rPr>
      </w:pPr>
    </w:p>
    <w:p w:rsidR="00E84AEE" w:rsidRPr="006C29F0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b/>
          <w:sz w:val="22"/>
          <w:lang w:val="en-US"/>
        </w:rPr>
      </w:pPr>
      <w:r w:rsidRPr="006C29F0">
        <w:rPr>
          <w:b/>
          <w:bCs/>
          <w:sz w:val="22"/>
          <w:lang w:val="en-US"/>
        </w:rPr>
        <w:t xml:space="preserve">DIAGNOSIS, TREATMENT </w:t>
      </w:r>
    </w:p>
    <w:p w:rsidR="00E84AEE" w:rsidRPr="006C29F0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bCs/>
          <w:sz w:val="22"/>
          <w:lang w:val="en-US"/>
        </w:rPr>
      </w:pPr>
      <w:r w:rsidRPr="006C29F0">
        <w:rPr>
          <w:b/>
          <w:bCs/>
          <w:sz w:val="22"/>
          <w:lang w:val="en-US"/>
        </w:rPr>
        <w:t>Diagnosis</w:t>
      </w:r>
      <w:r>
        <w:rPr>
          <w:b/>
          <w:bCs/>
          <w:sz w:val="22"/>
          <w:lang w:val="en-US"/>
        </w:rPr>
        <w:t>:</w:t>
      </w:r>
      <w:r w:rsidRPr="006C29F0">
        <w:rPr>
          <w:bCs/>
          <w:sz w:val="22"/>
          <w:lang w:val="en-US"/>
        </w:rPr>
        <w:t xml:space="preserve"> </w:t>
      </w:r>
    </w:p>
    <w:p w:rsidR="00E84AEE" w:rsidRPr="00562689" w:rsidRDefault="00E84AEE" w:rsidP="00E84AEE">
      <w:pPr>
        <w:ind w:left="0" w:firstLine="0"/>
        <w:rPr>
          <w:sz w:val="22"/>
        </w:rPr>
      </w:pPr>
      <w:r w:rsidRPr="00562689">
        <w:rPr>
          <w:sz w:val="22"/>
        </w:rPr>
        <w:t xml:space="preserve">VL: </w:t>
      </w:r>
      <w:proofErr w:type="spellStart"/>
      <w:r w:rsidRPr="00562689">
        <w:rPr>
          <w:sz w:val="22"/>
        </w:rPr>
        <w:t>confirmation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lymph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or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bone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marrow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aspirate</w:t>
      </w:r>
      <w:proofErr w:type="spellEnd"/>
      <w:r w:rsidRPr="00562689">
        <w:rPr>
          <w:sz w:val="22"/>
        </w:rPr>
        <w:t xml:space="preserve">. </w:t>
      </w:r>
    </w:p>
    <w:p w:rsidR="00E84AEE" w:rsidRPr="00562689" w:rsidRDefault="00E84AEE" w:rsidP="00E84AEE">
      <w:pPr>
        <w:ind w:left="0" w:firstLine="0"/>
        <w:rPr>
          <w:sz w:val="22"/>
        </w:rPr>
      </w:pPr>
      <w:r w:rsidRPr="00562689">
        <w:rPr>
          <w:sz w:val="22"/>
        </w:rPr>
        <w:lastRenderedPageBreak/>
        <w:t xml:space="preserve">CL: </w:t>
      </w:r>
      <w:proofErr w:type="spellStart"/>
      <w:r w:rsidRPr="00562689">
        <w:rPr>
          <w:sz w:val="22"/>
        </w:rPr>
        <w:t>only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diagnosed</w:t>
      </w:r>
      <w:proofErr w:type="spellEnd"/>
      <w:r w:rsidRPr="00562689">
        <w:rPr>
          <w:sz w:val="22"/>
        </w:rPr>
        <w:t xml:space="preserve"> in </w:t>
      </w:r>
      <w:proofErr w:type="spellStart"/>
      <w:r w:rsidRPr="00562689">
        <w:rPr>
          <w:sz w:val="22"/>
        </w:rPr>
        <w:t>one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specialized</w:t>
      </w:r>
      <w:proofErr w:type="spellEnd"/>
      <w:r w:rsidRPr="00562689">
        <w:rPr>
          <w:sz w:val="22"/>
        </w:rPr>
        <w:t xml:space="preserve"> center, </w:t>
      </w:r>
      <w:proofErr w:type="spellStart"/>
      <w:r w:rsidRPr="00562689">
        <w:rPr>
          <w:sz w:val="22"/>
        </w:rPr>
        <w:t>by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microscopic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examination</w:t>
      </w:r>
      <w:proofErr w:type="spellEnd"/>
      <w:r w:rsidRPr="00562689">
        <w:rPr>
          <w:sz w:val="22"/>
        </w:rPr>
        <w:t xml:space="preserve"> of </w:t>
      </w:r>
      <w:proofErr w:type="spellStart"/>
      <w:r w:rsidRPr="00562689">
        <w:rPr>
          <w:sz w:val="22"/>
        </w:rPr>
        <w:t>skin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lesions</w:t>
      </w:r>
      <w:proofErr w:type="spellEnd"/>
      <w:r w:rsidRPr="00562689">
        <w:rPr>
          <w:sz w:val="22"/>
        </w:rPr>
        <w:t xml:space="preserve"> </w:t>
      </w:r>
      <w:proofErr w:type="spellStart"/>
      <w:r w:rsidRPr="00562689">
        <w:rPr>
          <w:sz w:val="22"/>
        </w:rPr>
        <w:t>samples</w:t>
      </w:r>
      <w:proofErr w:type="spellEnd"/>
      <w:r w:rsidRPr="00562689">
        <w:rPr>
          <w:sz w:val="22"/>
        </w:rPr>
        <w:t>.</w:t>
      </w:r>
    </w:p>
    <w:p w:rsidR="00E84AEE" w:rsidRPr="006C29F0" w:rsidRDefault="00E84AEE" w:rsidP="00E84AEE">
      <w:pPr>
        <w:ind w:left="0" w:firstLine="0"/>
        <w:rPr>
          <w:bCs/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bCs/>
          <w:sz w:val="22"/>
          <w:lang w:val="en-US"/>
        </w:rPr>
      </w:pPr>
      <w:r w:rsidRPr="006C29F0">
        <w:rPr>
          <w:b/>
          <w:bCs/>
          <w:sz w:val="22"/>
          <w:lang w:val="en-US"/>
        </w:rPr>
        <w:t>Treatment</w:t>
      </w:r>
      <w:r>
        <w:rPr>
          <w:bCs/>
          <w:sz w:val="22"/>
          <w:lang w:val="en-US"/>
        </w:rPr>
        <w:t>:</w:t>
      </w:r>
      <w:r>
        <w:rPr>
          <w:bCs/>
          <w:sz w:val="22"/>
          <w:lang w:val="en-US"/>
        </w:rPr>
        <w:tab/>
      </w:r>
    </w:p>
    <w:p w:rsidR="00E84AEE" w:rsidRDefault="00E84AEE" w:rsidP="00E84AEE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US"/>
        </w:rPr>
        <w:t>VL</w:t>
      </w:r>
      <w:r w:rsidRPr="00562689">
        <w:rPr>
          <w:bCs/>
          <w:sz w:val="22"/>
          <w:lang w:val="en-US"/>
        </w:rPr>
        <w:t xml:space="preserve">: antimonials, 20 mg </w:t>
      </w:r>
      <w:proofErr w:type="spellStart"/>
      <w:r w:rsidRPr="00562689">
        <w:rPr>
          <w:bCs/>
          <w:sz w:val="22"/>
          <w:lang w:val="en-US"/>
        </w:rPr>
        <w:t>Sb</w:t>
      </w:r>
      <w:r w:rsidRPr="00562689">
        <w:rPr>
          <w:bCs/>
          <w:sz w:val="22"/>
          <w:vertAlign w:val="superscript"/>
          <w:lang w:val="en-US"/>
        </w:rPr>
        <w:t>v</w:t>
      </w:r>
      <w:proofErr w:type="spellEnd"/>
      <w:r w:rsidRPr="00562689">
        <w:rPr>
          <w:bCs/>
          <w:sz w:val="22"/>
          <w:lang w:val="en-US"/>
        </w:rPr>
        <w:t>/kg/day for 30 days. Second line: liposomal amphotericin B, 3 mg/kg</w:t>
      </w:r>
      <w:r w:rsidRPr="006C29F0">
        <w:rPr>
          <w:bCs/>
          <w:sz w:val="22"/>
          <w:lang w:val="en-US"/>
        </w:rPr>
        <w:t xml:space="preserve">/alternate days for 14 days (but this drug is not yet in use). Cure rate with antimonials </w:t>
      </w:r>
      <w:r>
        <w:rPr>
          <w:bCs/>
          <w:sz w:val="22"/>
          <w:lang w:val="en-US"/>
        </w:rPr>
        <w:t xml:space="preserve">is </w:t>
      </w:r>
      <w:r w:rsidRPr="006C29F0">
        <w:rPr>
          <w:bCs/>
          <w:sz w:val="22"/>
          <w:lang w:val="en-US"/>
        </w:rPr>
        <w:t xml:space="preserve">close to 100%, with 3% recurring cases. PKDL occurs in 60-80%, severe adverse events in 20% of cases and fatality rate is less than 1%. </w:t>
      </w:r>
    </w:p>
    <w:p w:rsidR="00E84AEE" w:rsidRPr="006C29F0" w:rsidRDefault="00E84AEE" w:rsidP="00E84AEE">
      <w:pPr>
        <w:ind w:left="0" w:firstLine="0"/>
        <w:rPr>
          <w:bCs/>
          <w:sz w:val="22"/>
          <w:lang w:val="en-US"/>
        </w:rPr>
      </w:pPr>
      <w:r w:rsidRPr="00562689">
        <w:rPr>
          <w:bCs/>
          <w:sz w:val="22"/>
          <w:lang w:val="en-US"/>
        </w:rPr>
        <w:t>CL</w:t>
      </w:r>
      <w:r>
        <w:rPr>
          <w:bCs/>
          <w:sz w:val="22"/>
          <w:lang w:val="en-US"/>
        </w:rPr>
        <w:t>:</w:t>
      </w:r>
      <w:r w:rsidRPr="00562689">
        <w:rPr>
          <w:bCs/>
          <w:sz w:val="22"/>
          <w:lang w:val="en-US"/>
        </w:rPr>
        <w:t xml:space="preserve"> antimonials</w:t>
      </w:r>
      <w:r>
        <w:rPr>
          <w:bCs/>
          <w:sz w:val="22"/>
          <w:lang w:val="en-US"/>
        </w:rPr>
        <w:t>.</w:t>
      </w:r>
    </w:p>
    <w:p w:rsidR="00E84AEE" w:rsidRPr="006C29F0" w:rsidRDefault="00E84AEE" w:rsidP="00E84AEE">
      <w:pPr>
        <w:ind w:left="0" w:firstLine="0"/>
        <w:jc w:val="left"/>
        <w:rPr>
          <w:b/>
          <w:bCs/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Pr="006C29F0" w:rsidRDefault="00E84AEE" w:rsidP="00E84AEE">
      <w:pPr>
        <w:rPr>
          <w:b/>
          <w:bCs/>
          <w:sz w:val="22"/>
          <w:lang w:val="en-US"/>
        </w:rPr>
      </w:pPr>
      <w:r w:rsidRPr="006C29F0">
        <w:rPr>
          <w:b/>
          <w:bCs/>
          <w:sz w:val="22"/>
          <w:lang w:val="en-US"/>
        </w:rPr>
        <w:t xml:space="preserve">ACCESS TO CARE </w:t>
      </w:r>
    </w:p>
    <w:p w:rsidR="00E84AEE" w:rsidRPr="006C29F0" w:rsidRDefault="00E84AEE" w:rsidP="00E84AEE">
      <w:pPr>
        <w:rPr>
          <w:sz w:val="22"/>
          <w:lang w:val="en-US"/>
        </w:rPr>
      </w:pPr>
    </w:p>
    <w:p w:rsidR="00E84AEE" w:rsidRDefault="00E84AEE" w:rsidP="00E84AEE">
      <w:pPr>
        <w:ind w:left="0" w:firstLine="0"/>
        <w:rPr>
          <w:sz w:val="22"/>
          <w:lang w:val="en-GB"/>
        </w:rPr>
      </w:pPr>
      <w:r w:rsidRPr="006C29F0">
        <w:rPr>
          <w:sz w:val="22"/>
          <w:lang w:val="en-GB"/>
        </w:rPr>
        <w:t>The Ministry of Health</w:t>
      </w:r>
      <w:r>
        <w:rPr>
          <w:sz w:val="22"/>
          <w:lang w:val="en-GB"/>
        </w:rPr>
        <w:t>,</w:t>
      </w:r>
      <w:r w:rsidRPr="006C29F0">
        <w:rPr>
          <w:sz w:val="22"/>
          <w:lang w:val="en-GB"/>
        </w:rPr>
        <w:t xml:space="preserve"> in collaboration with other organizations and NGOs (MSF, IED, </w:t>
      </w:r>
      <w:proofErr w:type="spellStart"/>
      <w:r w:rsidRPr="006C29F0">
        <w:rPr>
          <w:sz w:val="22"/>
          <w:lang w:val="en-GB"/>
        </w:rPr>
        <w:t>DNDi</w:t>
      </w:r>
      <w:proofErr w:type="spellEnd"/>
      <w:r w:rsidRPr="006C29F0">
        <w:rPr>
          <w:sz w:val="22"/>
          <w:lang w:val="en-GB"/>
        </w:rPr>
        <w:t>, WHO)</w:t>
      </w:r>
      <w:r>
        <w:rPr>
          <w:sz w:val="22"/>
          <w:lang w:val="en-GB"/>
        </w:rPr>
        <w:t>,</w:t>
      </w:r>
      <w:r w:rsidRPr="006C29F0">
        <w:rPr>
          <w:sz w:val="22"/>
          <w:lang w:val="en-GB"/>
        </w:rPr>
        <w:t xml:space="preserve"> provides treatment free of charge for patients, but in teaching hospitals there are fees for registration (2 USD), hospitali</w:t>
      </w:r>
      <w:r>
        <w:rPr>
          <w:sz w:val="22"/>
          <w:lang w:val="en-GB"/>
        </w:rPr>
        <w:t>z</w:t>
      </w:r>
      <w:r w:rsidRPr="006C29F0">
        <w:rPr>
          <w:sz w:val="22"/>
          <w:lang w:val="en-GB"/>
        </w:rPr>
        <w:t xml:space="preserve">ation (7 USD) and lab tests (variable). The Ministry of Health provided antimonials for about </w:t>
      </w:r>
      <w:r>
        <w:rPr>
          <w:sz w:val="22"/>
          <w:lang w:val="en-GB"/>
        </w:rPr>
        <w:t>1,000</w:t>
      </w:r>
      <w:r w:rsidRPr="006C29F0">
        <w:rPr>
          <w:sz w:val="22"/>
          <w:lang w:val="en-GB"/>
        </w:rPr>
        <w:t xml:space="preserve"> patients in 2007 and 2008</w:t>
      </w:r>
      <w:r>
        <w:rPr>
          <w:sz w:val="22"/>
          <w:lang w:val="en-GB"/>
        </w:rPr>
        <w:t>.</w:t>
      </w:r>
      <w:r w:rsidRPr="006C29F0">
        <w:rPr>
          <w:sz w:val="22"/>
          <w:lang w:val="en-GB"/>
        </w:rPr>
        <w:t xml:space="preserve"> </w:t>
      </w:r>
      <w:r>
        <w:rPr>
          <w:sz w:val="22"/>
          <w:lang w:val="en-GB"/>
        </w:rPr>
        <w:t>In addition,</w:t>
      </w:r>
      <w:r w:rsidRPr="006C29F0">
        <w:rPr>
          <w:sz w:val="22"/>
          <w:lang w:val="en-GB"/>
        </w:rPr>
        <w:t xml:space="preserve"> NGOs donated substantial amounts of antimonials in </w:t>
      </w:r>
      <w:proofErr w:type="spellStart"/>
      <w:r w:rsidRPr="006C29F0">
        <w:rPr>
          <w:sz w:val="22"/>
          <w:lang w:val="en-GB"/>
        </w:rPr>
        <w:t>Gedaref</w:t>
      </w:r>
      <w:proofErr w:type="spellEnd"/>
      <w:r w:rsidRPr="006C29F0">
        <w:rPr>
          <w:sz w:val="22"/>
          <w:lang w:val="en-GB"/>
        </w:rPr>
        <w:t xml:space="preserve"> these same years. </w:t>
      </w:r>
      <w:r>
        <w:rPr>
          <w:sz w:val="22"/>
          <w:lang w:val="en-GB"/>
        </w:rPr>
        <w:t>However,</w:t>
      </w:r>
      <w:r w:rsidRPr="006C29F0">
        <w:rPr>
          <w:sz w:val="22"/>
          <w:lang w:val="en-GB"/>
        </w:rPr>
        <w:t xml:space="preserve"> there were severe shortages of antimonials in 2007-2009</w:t>
      </w:r>
      <w:r>
        <w:rPr>
          <w:sz w:val="22"/>
          <w:lang w:val="en-GB"/>
        </w:rPr>
        <w:t>, which</w:t>
      </w:r>
      <w:r w:rsidRPr="006C29F0">
        <w:rPr>
          <w:sz w:val="22"/>
          <w:lang w:val="en-GB"/>
        </w:rPr>
        <w:t xml:space="preserve"> meant a lack of access to treatment for many. Another problem is that there are not enough health faci</w:t>
      </w:r>
      <w:r>
        <w:rPr>
          <w:sz w:val="22"/>
          <w:lang w:val="en-GB"/>
        </w:rPr>
        <w:t>lities where VL can be treated;</w:t>
      </w:r>
      <w:r w:rsidRPr="005B3AA4">
        <w:rPr>
          <w:sz w:val="22"/>
          <w:lang w:val="en-GB"/>
        </w:rPr>
        <w:t xml:space="preserve"> poor patients mostly</w:t>
      </w:r>
      <w:r>
        <w:rPr>
          <w:sz w:val="22"/>
          <w:lang w:val="en-GB"/>
        </w:rPr>
        <w:t xml:space="preserve"> live</w:t>
      </w:r>
      <w:r w:rsidRPr="005B3AA4">
        <w:rPr>
          <w:sz w:val="22"/>
          <w:lang w:val="en-GB"/>
        </w:rPr>
        <w:t xml:space="preserve"> in remote areas with no transport and no awareness of the disease. </w:t>
      </w:r>
      <w:r w:rsidRPr="006C29F0">
        <w:rPr>
          <w:sz w:val="22"/>
          <w:lang w:val="en-GB"/>
        </w:rPr>
        <w:t xml:space="preserve">In </w:t>
      </w:r>
      <w:proofErr w:type="spellStart"/>
      <w:r w:rsidRPr="006C29F0">
        <w:rPr>
          <w:sz w:val="22"/>
          <w:lang w:val="en-GB"/>
        </w:rPr>
        <w:t>Gedaref</w:t>
      </w:r>
      <w:proofErr w:type="spellEnd"/>
      <w:r w:rsidRPr="006C29F0">
        <w:rPr>
          <w:sz w:val="22"/>
          <w:lang w:val="en-GB"/>
        </w:rPr>
        <w:t>, about 10% seeks care in private clinics.</w:t>
      </w: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  <w:r w:rsidRPr="006C29F0">
        <w:rPr>
          <w:sz w:val="22"/>
          <w:lang w:val="en-GB"/>
        </w:rPr>
        <w:t>CL is mostly n</w:t>
      </w:r>
      <w:r>
        <w:rPr>
          <w:sz w:val="22"/>
          <w:lang w:val="en-GB"/>
        </w:rPr>
        <w:t xml:space="preserve">ot </w:t>
      </w:r>
      <w:r w:rsidRPr="006C29F0">
        <w:rPr>
          <w:sz w:val="22"/>
          <w:lang w:val="en-GB"/>
        </w:rPr>
        <w:t xml:space="preserve">diagnosed </w:t>
      </w:r>
      <w:r>
        <w:rPr>
          <w:sz w:val="22"/>
          <w:lang w:val="en-GB"/>
        </w:rPr>
        <w:t>nor</w:t>
      </w:r>
      <w:r w:rsidRPr="006C29F0">
        <w:rPr>
          <w:sz w:val="22"/>
          <w:lang w:val="en-GB"/>
        </w:rPr>
        <w:t xml:space="preserve"> treated in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ersonName">
            <w:r w:rsidRPr="006C29F0">
              <w:rPr>
                <w:sz w:val="22"/>
                <w:lang w:val="en-GB"/>
              </w:rPr>
              <w:t>Sudan</w:t>
            </w:r>
          </w:smartTag>
        </w:smartTag>
      </w:smartTag>
      <w:r w:rsidRPr="006C29F0">
        <w:rPr>
          <w:sz w:val="22"/>
          <w:lang w:val="en-GB"/>
        </w:rPr>
        <w:t xml:space="preserve">. </w:t>
      </w:r>
    </w:p>
    <w:p w:rsidR="00E84AEE" w:rsidRPr="006C29F0" w:rsidRDefault="00E84AEE" w:rsidP="00E84AEE">
      <w:pPr>
        <w:ind w:left="0" w:firstLine="0"/>
        <w:rPr>
          <w:b/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  <w:r w:rsidRPr="006C29F0">
        <w:rPr>
          <w:b/>
          <w:bCs/>
          <w:sz w:val="22"/>
          <w:lang w:val="en-US"/>
        </w:rPr>
        <w:t>ACCESS TO DRUGS</w:t>
      </w: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  <w:r w:rsidRPr="006C29F0">
        <w:rPr>
          <w:sz w:val="22"/>
          <w:lang w:val="en-GB"/>
        </w:rPr>
        <w:t xml:space="preserve">Sodium stibogluconate, amphotericin B and liposomal amphotericin B are included in the National Essential Drug List for </w:t>
      </w:r>
      <w:smartTag w:uri="urn:schemas-microsoft-com:office:smarttags" w:element="place">
        <w:smartTag w:uri="urn:schemas-microsoft-com:office:smarttags" w:element="PersonName">
          <w:smartTag w:uri="urn:schemas-microsoft-com:office:smarttags" w:element="country-region">
            <w:r w:rsidRPr="006C29F0">
              <w:rPr>
                <w:sz w:val="22"/>
                <w:lang w:val="en-GB"/>
              </w:rPr>
              <w:t>Sudan</w:t>
            </w:r>
          </w:smartTag>
        </w:smartTag>
      </w:smartTag>
      <w:r w:rsidRPr="006C29F0">
        <w:rPr>
          <w:sz w:val="22"/>
          <w:lang w:val="en-GB"/>
        </w:rPr>
        <w:t xml:space="preserve">, and there is permission for the use of meglumine antimoniate. During the shortage of antimonials in the </w:t>
      </w:r>
      <w:r>
        <w:rPr>
          <w:sz w:val="22"/>
          <w:lang w:val="en-GB"/>
        </w:rPr>
        <w:t>p</w:t>
      </w:r>
      <w:r w:rsidRPr="006C29F0">
        <w:rPr>
          <w:sz w:val="22"/>
          <w:lang w:val="en-GB"/>
        </w:rPr>
        <w:t xml:space="preserve">ast years, generic sodium stibogluconate was sold in pharmacies in </w:t>
      </w:r>
      <w:proofErr w:type="spellStart"/>
      <w:r w:rsidRPr="006C29F0">
        <w:rPr>
          <w:sz w:val="22"/>
          <w:lang w:val="en-GB"/>
        </w:rPr>
        <w:t>Gedaref</w:t>
      </w:r>
      <w:proofErr w:type="spellEnd"/>
      <w:r w:rsidRPr="006C29F0">
        <w:rPr>
          <w:sz w:val="22"/>
          <w:lang w:val="en-GB"/>
        </w:rPr>
        <w:t xml:space="preserve"> for 10 USD per vial (leading to an adult treatment cost of 70 USD). Sodium stibogluconate (Pentostam, GSK) is registered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ersonName">
            <w:r w:rsidRPr="006C29F0">
              <w:rPr>
                <w:sz w:val="22"/>
                <w:lang w:val="en-GB"/>
              </w:rPr>
              <w:t>Sudan</w:t>
            </w:r>
          </w:smartTag>
        </w:smartTag>
      </w:smartTag>
      <w:r w:rsidRPr="006C29F0">
        <w:rPr>
          <w:sz w:val="22"/>
          <w:lang w:val="en-GB"/>
        </w:rPr>
        <w:t xml:space="preserve">. </w:t>
      </w:r>
    </w:p>
    <w:p w:rsidR="00E84AEE" w:rsidRPr="006C29F0" w:rsidRDefault="00E84AEE" w:rsidP="00E84AEE">
      <w:pPr>
        <w:ind w:left="0" w:firstLine="0"/>
        <w:rPr>
          <w:sz w:val="22"/>
          <w:lang w:val="en-GB"/>
        </w:rPr>
      </w:pPr>
    </w:p>
    <w:p w:rsidR="00E84AEE" w:rsidRPr="006C29F0" w:rsidRDefault="00E84AEE" w:rsidP="00E84AEE">
      <w:pPr>
        <w:ind w:left="0" w:firstLine="0"/>
        <w:rPr>
          <w:sz w:val="22"/>
          <w:lang w:val="en-US"/>
        </w:rPr>
      </w:pPr>
    </w:p>
    <w:p w:rsidR="00E84AEE" w:rsidRPr="006C29F0" w:rsidRDefault="00E84AEE" w:rsidP="00E84AEE">
      <w:pPr>
        <w:ind w:left="0" w:firstLine="0"/>
        <w:rPr>
          <w:b/>
          <w:sz w:val="22"/>
          <w:lang w:val="en-US"/>
        </w:rPr>
      </w:pPr>
      <w:r w:rsidRPr="006C29F0">
        <w:rPr>
          <w:b/>
          <w:sz w:val="22"/>
          <w:lang w:val="en-US"/>
        </w:rPr>
        <w:t>SOURCES OF INFORMATION</w:t>
      </w:r>
    </w:p>
    <w:p w:rsidR="00E84AEE" w:rsidRPr="006C29F0" w:rsidRDefault="00E84AEE" w:rsidP="00E84AEE">
      <w:pPr>
        <w:ind w:left="709" w:hanging="709"/>
        <w:rPr>
          <w:sz w:val="22"/>
          <w:lang w:val="en-US"/>
        </w:rPr>
      </w:pPr>
    </w:p>
    <w:p w:rsidR="00E84AEE" w:rsidRPr="005B3AA4" w:rsidRDefault="00E84AEE" w:rsidP="00E84AEE">
      <w:pPr>
        <w:numPr>
          <w:ilvl w:val="0"/>
          <w:numId w:val="5"/>
        </w:numPr>
        <w:rPr>
          <w:sz w:val="22"/>
          <w:lang w:val="en-US"/>
        </w:rPr>
      </w:pPr>
      <w:r w:rsidRPr="005B3AA4">
        <w:rPr>
          <w:sz w:val="22"/>
          <w:lang w:val="en-US"/>
        </w:rPr>
        <w:t xml:space="preserve">Dr </w:t>
      </w:r>
      <w:proofErr w:type="spellStart"/>
      <w:r w:rsidRPr="005B3AA4">
        <w:rPr>
          <w:sz w:val="22"/>
          <w:lang w:val="en-US"/>
        </w:rPr>
        <w:t>Muzamil</w:t>
      </w:r>
      <w:proofErr w:type="spellEnd"/>
      <w:r w:rsidRPr="005B3AA4">
        <w:rPr>
          <w:sz w:val="22"/>
          <w:lang w:val="en-US"/>
        </w:rPr>
        <w:t xml:space="preserve"> </w:t>
      </w:r>
      <w:proofErr w:type="spellStart"/>
      <w:r w:rsidRPr="005B3AA4">
        <w:rPr>
          <w:sz w:val="22"/>
          <w:lang w:val="en-US"/>
        </w:rPr>
        <w:t>Abelraheem</w:t>
      </w:r>
      <w:proofErr w:type="spellEnd"/>
      <w:r w:rsidRPr="005B3AA4">
        <w:rPr>
          <w:sz w:val="22"/>
          <w:lang w:val="en-US"/>
        </w:rPr>
        <w:t xml:space="preserve"> WHOL/</w:t>
      </w:r>
      <w:proofErr w:type="spellStart"/>
      <w:r w:rsidRPr="005B3AA4">
        <w:rPr>
          <w:sz w:val="22"/>
          <w:lang w:val="en-US"/>
        </w:rPr>
        <w:t>FMoH</w:t>
      </w:r>
      <w:proofErr w:type="spellEnd"/>
      <w:r w:rsidRPr="005B3AA4">
        <w:rPr>
          <w:sz w:val="22"/>
          <w:lang w:val="en-US"/>
        </w:rPr>
        <w:t xml:space="preserve"> </w:t>
      </w:r>
      <w:smartTag w:uri="urn:schemas-microsoft-com:office:smarttags" w:element="place">
        <w:r w:rsidRPr="005B3AA4">
          <w:rPr>
            <w:sz w:val="22"/>
            <w:lang w:val="en-US"/>
          </w:rPr>
          <w:t>North Sudan</w:t>
        </w:r>
      </w:smartTag>
      <w:r>
        <w:rPr>
          <w:sz w:val="22"/>
          <w:lang w:val="en-US"/>
        </w:rPr>
        <w:t>.</w:t>
      </w:r>
    </w:p>
    <w:p w:rsidR="00E84AEE" w:rsidRPr="005B3AA4" w:rsidRDefault="00E84AEE" w:rsidP="00E84AEE">
      <w:pPr>
        <w:numPr>
          <w:ilvl w:val="0"/>
          <w:numId w:val="5"/>
        </w:numPr>
        <w:rPr>
          <w:sz w:val="22"/>
          <w:lang w:val="en-GB"/>
        </w:rPr>
      </w:pPr>
      <w:r w:rsidRPr="005B3AA4">
        <w:rPr>
          <w:sz w:val="22"/>
          <w:lang w:val="en-GB"/>
        </w:rPr>
        <w:t xml:space="preserve">Dr Musa, Institute of Endemic Diseases, </w:t>
      </w:r>
      <w:smartTag w:uri="urn:schemas-microsoft-com:office:smarttags" w:element="place">
        <w:smartTag w:uri="urn:schemas-microsoft-com:office:smarttags" w:element="PlaceType">
          <w:r w:rsidRPr="005B3AA4">
            <w:rPr>
              <w:sz w:val="22"/>
              <w:lang w:val="en-GB"/>
            </w:rPr>
            <w:t>University</w:t>
          </w:r>
        </w:smartTag>
        <w:r w:rsidRPr="005B3AA4">
          <w:rPr>
            <w:sz w:val="22"/>
            <w:lang w:val="en-GB"/>
          </w:rPr>
          <w:t xml:space="preserve"> of </w:t>
        </w:r>
        <w:smartTag w:uri="urn:schemas-microsoft-com:office:smarttags" w:element="PlaceName">
          <w:r w:rsidRPr="005B3AA4">
            <w:rPr>
              <w:sz w:val="22"/>
              <w:lang w:val="en-GB"/>
            </w:rPr>
            <w:t>Khartoum</w:t>
          </w:r>
        </w:smartTag>
      </w:smartTag>
      <w:r>
        <w:rPr>
          <w:sz w:val="22"/>
          <w:lang w:val="en-GB"/>
        </w:rPr>
        <w:t>.</w:t>
      </w:r>
    </w:p>
    <w:p w:rsidR="00E84AEE" w:rsidRPr="005B3AA4" w:rsidRDefault="00E84AEE" w:rsidP="00E84AEE">
      <w:pPr>
        <w:numPr>
          <w:ilvl w:val="0"/>
          <w:numId w:val="5"/>
        </w:numPr>
        <w:rPr>
          <w:sz w:val="22"/>
          <w:lang w:val="pt-BR"/>
        </w:rPr>
      </w:pPr>
      <w:r>
        <w:rPr>
          <w:sz w:val="22"/>
          <w:lang w:val="pt-BR"/>
        </w:rPr>
        <w:t>Dr Manica Balasegeram</w:t>
      </w:r>
      <w:r w:rsidRPr="005B3AA4">
        <w:rPr>
          <w:sz w:val="22"/>
          <w:lang w:val="pt-BR"/>
        </w:rPr>
        <w:t>, DNDi</w:t>
      </w:r>
      <w:r>
        <w:rPr>
          <w:sz w:val="22"/>
          <w:lang w:val="pt-BR"/>
        </w:rPr>
        <w:t>.</w:t>
      </w:r>
      <w:r w:rsidRPr="005B3AA4">
        <w:rPr>
          <w:sz w:val="22"/>
          <w:lang w:val="pt-BR"/>
        </w:rPr>
        <w:t xml:space="preserve"> </w:t>
      </w:r>
    </w:p>
    <w:p w:rsidR="00E84AEE" w:rsidRPr="00916AF4" w:rsidRDefault="00E84AEE" w:rsidP="00E84AEE">
      <w:pPr>
        <w:numPr>
          <w:ilvl w:val="0"/>
          <w:numId w:val="5"/>
        </w:numPr>
        <w:rPr>
          <w:sz w:val="22"/>
        </w:rPr>
      </w:pPr>
      <w:proofErr w:type="spellStart"/>
      <w:r w:rsidRPr="00916AF4">
        <w:rPr>
          <w:sz w:val="22"/>
        </w:rPr>
        <w:t>Dr</w:t>
      </w:r>
      <w:proofErr w:type="spellEnd"/>
      <w:r w:rsidRPr="00916AF4">
        <w:rPr>
          <w:sz w:val="22"/>
        </w:rPr>
        <w:t xml:space="preserve"> </w:t>
      </w:r>
      <w:proofErr w:type="spellStart"/>
      <w:r w:rsidRPr="00916AF4">
        <w:rPr>
          <w:sz w:val="22"/>
        </w:rPr>
        <w:t>Koert</w:t>
      </w:r>
      <w:proofErr w:type="spellEnd"/>
      <w:r w:rsidRPr="00916AF4">
        <w:rPr>
          <w:sz w:val="22"/>
        </w:rPr>
        <w:t xml:space="preserve"> </w:t>
      </w:r>
      <w:proofErr w:type="spellStart"/>
      <w:r w:rsidRPr="00916AF4">
        <w:rPr>
          <w:sz w:val="22"/>
        </w:rPr>
        <w:t>Ritmeijer</w:t>
      </w:r>
      <w:proofErr w:type="spellEnd"/>
      <w:r w:rsidRPr="00916AF4">
        <w:rPr>
          <w:sz w:val="22"/>
        </w:rPr>
        <w:t>, MSF</w:t>
      </w:r>
      <w:r>
        <w:rPr>
          <w:sz w:val="22"/>
        </w:rPr>
        <w:t>-</w:t>
      </w:r>
      <w:proofErr w:type="spellStart"/>
      <w:r>
        <w:rPr>
          <w:sz w:val="22"/>
        </w:rPr>
        <w:t>Holland</w:t>
      </w:r>
      <w:proofErr w:type="spellEnd"/>
      <w:r>
        <w:rPr>
          <w:sz w:val="22"/>
        </w:rPr>
        <w:t>.</w:t>
      </w:r>
    </w:p>
    <w:p w:rsidR="00E84AEE" w:rsidRDefault="00E84AEE" w:rsidP="00E84AEE">
      <w:pPr>
        <w:ind w:left="0" w:firstLine="0"/>
        <w:rPr>
          <w:sz w:val="22"/>
        </w:rPr>
      </w:pPr>
    </w:p>
    <w:p w:rsidR="00E84AEE" w:rsidRPr="00916AF4" w:rsidRDefault="00E84AEE" w:rsidP="00E84AEE">
      <w:pPr>
        <w:ind w:left="0" w:firstLine="0"/>
        <w:rPr>
          <w:sz w:val="22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sz w:val="22"/>
        </w:rPr>
        <w:fldChar w:fldCharType="begin"/>
      </w:r>
      <w:r w:rsidRPr="00657C11">
        <w:rPr>
          <w:sz w:val="22"/>
        </w:rPr>
        <w:instrText xml:space="preserve"> ADDIN EN.REFLIST </w:instrText>
      </w:r>
      <w:r w:rsidRPr="00657C11">
        <w:rPr>
          <w:sz w:val="22"/>
        </w:rPr>
        <w:fldChar w:fldCharType="separate"/>
      </w:r>
      <w:r w:rsidRPr="00657C11">
        <w:rPr>
          <w:noProof/>
          <w:sz w:val="22"/>
        </w:rPr>
        <w:t xml:space="preserve">1. Zink AR, Spigelman M, Schraut B, Greenblatt CL, Nerlich AG, Donoghue HD (2006) Leishmaniasis in ancient Egypt and Upper Nubia. </w:t>
      </w:r>
      <w:r w:rsidRPr="00657C11">
        <w:rPr>
          <w:noProof/>
          <w:sz w:val="22"/>
          <w:lang w:val="en-GB"/>
        </w:rPr>
        <w:t>Emerg Infect Dis 12 (10):1616-1617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en-GB"/>
        </w:rPr>
        <w:t>2. Ibrahim ME (2002) The epidemiology of visceral leishmaniasis in east Africa: hints and molecular revelations. Trans R Soc Trop Med Hyg 96 Suppl 1:S25-29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en-GB"/>
        </w:rPr>
        <w:lastRenderedPageBreak/>
        <w:t>3. Zijlstra EE, el-Hassan AM (2001) Leishmaniasis in Sudan. Visceral leishmaniasis. Trans R Soc Trop Med Hyg 95 Suppl 1:S27-58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en-GB"/>
        </w:rPr>
        <w:t>4. Stephenson R (1940) An epidemic of kala-azar in the Upper Nile province of the Anglo-Egyptian Sudan. Ann Trop Med Parasitol 34:175-179</w:t>
      </w:r>
      <w:r>
        <w:rPr>
          <w:noProof/>
          <w:sz w:val="22"/>
          <w:lang w:val="en-GB"/>
        </w:rPr>
        <w:t>..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da-DK"/>
        </w:rPr>
      </w:pPr>
      <w:r w:rsidRPr="00657C11">
        <w:rPr>
          <w:noProof/>
          <w:sz w:val="22"/>
          <w:lang w:val="en-GB"/>
        </w:rPr>
        <w:t xml:space="preserve">5. Hoogstraal H, Heyneman D (1969) Leishmaniasis in the Sudan. </w:t>
      </w:r>
      <w:r w:rsidRPr="00657C11">
        <w:rPr>
          <w:noProof/>
          <w:sz w:val="22"/>
          <w:lang w:val="da-DK"/>
        </w:rPr>
        <w:t>Am J Trop Med Hyg (18):1091-1210</w:t>
      </w:r>
      <w:r>
        <w:rPr>
          <w:noProof/>
          <w:sz w:val="22"/>
          <w:lang w:val="da-DK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da-DK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da-DK"/>
        </w:rPr>
        <w:t xml:space="preserve">6. Hashim FA, Ali MS, Satti M, el-Hassan AM, Ghalib HW, el Safi S, el Hag IA (1994) An outbreak of acute kala-azar in a nomadic tribe in western Sudan: features of the disease in a previously non-immune population. </w:t>
      </w:r>
      <w:r w:rsidRPr="00657C11">
        <w:rPr>
          <w:noProof/>
          <w:sz w:val="22"/>
          <w:lang w:val="en-GB"/>
        </w:rPr>
        <w:t>Trans R Soc Trop Med Hyg 88 (4):431-432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en-GB"/>
        </w:rPr>
        <w:t>7. Khalil EA, Musa AM, Elgawi SH, Meshasha A, Gamar Eldawla I, Elhassan MO, Eljaleel KA, Younis BM, Elfaki ME, El-Hassan AM (2008) Revival of a focus of visceral leishmaniasis in central Sudan. Ann Trop Med Parasitol 102 (1):79-80. doi:10.1179/136485908X252269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en-GB"/>
        </w:rPr>
        <w:t>8. Ibrahim ME, Lambson B, Yousif AO, Deifalla NS, Alnaiem DA, Ismail A, Yousif H, Ghalib HW, Khalil EA, Kadaro A, Barker DC, El Hassan AM (1999) Kala-azar in a high transmission focus: an ethnic and geographic dimension. Am J Trop Med Hyg 61 (6):941-944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en-GB"/>
        </w:rPr>
        <w:t>9. Marlet MV, Sang DK, Ritmeijer K, Muga RO, Onsongo J, Davidson RN (2003) Emergence or re-emergence of visceral leishmaniasis in areas of Somalia, north-eastern Kenya, and south-eastern Ethiopia in 2000-01. Trans R Soc Trop Med Hyg 97 (5):515-518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en-GB"/>
        </w:rPr>
        <w:t>10. Elnaiem DE, Schorscher J, Bendall A, Obsomer V, Osman ME, Mekkawi AM, Connor SJ, Ashford RW, Thomson MC (2003) Risk mapping of visceral leishmaniasis: the role of local variation in rainfall and altitude on the presence and incidence of kala-azar in eastern Sudan. Am J Trop Med Hyg 68 (1):10-17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r w:rsidRPr="00657C11">
        <w:rPr>
          <w:noProof/>
          <w:sz w:val="22"/>
          <w:lang w:val="en-GB"/>
        </w:rPr>
        <w:t>11. Zijlstra EE, Ali MS, el-Hassan AM, el-Toum IA, Satti M, Ghalib HW, Sondorp E, Winkler A (1991) Kala-azar in displaced people from southern Sudan: epidemiological, clinical and therapeutic findings. Trans R Soc Trop Med Hyg 85 (3):365-369</w:t>
      </w:r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bookmarkStart w:id="1" w:name="_ENREF_12"/>
      <w:r w:rsidRPr="00657C11">
        <w:rPr>
          <w:noProof/>
          <w:sz w:val="22"/>
          <w:lang w:val="en-GB"/>
        </w:rPr>
        <w:t>12. Zijlstra EE, el-Hassan AM (2001) Leishmaniasis in Sudan. Post kala-azar dermal leishmaniasis. Trans R Soc Trop Med Hyg 95 Suppl 1:S59-76</w:t>
      </w:r>
      <w:bookmarkEnd w:id="1"/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bookmarkStart w:id="2" w:name="_ENREF_13"/>
      <w:r w:rsidRPr="00657C11">
        <w:rPr>
          <w:noProof/>
          <w:sz w:val="22"/>
          <w:lang w:val="en-GB"/>
        </w:rPr>
        <w:t>13. el-Hassan AM, Meredith SE, Yagi HI, Khalil EA, Ghalib HW, Abbas K, Zijlstra EE, Kroon CC, Schoone GJ, Ismail A (1995) Sudanese mucosal leishmaniasis: epidemiology, clinical features, diagnosis, immune responses and treatment. Trans R Soc Trop Med Hyg 89 (6):647-652</w:t>
      </w:r>
      <w:bookmarkEnd w:id="2"/>
      <w:r>
        <w:rPr>
          <w:noProof/>
          <w:sz w:val="22"/>
          <w:lang w:val="en-GB"/>
        </w:rPr>
        <w:t>.</w:t>
      </w: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</w:p>
    <w:p w:rsidR="00E84AEE" w:rsidRPr="00657C11" w:rsidRDefault="00E84AEE" w:rsidP="00E84AEE">
      <w:pPr>
        <w:ind w:left="0" w:firstLine="0"/>
        <w:rPr>
          <w:noProof/>
          <w:sz w:val="22"/>
          <w:lang w:val="en-GB"/>
        </w:rPr>
      </w:pPr>
      <w:bookmarkStart w:id="3" w:name="_ENREF_14"/>
      <w:r w:rsidRPr="00657C11">
        <w:rPr>
          <w:noProof/>
          <w:sz w:val="22"/>
          <w:lang w:val="en-GB"/>
        </w:rPr>
        <w:t>14. el-Hassan AM, Zijlstra EE (2001) Leishmaniasis in Sudan. Cutaneous leishmaniasis. Trans R Soc Trop Med Hyg 95 Suppl 1:S1-17</w:t>
      </w:r>
      <w:bookmarkEnd w:id="3"/>
      <w:r>
        <w:rPr>
          <w:noProof/>
          <w:sz w:val="22"/>
          <w:lang w:val="en-GB"/>
        </w:rPr>
        <w:t>.</w:t>
      </w:r>
    </w:p>
    <w:p w:rsidR="002F7C1A" w:rsidRDefault="00E84AEE">
      <w:r w:rsidRPr="00657C11">
        <w:rPr>
          <w:sz w:val="22"/>
        </w:rPr>
        <w:fldChar w:fldCharType="end"/>
      </w:r>
    </w:p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E0D"/>
    <w:multiLevelType w:val="hybridMultilevel"/>
    <w:tmpl w:val="666C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4AEE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4AEE"/>
    <w:rsid w:val="00E87373"/>
    <w:rsid w:val="00EB1F13"/>
    <w:rsid w:val="00EF27B3"/>
    <w:rsid w:val="00F03A91"/>
    <w:rsid w:val="00F14B40"/>
    <w:rsid w:val="00F16575"/>
    <w:rsid w:val="00F25542"/>
    <w:rsid w:val="00F7729A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E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E84A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E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8106712564543938E-2"/>
          <c:y val="5.7851239669421503E-2"/>
          <c:w val="0.88468158347676418"/>
          <c:h val="0.731404958677686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Sheet1!$B$1:$W$1</c:f>
              <c:numCache>
                <c:formatCode>General</c:formatCode>
                <c:ptCount val="14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</c:numCache>
            </c:numRef>
          </c:cat>
          <c:val>
            <c:numRef>
              <c:f>Sheet1!$B$2:$W$2</c:f>
              <c:numCache>
                <c:formatCode>General</c:formatCode>
                <c:ptCount val="14"/>
                <c:pt idx="0">
                  <c:v>5990</c:v>
                </c:pt>
                <c:pt idx="1">
                  <c:v>4922</c:v>
                </c:pt>
                <c:pt idx="2">
                  <c:v>4323</c:v>
                </c:pt>
                <c:pt idx="3">
                  <c:v>3667</c:v>
                </c:pt>
                <c:pt idx="4">
                  <c:v>1911</c:v>
                </c:pt>
                <c:pt idx="5">
                  <c:v>4066</c:v>
                </c:pt>
                <c:pt idx="6">
                  <c:v>7304</c:v>
                </c:pt>
                <c:pt idx="7">
                  <c:v>2619</c:v>
                </c:pt>
                <c:pt idx="8">
                  <c:v>3713</c:v>
                </c:pt>
                <c:pt idx="9">
                  <c:v>1827</c:v>
                </c:pt>
                <c:pt idx="10">
                  <c:v>2788</c:v>
                </c:pt>
                <c:pt idx="11">
                  <c:v>3310</c:v>
                </c:pt>
                <c:pt idx="12">
                  <c:v>4880</c:v>
                </c:pt>
                <c:pt idx="13">
                  <c:v>6957</c:v>
                </c:pt>
              </c:numCache>
            </c:numRef>
          </c:val>
        </c:ser>
        <c:gapDepth val="0"/>
        <c:shape val="box"/>
        <c:axId val="267553408"/>
        <c:axId val="285525120"/>
        <c:axId val="0"/>
      </c:bar3DChart>
      <c:catAx>
        <c:axId val="267553408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5525120"/>
        <c:crosses val="autoZero"/>
        <c:auto val="1"/>
        <c:lblAlgn val="ctr"/>
        <c:lblOffset val="100"/>
        <c:tickLblSkip val="1"/>
        <c:tickMarkSkip val="1"/>
      </c:catAx>
      <c:valAx>
        <c:axId val="285525120"/>
        <c:scaling>
          <c:orientation val="minMax"/>
        </c:scaling>
        <c:axPos val="l"/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53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0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2012-04-02T14:13:00Z</dcterms:created>
  <dcterms:modified xsi:type="dcterms:W3CDTF">2012-04-02T14:26:00Z</dcterms:modified>
</cp:coreProperties>
</file>