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C8" w:rsidRPr="00B367E5" w:rsidRDefault="00F307C8" w:rsidP="00F307C8">
      <w:pPr>
        <w:rPr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B367E5">
            <w:rPr>
              <w:b/>
              <w:bCs/>
              <w:sz w:val="22"/>
              <w:u w:val="single"/>
              <w:lang w:val="en-US"/>
            </w:rPr>
            <w:t>SOMALIA</w:t>
          </w:r>
        </w:smartTag>
      </w:smartTag>
      <w:r w:rsidRPr="00B367E5">
        <w:rPr>
          <w:sz w:val="22"/>
          <w:u w:val="single"/>
          <w:lang w:val="en-US"/>
        </w:rPr>
        <w:t xml:space="preserve"> </w:t>
      </w:r>
    </w:p>
    <w:p w:rsidR="00F307C8" w:rsidRDefault="00F307C8" w:rsidP="00F307C8">
      <w:pPr>
        <w:rPr>
          <w:sz w:val="22"/>
          <w:lang w:val="en-US"/>
        </w:rPr>
      </w:pPr>
    </w:p>
    <w:p w:rsidR="00F307C8" w:rsidRPr="0093147A" w:rsidRDefault="00F307C8" w:rsidP="00F307C8">
      <w:pPr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905760" cy="1946275"/>
            <wp:effectExtent l="19050" t="0" r="8890" b="0"/>
            <wp:docPr id="2" name="Picture 2" descr="SO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7C8" w:rsidRDefault="00F307C8" w:rsidP="00F307C8">
      <w:pPr>
        <w:rPr>
          <w:sz w:val="22"/>
          <w:lang w:val="en-US"/>
        </w:rPr>
      </w:pPr>
    </w:p>
    <w:p w:rsidR="00F307C8" w:rsidRDefault="00F307C8" w:rsidP="00F307C8">
      <w:pPr>
        <w:rPr>
          <w:sz w:val="22"/>
          <w:lang w:val="en-US"/>
        </w:rPr>
      </w:pPr>
    </w:p>
    <w:p w:rsidR="00F307C8" w:rsidRDefault="00F307C8" w:rsidP="00F307C8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BASIC COUNTRY DATA </w:t>
      </w:r>
    </w:p>
    <w:p w:rsidR="00F307C8" w:rsidRDefault="00F307C8" w:rsidP="00F307C8">
      <w:pPr>
        <w:rPr>
          <w:b/>
          <w:sz w:val="22"/>
          <w:lang w:val="en-US"/>
        </w:rPr>
      </w:pP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 xml:space="preserve">Total Population: 9,330,872 </w:t>
      </w: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 xml:space="preserve">Population 0-14 years: 45% </w:t>
      </w: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 xml:space="preserve">Rural population: 63% </w:t>
      </w: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>Population living under USD 1.25 a day: no data</w:t>
      </w: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>Population living under the national poverty line: no data</w:t>
      </w:r>
    </w:p>
    <w:p w:rsidR="00F307C8" w:rsidRDefault="00F307C8" w:rsidP="00F307C8">
      <w:pPr>
        <w:rPr>
          <w:sz w:val="22"/>
          <w:vertAlign w:val="superscript"/>
          <w:lang w:val="en-US"/>
        </w:rPr>
      </w:pPr>
      <w:r>
        <w:rPr>
          <w:sz w:val="22"/>
          <w:lang w:val="en-US"/>
        </w:rPr>
        <w:t>Income status: Low income economy</w:t>
      </w: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>Ranking: no data</w:t>
      </w: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>Per capita total expenditure on health at average exchange rate (US dollar): no data</w:t>
      </w: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>Life expectancy at birth (years): 51</w:t>
      </w:r>
    </w:p>
    <w:p w:rsidR="00F307C8" w:rsidRDefault="00F307C8" w:rsidP="00F307C8">
      <w:pPr>
        <w:rPr>
          <w:sz w:val="22"/>
          <w:lang w:val="en-US"/>
        </w:rPr>
      </w:pPr>
      <w:r>
        <w:rPr>
          <w:sz w:val="22"/>
          <w:lang w:val="en-US"/>
        </w:rPr>
        <w:t xml:space="preserve">Healthy life expectancy at birth (years): 37 </w:t>
      </w:r>
    </w:p>
    <w:p w:rsidR="00F307C8" w:rsidRDefault="00F307C8" w:rsidP="00F307C8">
      <w:pPr>
        <w:rPr>
          <w:sz w:val="22"/>
          <w:lang w:val="en-US"/>
        </w:rPr>
      </w:pPr>
    </w:p>
    <w:p w:rsidR="00F307C8" w:rsidRDefault="00F307C8" w:rsidP="00F307C8">
      <w:pPr>
        <w:rPr>
          <w:sz w:val="22"/>
          <w:lang w:val="en-US"/>
        </w:rPr>
      </w:pPr>
    </w:p>
    <w:p w:rsidR="00F307C8" w:rsidRDefault="00F307C8" w:rsidP="00F307C8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BACKGROUND INFORMATION </w:t>
      </w:r>
    </w:p>
    <w:p w:rsidR="00F307C8" w:rsidRDefault="00F307C8" w:rsidP="00F307C8">
      <w:pPr>
        <w:ind w:left="0" w:firstLine="0"/>
        <w:rPr>
          <w:b/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US"/>
        </w:rPr>
      </w:pPr>
      <w:r>
        <w:rPr>
          <w:sz w:val="22"/>
          <w:lang w:val="en-GB"/>
        </w:rPr>
        <w:t xml:space="preserve">VL is endemic along the </w:t>
      </w:r>
      <w:proofErr w:type="spellStart"/>
      <w:r>
        <w:rPr>
          <w:sz w:val="22"/>
          <w:lang w:val="en-GB"/>
        </w:rPr>
        <w:t>Webe</w:t>
      </w:r>
      <w:proofErr w:type="spellEnd"/>
      <w:r>
        <w:rPr>
          <w:sz w:val="22"/>
          <w:lang w:val="en-GB"/>
        </w:rPr>
        <w:t xml:space="preserve"> Shebelle and Juba river basins of southern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Somalia</w:t>
          </w:r>
        </w:smartTag>
      </w:smartTag>
      <w:r>
        <w:rPr>
          <w:sz w:val="22"/>
          <w:lang w:val="en-GB"/>
        </w:rPr>
        <w:t xml:space="preserve">. The ecological features are similar to those in southern </w:t>
      </w:r>
      <w:smartTag w:uri="urn:schemas-microsoft-com:office:smarttags" w:element="country-region">
        <w:r>
          <w:rPr>
            <w:sz w:val="22"/>
            <w:lang w:val="en-GB"/>
          </w:rPr>
          <w:t>Ethiopia</w:t>
        </w:r>
      </w:smartTag>
      <w:r>
        <w:rPr>
          <w:sz w:val="2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Kenya</w:t>
          </w:r>
        </w:smartTag>
      </w:smartTag>
      <w:r>
        <w:rPr>
          <w:sz w:val="22"/>
          <w:lang w:val="en-GB"/>
        </w:rPr>
        <w:t>. The first cases date back to 1930-</w:t>
      </w:r>
      <w:smartTag w:uri="urn:schemas-microsoft-com:office:smarttags" w:element="metricconverter">
        <w:smartTagPr>
          <w:attr w:name="ProductID" w:val="40 in"/>
        </w:smartTagPr>
        <w:r>
          <w:rPr>
            <w:sz w:val="22"/>
            <w:lang w:val="en-GB"/>
          </w:rPr>
          <w:t>40 in</w:t>
        </w:r>
      </w:smartTag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Jowhar</w:t>
      </w:r>
      <w:proofErr w:type="spellEnd"/>
      <w:r>
        <w:rPr>
          <w:sz w:val="22"/>
          <w:lang w:val="en-GB"/>
        </w:rPr>
        <w:t xml:space="preserve"> area, Middle </w:t>
      </w:r>
      <w:proofErr w:type="spellStart"/>
      <w:r>
        <w:rPr>
          <w:sz w:val="22"/>
          <w:lang w:val="en-GB"/>
        </w:rPr>
        <w:t>Shabelle</w:t>
      </w:r>
      <w:proofErr w:type="spellEnd"/>
      <w:r>
        <w:rPr>
          <w:sz w:val="22"/>
          <w:lang w:val="en-GB"/>
        </w:rPr>
        <w:t xml:space="preserve"> Region. In this region, positive skin test results were found in 15% of people in 1967 and 26% in 1995, with a low prevalence of cases during these studies. Cases have been described all over </w:t>
      </w:r>
      <w:smartTag w:uri="urn:schemas-microsoft-com:office:smarttags" w:element="country-region">
        <w:r>
          <w:rPr>
            <w:sz w:val="22"/>
            <w:lang w:val="en-GB"/>
          </w:rPr>
          <w:t>Somalia</w:t>
        </w:r>
      </w:smartTag>
      <w:r>
        <w:rPr>
          <w:sz w:val="22"/>
          <w:lang w:val="en-GB"/>
        </w:rPr>
        <w:t xml:space="preserve">, but currently occur most frequently in the Bay and </w:t>
      </w:r>
      <w:proofErr w:type="spellStart"/>
      <w:r>
        <w:rPr>
          <w:sz w:val="22"/>
          <w:lang w:val="en-GB"/>
        </w:rPr>
        <w:t>Bakool</w:t>
      </w:r>
      <w:proofErr w:type="spellEnd"/>
      <w:r>
        <w:rPr>
          <w:sz w:val="22"/>
          <w:lang w:val="en-GB"/>
        </w:rPr>
        <w:t xml:space="preserve"> regions, along the border with </w:t>
      </w:r>
      <w:smartTag w:uri="urn:schemas-microsoft-com:office:smarttags" w:element="country-region">
        <w:r>
          <w:rPr>
            <w:sz w:val="22"/>
            <w:lang w:val="en-GB"/>
          </w:rPr>
          <w:t>Ethiopia</w:t>
        </w:r>
      </w:smartTag>
      <w:r>
        <w:rPr>
          <w:sz w:val="22"/>
          <w:lang w:val="en-GB"/>
        </w:rPr>
        <w:t xml:space="preserve">, and the </w:t>
      </w:r>
      <w:proofErr w:type="spellStart"/>
      <w:r>
        <w:rPr>
          <w:sz w:val="22"/>
          <w:lang w:val="en-GB"/>
        </w:rPr>
        <w:t>Gedo</w:t>
      </w:r>
      <w:proofErr w:type="spellEnd"/>
      <w:r>
        <w:rPr>
          <w:sz w:val="22"/>
          <w:lang w:val="en-GB"/>
        </w:rPr>
        <w:t xml:space="preserve"> region, along the border with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lang w:val="en-GB"/>
            </w:rPr>
            <w:t>Kenya</w:t>
          </w:r>
        </w:smartTag>
      </w:smartTag>
      <w:r>
        <w:rPr>
          <w:sz w:val="22"/>
          <w:lang w:val="en-GB"/>
        </w:rPr>
        <w:t xml:space="preserve">. In </w:t>
      </w:r>
      <w:smartTag w:uri="urn:schemas-microsoft-com:office:smarttags" w:element="metricconverter">
        <w:smartTagPr>
          <w:attr w:name="ProductID" w:val="2003, in"/>
        </w:smartTagPr>
        <w:r>
          <w:rPr>
            <w:sz w:val="22"/>
            <w:lang w:val="en-GB"/>
          </w:rPr>
          <w:t>2003, in</w:t>
        </w:r>
      </w:smartTag>
      <w:r>
        <w:rPr>
          <w:sz w:val="22"/>
          <w:lang w:val="en-GB"/>
        </w:rPr>
        <w:t xml:space="preserve"> a refugee camp in </w:t>
      </w:r>
      <w:proofErr w:type="spellStart"/>
      <w:r>
        <w:rPr>
          <w:sz w:val="22"/>
          <w:lang w:val="en-GB"/>
        </w:rPr>
        <w:t>Bakool</w:t>
      </w:r>
      <w:proofErr w:type="spellEnd"/>
      <w:r>
        <w:rPr>
          <w:sz w:val="22"/>
          <w:lang w:val="en-GB"/>
        </w:rPr>
        <w:t xml:space="preserve"> region, positive </w:t>
      </w:r>
      <w:proofErr w:type="spellStart"/>
      <w:r>
        <w:rPr>
          <w:sz w:val="22"/>
          <w:lang w:val="en-GB"/>
        </w:rPr>
        <w:t>leishmanin</w:t>
      </w:r>
      <w:proofErr w:type="spellEnd"/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skin test </w:t>
      </w:r>
      <w:proofErr w:type="gramStart"/>
      <w:r>
        <w:rPr>
          <w:sz w:val="22"/>
          <w:lang w:val="en-GB"/>
        </w:rPr>
        <w:t>result were</w:t>
      </w:r>
      <w:proofErr w:type="gramEnd"/>
      <w:r>
        <w:rPr>
          <w:sz w:val="22"/>
          <w:lang w:val="en-GB"/>
        </w:rPr>
        <w:t xml:space="preserve"> found in 15% of inhabitants. The case numbers found were high, while previously there were only few cases. In 2006, an outbreak of 1,000 cases was reported in </w:t>
      </w:r>
      <w:proofErr w:type="spellStart"/>
      <w:r>
        <w:rPr>
          <w:sz w:val="22"/>
          <w:lang w:val="en-GB"/>
        </w:rPr>
        <w:t>Hudur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Bakool</w:t>
      </w:r>
      <w:proofErr w:type="spellEnd"/>
      <w:r>
        <w:rPr>
          <w:sz w:val="22"/>
          <w:lang w:val="en-GB"/>
        </w:rPr>
        <w:t xml:space="preserve"> region, by an NGO (MSF). In 2008, the number of cases found by MSF in this region was nearly as high. However, the case load dropped with 65% when comparing the first 4 months of 2009 to the first 4 months of </w:t>
      </w:r>
      <w:smartTag w:uri="urn:schemas-microsoft-com:office:smarttags" w:element="metricconverter">
        <w:smartTagPr>
          <w:attr w:name="ProductID" w:val="2008. In"/>
        </w:smartTagPr>
        <w:r>
          <w:rPr>
            <w:sz w:val="22"/>
            <w:lang w:val="en-GB"/>
          </w:rPr>
          <w:t>2008. In</w:t>
        </w:r>
      </w:smartTag>
      <w:r>
        <w:rPr>
          <w:sz w:val="22"/>
          <w:lang w:val="en-GB"/>
        </w:rPr>
        <w:t xml:space="preserve"> Bay and </w:t>
      </w:r>
      <w:proofErr w:type="spellStart"/>
      <w:r>
        <w:rPr>
          <w:sz w:val="22"/>
          <w:lang w:val="en-GB"/>
        </w:rPr>
        <w:t>Gado</w:t>
      </w:r>
      <w:proofErr w:type="spellEnd"/>
      <w:r>
        <w:rPr>
          <w:sz w:val="22"/>
          <w:lang w:val="en-GB"/>
        </w:rPr>
        <w:t xml:space="preserve"> regions, NGOs have </w:t>
      </w:r>
      <w:r>
        <w:rPr>
          <w:sz w:val="22"/>
          <w:lang w:val="en-GB"/>
        </w:rPr>
        <w:t xml:space="preserve">diagnosed and </w:t>
      </w:r>
      <w:r>
        <w:rPr>
          <w:sz w:val="22"/>
          <w:lang w:val="en-GB"/>
        </w:rPr>
        <w:t xml:space="preserve">treated some cases in </w:t>
      </w:r>
      <w:smartTag w:uri="urn:schemas-microsoft-com:office:smarttags" w:element="metricconverter">
        <w:smartTagPr>
          <w:attr w:name="ProductID" w:val="2008, in"/>
        </w:smartTagPr>
        <w:r>
          <w:rPr>
            <w:sz w:val="22"/>
            <w:lang w:val="en-GB"/>
          </w:rPr>
          <w:t>2008, in</w:t>
        </w:r>
      </w:smartTag>
      <w:r>
        <w:rPr>
          <w:sz w:val="22"/>
          <w:lang w:val="en-GB"/>
        </w:rPr>
        <w:t xml:space="preserve"> other </w:t>
      </w:r>
      <w:proofErr w:type="gramStart"/>
      <w:r>
        <w:rPr>
          <w:sz w:val="22"/>
          <w:lang w:val="en-GB"/>
        </w:rPr>
        <w:t>areas,</w:t>
      </w:r>
      <w:proofErr w:type="gramEnd"/>
      <w:r>
        <w:rPr>
          <w:sz w:val="22"/>
          <w:lang w:val="en-GB"/>
        </w:rPr>
        <w:t xml:space="preserve"> cases may exist, but </w:t>
      </w:r>
      <w:r>
        <w:rPr>
          <w:sz w:val="22"/>
          <w:lang w:val="en-GB"/>
        </w:rPr>
        <w:t xml:space="preserve">may never have been detected </w:t>
      </w:r>
      <w:r>
        <w:rPr>
          <w:sz w:val="22"/>
          <w:lang w:val="en-GB"/>
        </w:rPr>
        <w:t xml:space="preserve">due to security concerns. </w:t>
      </w: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t xml:space="preserve">Termite hills and red acacia trees are breeding sites for the vector. Children under 5 years old are mostly affected. In one observation, 126 out of 143 cases were children under 5 (88.1%). PKDL </w:t>
      </w:r>
      <w:r>
        <w:rPr>
          <w:sz w:val="22"/>
          <w:lang w:val="en-GB"/>
        </w:rPr>
        <w:t xml:space="preserve">seems </w:t>
      </w:r>
      <w:r>
        <w:rPr>
          <w:sz w:val="22"/>
          <w:lang w:val="en-GB"/>
        </w:rPr>
        <w:t xml:space="preserve">rare. </w:t>
      </w:r>
    </w:p>
    <w:p w:rsidR="00F307C8" w:rsidRDefault="00F307C8" w:rsidP="00F307C8">
      <w:pPr>
        <w:ind w:left="0" w:firstLine="0"/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Sporadic imported cases of CL have been reported from the south and a few cases of mucosal and cutaneous leishmaniasis have been reported from northern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lang w:val="en-GB"/>
            </w:rPr>
            <w:t>Somalia</w:t>
          </w:r>
        </w:smartTag>
      </w:smartTag>
      <w:r>
        <w:rPr>
          <w:sz w:val="22"/>
          <w:lang w:val="en-GB"/>
        </w:rPr>
        <w:t xml:space="preserve">. </w:t>
      </w: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Pr="002C75B8" w:rsidRDefault="00F307C8" w:rsidP="00F307C8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F307C8" w:rsidRDefault="00F307C8" w:rsidP="00F307C8">
      <w:pPr>
        <w:ind w:left="0" w:firstLine="0"/>
        <w:rPr>
          <w:sz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420"/>
        <w:gridCol w:w="2160"/>
      </w:tblGrid>
      <w:tr w:rsidR="00F307C8" w:rsidRPr="002C75B8" w:rsidTr="00A7768B">
        <w:tc>
          <w:tcPr>
            <w:tcW w:w="1908" w:type="dxa"/>
            <w:vAlign w:val="center"/>
          </w:tcPr>
          <w:p w:rsidR="00F307C8" w:rsidRPr="002C75B8" w:rsidRDefault="00F307C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800" w:type="dxa"/>
            <w:vAlign w:val="center"/>
          </w:tcPr>
          <w:p w:rsidR="00F307C8" w:rsidRPr="002C75B8" w:rsidRDefault="00F307C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F307C8" w:rsidRPr="002C75B8" w:rsidRDefault="00F307C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420" w:type="dxa"/>
            <w:vAlign w:val="center"/>
          </w:tcPr>
          <w:p w:rsidR="00F307C8" w:rsidRPr="002C75B8" w:rsidRDefault="00F307C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F307C8" w:rsidRPr="002C75B8" w:rsidRDefault="00F307C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160" w:type="dxa"/>
            <w:vAlign w:val="center"/>
          </w:tcPr>
          <w:p w:rsidR="00F307C8" w:rsidRPr="002C75B8" w:rsidRDefault="00F307C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F307C8" w:rsidRPr="002C75B8" w:rsidRDefault="00F307C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F307C8" w:rsidRPr="002C75B8" w:rsidTr="00A7768B">
        <w:tc>
          <w:tcPr>
            <w:tcW w:w="1908" w:type="dxa"/>
            <w:vAlign w:val="center"/>
          </w:tcPr>
          <w:p w:rsidR="00F307C8" w:rsidRPr="002C75B8" w:rsidRDefault="00F307C8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i/>
                <w:iCs/>
                <w:sz w:val="22"/>
                <w:lang w:val="pt-BR"/>
              </w:rPr>
              <w:t xml:space="preserve">L. </w:t>
            </w:r>
            <w:r>
              <w:rPr>
                <w:i/>
                <w:iCs/>
                <w:sz w:val="22"/>
                <w:lang w:val="pt-BR"/>
              </w:rPr>
              <w:t>donovani</w:t>
            </w:r>
          </w:p>
        </w:tc>
        <w:tc>
          <w:tcPr>
            <w:tcW w:w="1800" w:type="dxa"/>
            <w:vAlign w:val="center"/>
          </w:tcPr>
          <w:p w:rsidR="00F307C8" w:rsidRPr="002C75B8" w:rsidRDefault="00F307C8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sz w:val="22"/>
                <w:lang w:val="pt-BR"/>
              </w:rPr>
              <w:t>VL</w:t>
            </w:r>
            <w:r>
              <w:rPr>
                <w:sz w:val="22"/>
                <w:lang w:val="pt-BR"/>
              </w:rPr>
              <w:t>, PKDL</w:t>
            </w:r>
          </w:p>
        </w:tc>
        <w:tc>
          <w:tcPr>
            <w:tcW w:w="3420" w:type="dxa"/>
            <w:vAlign w:val="center"/>
          </w:tcPr>
          <w:p w:rsidR="00F307C8" w:rsidRPr="002C75B8" w:rsidRDefault="00F307C8" w:rsidP="00A7768B">
            <w:pPr>
              <w:ind w:left="0" w:firstLine="0"/>
              <w:jc w:val="center"/>
              <w:rPr>
                <w:sz w:val="22"/>
              </w:rPr>
            </w:pPr>
            <w:r w:rsidRPr="00E4262E">
              <w:rPr>
                <w:i/>
                <w:iCs/>
                <w:sz w:val="22"/>
                <w:lang w:val="en-US"/>
              </w:rPr>
              <w:t xml:space="preserve">P. </w:t>
            </w:r>
            <w:r>
              <w:rPr>
                <w:i/>
                <w:iCs/>
                <w:sz w:val="22"/>
                <w:lang w:val="en-US"/>
              </w:rPr>
              <w:t>martini</w:t>
            </w:r>
          </w:p>
        </w:tc>
        <w:tc>
          <w:tcPr>
            <w:tcW w:w="2160" w:type="dxa"/>
            <w:vAlign w:val="center"/>
          </w:tcPr>
          <w:p w:rsidR="00F307C8" w:rsidRPr="00A34561" w:rsidRDefault="00F307C8" w:rsidP="00A7768B">
            <w:pPr>
              <w:ind w:left="0" w:firstLine="0"/>
              <w:jc w:val="center"/>
              <w:rPr>
                <w:sz w:val="22"/>
              </w:rPr>
            </w:pPr>
            <w:r w:rsidRPr="00A34561">
              <w:rPr>
                <w:sz w:val="22"/>
                <w:lang w:val="en-US"/>
              </w:rPr>
              <w:t>Human</w:t>
            </w:r>
          </w:p>
        </w:tc>
      </w:tr>
    </w:tbl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Pr="00E4262E" w:rsidRDefault="00F307C8" w:rsidP="00F307C8">
      <w:pPr>
        <w:ind w:left="0" w:firstLine="0"/>
        <w:rPr>
          <w:b/>
          <w:bCs/>
          <w:sz w:val="22"/>
          <w:lang w:val="en-GB"/>
        </w:rPr>
      </w:pPr>
      <w:r w:rsidRPr="00E4262E">
        <w:rPr>
          <w:b/>
          <w:bCs/>
          <w:sz w:val="22"/>
          <w:lang w:val="en-GB"/>
        </w:rPr>
        <w:t>MAPS AND TRENDS</w:t>
      </w:r>
    </w:p>
    <w:p w:rsidR="00F307C8" w:rsidRPr="005A4A9C" w:rsidRDefault="00F307C8" w:rsidP="00F307C8">
      <w:pPr>
        <w:ind w:left="0" w:firstLine="0"/>
        <w:rPr>
          <w:b/>
          <w:bCs/>
          <w:sz w:val="22"/>
          <w:lang w:val="en-GB"/>
        </w:rPr>
      </w:pPr>
    </w:p>
    <w:p w:rsidR="00F307C8" w:rsidRPr="00E4262E" w:rsidRDefault="00F307C8" w:rsidP="00F307C8">
      <w:pPr>
        <w:ind w:left="0" w:firstLine="0"/>
        <w:rPr>
          <w:b/>
          <w:bCs/>
          <w:sz w:val="22"/>
          <w:lang w:val="en-GB"/>
        </w:rPr>
      </w:pPr>
      <w:r w:rsidRPr="00E4262E">
        <w:rPr>
          <w:b/>
          <w:bCs/>
          <w:sz w:val="22"/>
          <w:lang w:val="en-GB"/>
        </w:rPr>
        <w:t>Visceral leishmaniasis</w:t>
      </w:r>
    </w:p>
    <w:p w:rsidR="00F307C8" w:rsidRDefault="00F307C8" w:rsidP="00F307C8">
      <w:pPr>
        <w:ind w:left="0" w:firstLine="0"/>
        <w:rPr>
          <w:sz w:val="22"/>
          <w:lang w:val="en-GB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17780</wp:posOffset>
            </wp:positionV>
            <wp:extent cx="3508375" cy="24809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17780</wp:posOffset>
            </wp:positionV>
            <wp:extent cx="3476625" cy="245808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b/>
          <w:bCs/>
          <w:sz w:val="22"/>
          <w:lang w:val="en-GB"/>
        </w:rPr>
      </w:pPr>
    </w:p>
    <w:p w:rsidR="00F307C8" w:rsidRDefault="00F307C8" w:rsidP="00F307C8">
      <w:pPr>
        <w:ind w:left="0" w:firstLine="0"/>
        <w:rPr>
          <w:b/>
          <w:bCs/>
          <w:sz w:val="22"/>
          <w:lang w:val="en-GB"/>
        </w:rPr>
      </w:pPr>
    </w:p>
    <w:p w:rsidR="00F307C8" w:rsidRPr="0093147A" w:rsidRDefault="00F307C8" w:rsidP="00F307C8">
      <w:pPr>
        <w:ind w:left="0" w:firstLine="0"/>
        <w:rPr>
          <w:b/>
          <w:bCs/>
          <w:sz w:val="22"/>
          <w:lang w:val="en-GB"/>
        </w:rPr>
      </w:pPr>
      <w:r w:rsidRPr="0093147A">
        <w:rPr>
          <w:b/>
          <w:bCs/>
          <w:sz w:val="22"/>
          <w:lang w:val="en-GB"/>
        </w:rPr>
        <w:t>Visceral leishmaniasis trend</w:t>
      </w: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Pr="0093147A" w:rsidRDefault="00F307C8" w:rsidP="00F307C8">
      <w:pPr>
        <w:ind w:left="0" w:firstLine="0"/>
        <w:rPr>
          <w:sz w:val="22"/>
          <w:lang w:val="en-GB"/>
        </w:rPr>
      </w:pPr>
      <w:proofErr w:type="gramStart"/>
      <w:r w:rsidRPr="0093147A">
        <w:rPr>
          <w:sz w:val="22"/>
          <w:lang w:val="en-GB"/>
        </w:rPr>
        <w:t>Data not available</w:t>
      </w:r>
      <w:r>
        <w:rPr>
          <w:sz w:val="22"/>
          <w:lang w:val="en-GB"/>
        </w:rPr>
        <w:t>.</w:t>
      </w:r>
      <w:proofErr w:type="gramEnd"/>
    </w:p>
    <w:p w:rsidR="00F307C8" w:rsidRPr="00252AEE" w:rsidRDefault="00F307C8" w:rsidP="00F307C8">
      <w:pPr>
        <w:ind w:left="0" w:firstLine="0"/>
        <w:rPr>
          <w:b/>
          <w:sz w:val="22"/>
          <w:lang w:val="en-GB"/>
        </w:rPr>
      </w:pPr>
    </w:p>
    <w:p w:rsidR="00F307C8" w:rsidRDefault="00F307C8" w:rsidP="00F307C8">
      <w:pPr>
        <w:ind w:left="0" w:firstLine="0"/>
        <w:rPr>
          <w:b/>
          <w:sz w:val="22"/>
          <w:lang w:val="en-US"/>
        </w:rPr>
      </w:pPr>
    </w:p>
    <w:p w:rsidR="00F307C8" w:rsidRDefault="00F307C8" w:rsidP="00F307C8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CONTROL</w:t>
      </w:r>
    </w:p>
    <w:p w:rsidR="00F307C8" w:rsidRDefault="00F307C8" w:rsidP="00F307C8">
      <w:pPr>
        <w:ind w:left="0" w:firstLine="0"/>
        <w:rPr>
          <w:bCs/>
          <w:sz w:val="22"/>
          <w:lang w:val="en-GB"/>
        </w:rPr>
      </w:pPr>
    </w:p>
    <w:p w:rsidR="00F307C8" w:rsidRDefault="00F307C8" w:rsidP="00F307C8">
      <w:pPr>
        <w:ind w:left="0" w:firstLine="0"/>
        <w:rPr>
          <w:b/>
          <w:sz w:val="22"/>
          <w:lang w:val="en-US"/>
        </w:rPr>
      </w:pPr>
      <w:r>
        <w:rPr>
          <w:bCs/>
          <w:sz w:val="22"/>
          <w:lang w:val="en-GB"/>
        </w:rPr>
        <w:t xml:space="preserve">The notification of leishmaniasis is mandatory in the country. There is no </w:t>
      </w:r>
      <w:r>
        <w:rPr>
          <w:bCs/>
          <w:sz w:val="22"/>
          <w:lang w:val="en-US"/>
        </w:rPr>
        <w:t xml:space="preserve">national leishmaniasis control program. Active human case detection is not performed. There is no leishmaniasis vector control program and no leishmaniasis reservoir control program. </w:t>
      </w:r>
      <w:proofErr w:type="spellStart"/>
      <w:r>
        <w:rPr>
          <w:bCs/>
          <w:sz w:val="22"/>
          <w:lang w:val="en-US"/>
        </w:rPr>
        <w:t>Bednet</w:t>
      </w:r>
      <w:proofErr w:type="spellEnd"/>
      <w:r>
        <w:rPr>
          <w:bCs/>
          <w:sz w:val="22"/>
          <w:lang w:val="en-US"/>
        </w:rPr>
        <w:t xml:space="preserve"> distribution takes place in the context of malaria control. </w:t>
      </w:r>
    </w:p>
    <w:p w:rsidR="00F307C8" w:rsidRDefault="00F307C8" w:rsidP="00F307C8">
      <w:pPr>
        <w:ind w:left="0" w:firstLine="0"/>
        <w:rPr>
          <w:b/>
          <w:sz w:val="22"/>
          <w:lang w:val="en-US"/>
        </w:rPr>
      </w:pPr>
    </w:p>
    <w:p w:rsidR="00F307C8" w:rsidRDefault="00F307C8" w:rsidP="00F307C8">
      <w:pPr>
        <w:ind w:left="0" w:firstLine="0"/>
        <w:rPr>
          <w:b/>
          <w:sz w:val="22"/>
          <w:lang w:val="en-US"/>
        </w:rPr>
      </w:pPr>
    </w:p>
    <w:p w:rsidR="00F307C8" w:rsidRDefault="00F307C8" w:rsidP="00F307C8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DIAGNOSIS, TREATMENT </w:t>
      </w:r>
    </w:p>
    <w:p w:rsidR="00F307C8" w:rsidRDefault="00F307C8" w:rsidP="00F307C8">
      <w:pPr>
        <w:ind w:left="0" w:firstLine="0"/>
        <w:rPr>
          <w:b/>
          <w:sz w:val="22"/>
          <w:lang w:val="en-US"/>
        </w:rPr>
      </w:pPr>
    </w:p>
    <w:p w:rsidR="00F307C8" w:rsidRPr="007832E0" w:rsidRDefault="00F307C8" w:rsidP="00F307C8">
      <w:pPr>
        <w:ind w:left="0" w:firstLine="0"/>
        <w:rPr>
          <w:b/>
          <w:sz w:val="22"/>
          <w:lang w:val="en-US"/>
        </w:rPr>
      </w:pPr>
      <w:r w:rsidRPr="007832E0">
        <w:rPr>
          <w:b/>
          <w:sz w:val="22"/>
          <w:lang w:val="en-US"/>
        </w:rPr>
        <w:t xml:space="preserve">Diagnosis: </w:t>
      </w:r>
    </w:p>
    <w:p w:rsidR="00F307C8" w:rsidRDefault="00F307C8" w:rsidP="00F307C8">
      <w:pPr>
        <w:ind w:left="0" w:firstLine="0"/>
        <w:rPr>
          <w:sz w:val="22"/>
          <w:lang w:val="en-US"/>
        </w:rPr>
      </w:pPr>
    </w:p>
    <w:p w:rsidR="00F307C8" w:rsidRPr="00562689" w:rsidRDefault="00F307C8" w:rsidP="00F307C8">
      <w:pPr>
        <w:ind w:left="0" w:firstLine="0"/>
        <w:rPr>
          <w:sz w:val="22"/>
          <w:lang w:val="en-GB"/>
        </w:rPr>
      </w:pPr>
      <w:r w:rsidRPr="00562689">
        <w:rPr>
          <w:sz w:val="22"/>
          <w:lang w:val="en-US"/>
        </w:rPr>
        <w:t xml:space="preserve">VL: antigen-based rK39 </w:t>
      </w:r>
      <w:r w:rsidRPr="00562689">
        <w:rPr>
          <w:sz w:val="22"/>
          <w:lang w:val="en-GB"/>
        </w:rPr>
        <w:t>rapid diagnostic tests or DAT.</w:t>
      </w:r>
    </w:p>
    <w:p w:rsidR="00F307C8" w:rsidRPr="00562689" w:rsidRDefault="00F307C8" w:rsidP="00F307C8">
      <w:pPr>
        <w:ind w:left="0" w:firstLine="0"/>
        <w:rPr>
          <w:sz w:val="22"/>
          <w:lang w:val="en-US"/>
        </w:rPr>
      </w:pPr>
    </w:p>
    <w:p w:rsidR="00F307C8" w:rsidRDefault="00F307C8" w:rsidP="00F307C8">
      <w:pPr>
        <w:ind w:left="0" w:firstLine="0"/>
        <w:rPr>
          <w:b/>
          <w:sz w:val="22"/>
          <w:lang w:val="en-GB"/>
        </w:rPr>
      </w:pPr>
    </w:p>
    <w:p w:rsidR="00F307C8" w:rsidRPr="007832E0" w:rsidRDefault="00F307C8" w:rsidP="00F307C8">
      <w:pPr>
        <w:ind w:left="0" w:firstLine="0"/>
        <w:rPr>
          <w:b/>
          <w:sz w:val="22"/>
          <w:lang w:val="en-GB"/>
        </w:rPr>
      </w:pPr>
      <w:r w:rsidRPr="007832E0">
        <w:rPr>
          <w:b/>
          <w:sz w:val="22"/>
          <w:lang w:val="en-GB"/>
        </w:rPr>
        <w:t xml:space="preserve">Treatment: </w:t>
      </w: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US"/>
        </w:rPr>
      </w:pPr>
      <w:r w:rsidRPr="00562689">
        <w:rPr>
          <w:sz w:val="22"/>
          <w:lang w:val="en-GB"/>
        </w:rPr>
        <w:t xml:space="preserve">VL: antimonials, 20 mg </w:t>
      </w:r>
      <w:proofErr w:type="spellStart"/>
      <w:r w:rsidRPr="00562689">
        <w:rPr>
          <w:bCs/>
          <w:sz w:val="22"/>
          <w:lang w:val="en-GB"/>
        </w:rPr>
        <w:t>Sb</w:t>
      </w:r>
      <w:r w:rsidRPr="00562689">
        <w:rPr>
          <w:bCs/>
          <w:sz w:val="22"/>
          <w:vertAlign w:val="superscript"/>
          <w:lang w:val="en-GB"/>
        </w:rPr>
        <w:t>v</w:t>
      </w:r>
      <w:proofErr w:type="spellEnd"/>
      <w:r w:rsidRPr="00562689">
        <w:rPr>
          <w:bCs/>
          <w:sz w:val="22"/>
          <w:lang w:val="en-GB"/>
        </w:rPr>
        <w:t>/kg/day</w:t>
      </w:r>
      <w:r w:rsidRPr="00562689">
        <w:rPr>
          <w:bCs/>
          <w:sz w:val="22"/>
          <w:vertAlign w:val="superscript"/>
          <w:lang w:val="en-GB"/>
        </w:rPr>
        <w:t xml:space="preserve"> </w:t>
      </w:r>
      <w:r w:rsidRPr="00562689">
        <w:rPr>
          <w:sz w:val="22"/>
          <w:lang w:val="en-GB"/>
        </w:rPr>
        <w:t>for 30 days, plus 14 days if test of cure cannot be done.</w:t>
      </w:r>
      <w:r w:rsidRPr="00562689">
        <w:rPr>
          <w:rFonts w:eastAsia="SimSun"/>
          <w:color w:val="000000"/>
          <w:sz w:val="22"/>
          <w:lang w:val="en-GB" w:eastAsia="zh-CN"/>
        </w:rPr>
        <w:t xml:space="preserve"> </w:t>
      </w:r>
      <w:r w:rsidRPr="00562689">
        <w:rPr>
          <w:sz w:val="22"/>
          <w:lang w:val="en-GB"/>
        </w:rPr>
        <w:t>Second</w:t>
      </w:r>
      <w:r>
        <w:rPr>
          <w:sz w:val="22"/>
          <w:lang w:val="en-GB"/>
        </w:rPr>
        <w:t xml:space="preserve"> line: Amphotericin B, 0.5 mg/kg on alternate days until a total dose of 20 mg/kg is reached. </w:t>
      </w:r>
      <w:proofErr w:type="gramStart"/>
      <w:r>
        <w:rPr>
          <w:sz w:val="22"/>
          <w:lang w:val="en-GB"/>
        </w:rPr>
        <w:t>I</w:t>
      </w:r>
      <w:r w:rsidRPr="0093147A">
        <w:rPr>
          <w:bCs/>
          <w:sz w:val="22"/>
          <w:lang w:val="en-GB"/>
        </w:rPr>
        <w:t>nitial cure rate of 94.8% with antimonials, default rate of 2.3% and fatality rate of 2.9% (MSF data).</w:t>
      </w:r>
      <w:proofErr w:type="gramEnd"/>
      <w:r w:rsidRPr="0093147A">
        <w:rPr>
          <w:bCs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</w:p>
    <w:p w:rsidR="00F307C8" w:rsidRDefault="00F307C8" w:rsidP="00F307C8">
      <w:pPr>
        <w:ind w:left="0" w:firstLine="0"/>
        <w:rPr>
          <w:sz w:val="22"/>
          <w:lang w:val="en-US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tabs>
          <w:tab w:val="left" w:pos="2970"/>
        </w:tabs>
        <w:ind w:left="0" w:firstLine="0"/>
        <w:rPr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ACCESS TO CARE </w:t>
      </w:r>
    </w:p>
    <w:p w:rsidR="00F307C8" w:rsidRDefault="00F307C8" w:rsidP="00F307C8">
      <w:pPr>
        <w:ind w:left="0" w:firstLine="0"/>
        <w:rPr>
          <w:bCs/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  <w:r>
        <w:rPr>
          <w:bCs/>
          <w:sz w:val="22"/>
          <w:lang w:val="en-GB"/>
        </w:rPr>
        <w:t xml:space="preserve">Care for leishmaniasis is provided for free by NGOs. The Ministry of Health does not provide drugs for leishmaniasis; drugs are donated by NGOs or WHO. Several NGOs were present until 2009, treating up to a thousand patients yearly in the endemic regions of Bay and </w:t>
      </w:r>
      <w:proofErr w:type="spellStart"/>
      <w:r>
        <w:rPr>
          <w:bCs/>
          <w:sz w:val="22"/>
          <w:lang w:val="en-GB"/>
        </w:rPr>
        <w:t>Bakool</w:t>
      </w:r>
      <w:proofErr w:type="spellEnd"/>
      <w:r>
        <w:rPr>
          <w:bCs/>
          <w:sz w:val="22"/>
          <w:lang w:val="en-GB"/>
        </w:rPr>
        <w:t xml:space="preserve">, but </w:t>
      </w:r>
      <w:r>
        <w:rPr>
          <w:iCs/>
          <w:sz w:val="22"/>
          <w:lang w:val="en-GB"/>
        </w:rPr>
        <w:t xml:space="preserve">due to insecurity, most of them closed their programs; </w:t>
      </w:r>
      <w:r>
        <w:rPr>
          <w:sz w:val="22"/>
          <w:lang w:val="en-GB"/>
        </w:rPr>
        <w:t>this means that patients have no access to treatment now. In general, there is a lack of awareness of the</w:t>
      </w:r>
      <w:r>
        <w:rPr>
          <w:sz w:val="22"/>
          <w:lang w:val="en-GB"/>
        </w:rPr>
        <w:t xml:space="preserve"> disease, and many </w:t>
      </w:r>
      <w:proofErr w:type="gramStart"/>
      <w:r>
        <w:rPr>
          <w:sz w:val="22"/>
          <w:lang w:val="en-GB"/>
        </w:rPr>
        <w:t xml:space="preserve">patients </w:t>
      </w:r>
      <w:r>
        <w:rPr>
          <w:sz w:val="22"/>
          <w:lang w:val="en-GB"/>
        </w:rPr>
        <w:t xml:space="preserve"> live</w:t>
      </w:r>
      <w:proofErr w:type="gramEnd"/>
      <w:r>
        <w:rPr>
          <w:sz w:val="22"/>
          <w:lang w:val="en-GB"/>
        </w:rPr>
        <w:t xml:space="preserve"> too far away from the locations where treatment is given. There is insufficient trained </w:t>
      </w:r>
      <w:proofErr w:type="gramStart"/>
      <w:r>
        <w:rPr>
          <w:sz w:val="22"/>
          <w:lang w:val="en-GB"/>
        </w:rPr>
        <w:t>staff</w:t>
      </w:r>
      <w:proofErr w:type="gramEnd"/>
      <w:r>
        <w:rPr>
          <w:sz w:val="22"/>
          <w:lang w:val="en-GB"/>
        </w:rPr>
        <w:t xml:space="preserve"> to treat leishmaniasis and an irregular supply of anti-</w:t>
      </w:r>
      <w:proofErr w:type="spellStart"/>
      <w:r>
        <w:rPr>
          <w:sz w:val="22"/>
          <w:lang w:val="en-GB"/>
        </w:rPr>
        <w:t>leishmania</w:t>
      </w:r>
      <w:proofErr w:type="spellEnd"/>
      <w:r>
        <w:rPr>
          <w:sz w:val="22"/>
          <w:lang w:val="en-GB"/>
        </w:rPr>
        <w:t xml:space="preserve"> drugs and diagnostics. Many patients resort to traditional healing practices. </w:t>
      </w: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ind w:left="0" w:firstLine="0"/>
        <w:rPr>
          <w:b/>
          <w:sz w:val="22"/>
          <w:lang w:val="en-GB"/>
        </w:rPr>
      </w:pPr>
      <w:r>
        <w:rPr>
          <w:b/>
          <w:sz w:val="22"/>
          <w:lang w:val="en-GB"/>
        </w:rPr>
        <w:t>ACCESS TO DRUGS</w:t>
      </w:r>
    </w:p>
    <w:p w:rsidR="00F307C8" w:rsidRDefault="00F307C8" w:rsidP="00F307C8">
      <w:pPr>
        <w:ind w:left="0" w:firstLine="0"/>
        <w:rPr>
          <w:b/>
          <w:sz w:val="22"/>
          <w:lang w:val="en-GB"/>
        </w:rPr>
      </w:pPr>
    </w:p>
    <w:p w:rsidR="00F307C8" w:rsidRDefault="00F307C8" w:rsidP="00F307C8">
      <w:pPr>
        <w:ind w:left="0" w:firstLine="0"/>
        <w:rPr>
          <w:bCs/>
          <w:sz w:val="22"/>
          <w:lang w:val="en-GB"/>
        </w:rPr>
      </w:pPr>
      <w:r>
        <w:rPr>
          <w:bCs/>
          <w:sz w:val="22"/>
          <w:lang w:val="en-GB"/>
        </w:rPr>
        <w:t xml:space="preserve">Sodium stibogluconate is included in the National Essential Drug List. No drugs for leishmaniasis are available in pharmacies and unregulated drug markets. No antimonials are registered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  <w:lang w:val="en-GB"/>
            </w:rPr>
            <w:t>Somalia</w:t>
          </w:r>
        </w:smartTag>
      </w:smartTag>
      <w:r>
        <w:rPr>
          <w:bCs/>
          <w:sz w:val="22"/>
          <w:lang w:val="en-GB"/>
        </w:rPr>
        <w:t xml:space="preserve">. </w:t>
      </w:r>
    </w:p>
    <w:p w:rsidR="00F307C8" w:rsidRDefault="00F307C8" w:rsidP="00F307C8">
      <w:pPr>
        <w:ind w:left="0" w:firstLine="0"/>
        <w:rPr>
          <w:bCs/>
          <w:sz w:val="22"/>
          <w:lang w:val="en-GB"/>
        </w:rPr>
      </w:pPr>
    </w:p>
    <w:p w:rsidR="00F307C8" w:rsidRDefault="00F307C8" w:rsidP="00F307C8">
      <w:pPr>
        <w:ind w:left="0" w:firstLine="0"/>
        <w:rPr>
          <w:b/>
          <w:sz w:val="22"/>
          <w:lang w:val="en-GB"/>
        </w:rPr>
      </w:pPr>
    </w:p>
    <w:p w:rsidR="00F307C8" w:rsidRDefault="00F307C8" w:rsidP="00F307C8">
      <w:pPr>
        <w:ind w:left="0" w:firstLine="0"/>
        <w:rPr>
          <w:rFonts w:eastAsia="SimSun"/>
          <w:color w:val="000000"/>
          <w:sz w:val="22"/>
          <w:lang w:val="en-GB" w:eastAsia="zh-CN"/>
        </w:rPr>
      </w:pPr>
      <w:r>
        <w:rPr>
          <w:b/>
          <w:sz w:val="22"/>
          <w:lang w:val="en-US"/>
        </w:rPr>
        <w:t>SOURCES OF INFORMATION</w:t>
      </w:r>
      <w:r>
        <w:rPr>
          <w:rFonts w:eastAsia="SimSun"/>
          <w:color w:val="000000"/>
          <w:sz w:val="22"/>
          <w:lang w:val="en-GB" w:eastAsia="zh-CN"/>
        </w:rPr>
        <w:t xml:space="preserve"> </w:t>
      </w:r>
    </w:p>
    <w:p w:rsidR="00F307C8" w:rsidRDefault="00F307C8" w:rsidP="00F307C8">
      <w:pPr>
        <w:ind w:left="0" w:firstLine="0"/>
        <w:rPr>
          <w:rFonts w:eastAsia="SimSun"/>
          <w:color w:val="000000"/>
          <w:sz w:val="22"/>
          <w:lang w:val="en-GB" w:eastAsia="zh-CN"/>
        </w:rPr>
      </w:pPr>
    </w:p>
    <w:p w:rsidR="00F307C8" w:rsidRPr="00C26B89" w:rsidRDefault="00F307C8" w:rsidP="00F307C8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C26B89">
        <w:rPr>
          <w:rFonts w:ascii="Arial" w:hAnsi="Arial" w:cs="Arial"/>
          <w:lang w:val="en-GB"/>
        </w:rPr>
        <w:t xml:space="preserve">Dr Mohamed M </w:t>
      </w:r>
      <w:proofErr w:type="gramStart"/>
      <w:r w:rsidRPr="00C26B89">
        <w:rPr>
          <w:rFonts w:ascii="Arial" w:hAnsi="Arial" w:cs="Arial"/>
          <w:lang w:val="en-GB"/>
        </w:rPr>
        <w:t>Ali ,</w:t>
      </w:r>
      <w:proofErr w:type="gramEnd"/>
      <w:r w:rsidRPr="00C26B89">
        <w:rPr>
          <w:rFonts w:ascii="Arial" w:hAnsi="Arial" w:cs="Arial"/>
          <w:lang w:val="en-GB"/>
        </w:rPr>
        <w:t xml:space="preserve"> WHO Somalia.</w:t>
      </w:r>
      <w:r w:rsidRPr="00C26B89">
        <w:rPr>
          <w:rFonts w:ascii="Arial" w:hAnsi="Arial" w:cs="Arial"/>
          <w:i/>
          <w:iCs/>
          <w:lang w:val="en-GB"/>
        </w:rPr>
        <w:t xml:space="preserve"> Consultative </w:t>
      </w:r>
      <w:proofErr w:type="gramStart"/>
      <w:r w:rsidRPr="00C26B89">
        <w:rPr>
          <w:rFonts w:ascii="Arial" w:hAnsi="Arial" w:cs="Arial"/>
          <w:i/>
          <w:iCs/>
          <w:lang w:val="en-GB"/>
        </w:rPr>
        <w:t>Meeting  on</w:t>
      </w:r>
      <w:proofErr w:type="gramEnd"/>
      <w:r w:rsidRPr="00C26B89">
        <w:rPr>
          <w:rFonts w:ascii="Arial" w:hAnsi="Arial" w:cs="Arial"/>
          <w:i/>
          <w:iCs/>
          <w:lang w:val="en-GB"/>
        </w:rPr>
        <w:t xml:space="preserve"> The Control of Leishmaniasis in the African Region. </w:t>
      </w:r>
      <w:r w:rsidRPr="00C26B89">
        <w:rPr>
          <w:rFonts w:ascii="Arial" w:hAnsi="Arial" w:cs="Arial"/>
          <w:i/>
          <w:iCs/>
        </w:rPr>
        <w:t xml:space="preserve">WHO/AFRO Addis </w:t>
      </w:r>
      <w:proofErr w:type="spellStart"/>
      <w:r w:rsidRPr="00C26B89">
        <w:rPr>
          <w:rFonts w:ascii="Arial" w:hAnsi="Arial" w:cs="Arial"/>
          <w:i/>
          <w:iCs/>
        </w:rPr>
        <w:t>Ababa</w:t>
      </w:r>
      <w:proofErr w:type="spellEnd"/>
      <w:r w:rsidRPr="00C26B89">
        <w:rPr>
          <w:rFonts w:ascii="Arial" w:hAnsi="Arial" w:cs="Arial"/>
          <w:i/>
          <w:iCs/>
        </w:rPr>
        <w:t xml:space="preserve">, 23-25 </w:t>
      </w:r>
      <w:proofErr w:type="spellStart"/>
      <w:r w:rsidRPr="00C26B89">
        <w:rPr>
          <w:rFonts w:ascii="Arial" w:hAnsi="Arial" w:cs="Arial"/>
          <w:i/>
          <w:iCs/>
        </w:rPr>
        <w:t>Feb</w:t>
      </w:r>
      <w:proofErr w:type="spellEnd"/>
      <w:r w:rsidRPr="00C26B89">
        <w:rPr>
          <w:rFonts w:ascii="Arial" w:hAnsi="Arial" w:cs="Arial"/>
          <w:i/>
          <w:iCs/>
        </w:rPr>
        <w:t xml:space="preserve"> 2010</w:t>
      </w:r>
      <w:r>
        <w:rPr>
          <w:rFonts w:ascii="Arial" w:hAnsi="Arial" w:cs="Arial"/>
          <w:i/>
          <w:iCs/>
        </w:rPr>
        <w:t>.</w:t>
      </w:r>
    </w:p>
    <w:p w:rsidR="00F307C8" w:rsidRPr="00016D2A" w:rsidRDefault="00F307C8" w:rsidP="00F307C8">
      <w:pPr>
        <w:ind w:left="0" w:firstLine="0"/>
        <w:rPr>
          <w:sz w:val="22"/>
          <w:lang w:val="en-GB"/>
        </w:rPr>
      </w:pPr>
    </w:p>
    <w:p w:rsidR="00F307C8" w:rsidRDefault="00F307C8" w:rsidP="00F307C8">
      <w:pPr>
        <w:spacing w:line="480" w:lineRule="auto"/>
        <w:rPr>
          <w:b/>
          <w:sz w:val="22"/>
          <w:highlight w:val="cyan"/>
          <w:u w:val="single"/>
          <w:lang w:val="en-GB"/>
        </w:rPr>
      </w:pPr>
    </w:p>
    <w:p w:rsidR="002F7C1A" w:rsidRDefault="002F7C1A" w:rsidP="00F307C8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17D0"/>
    <w:multiLevelType w:val="hybridMultilevel"/>
    <w:tmpl w:val="74066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07C8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307C8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C8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Sinespaciado">
    <w:name w:val="Sin espaciado"/>
    <w:link w:val="SinespaciadoCar"/>
    <w:qFormat/>
    <w:rsid w:val="00F307C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DefaultParagraphFont"/>
    <w:link w:val="Sinespaciado"/>
    <w:rsid w:val="00F307C8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C8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2012-04-02T13:31:00Z</dcterms:created>
  <dcterms:modified xsi:type="dcterms:W3CDTF">2012-04-02T13:34:00Z</dcterms:modified>
</cp:coreProperties>
</file>