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D" w:rsidRDefault="00082CCD" w:rsidP="00082CCD">
      <w:pPr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u w:val="single"/>
              <w:lang w:val="en-US"/>
            </w:rPr>
            <w:t>PARAGUAY</w:t>
          </w:r>
        </w:smartTag>
      </w:smartTag>
    </w:p>
    <w:p w:rsidR="00082CCD" w:rsidRPr="00755493" w:rsidRDefault="00082CCD" w:rsidP="00082CCD">
      <w:pPr>
        <w:rPr>
          <w:bCs/>
          <w:sz w:val="22"/>
          <w:u w:val="single"/>
          <w:lang w:val="en-US"/>
        </w:rPr>
      </w:pPr>
    </w:p>
    <w:p w:rsidR="00082CCD" w:rsidRDefault="00082CCD" w:rsidP="00082CCD">
      <w:pPr>
        <w:spacing w:line="480" w:lineRule="auto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971800" cy="19919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CD" w:rsidRDefault="00082CCD" w:rsidP="00082CCD">
      <w:pPr>
        <w:ind w:left="0" w:firstLine="0"/>
        <w:rPr>
          <w:b/>
          <w:sz w:val="22"/>
          <w:lang w:val="en-US"/>
        </w:rPr>
      </w:pPr>
    </w:p>
    <w:p w:rsidR="00082CCD" w:rsidRDefault="00082CCD" w:rsidP="00082CCD">
      <w:pPr>
        <w:ind w:left="0" w:firstLine="0"/>
        <w:rPr>
          <w:b/>
          <w:sz w:val="22"/>
          <w:lang w:val="en-US"/>
        </w:rPr>
      </w:pPr>
      <w:r w:rsidRPr="00677241">
        <w:rPr>
          <w:b/>
          <w:sz w:val="22"/>
          <w:lang w:val="en-US"/>
        </w:rPr>
        <w:t>BASIC COUNTRY DATA</w:t>
      </w:r>
    </w:p>
    <w:p w:rsidR="00082CCD" w:rsidRDefault="00082CCD" w:rsidP="00082CCD">
      <w:pPr>
        <w:ind w:left="0" w:firstLine="0"/>
        <w:rPr>
          <w:bCs/>
          <w:sz w:val="22"/>
          <w:lang w:val="en-US"/>
        </w:rPr>
      </w:pP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>Total Population: 6</w:t>
      </w:r>
      <w:r>
        <w:rPr>
          <w:bCs/>
          <w:sz w:val="22"/>
          <w:lang w:val="en-US"/>
        </w:rPr>
        <w:t>,454,548</w:t>
      </w:r>
      <w:r w:rsidRPr="009C4566">
        <w:rPr>
          <w:bCs/>
          <w:sz w:val="22"/>
          <w:lang w:val="en-US"/>
        </w:rPr>
        <w:t xml:space="preserve">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>Population 0-14 years: 3</w:t>
      </w:r>
      <w:r>
        <w:rPr>
          <w:bCs/>
          <w:sz w:val="22"/>
          <w:lang w:val="en-US"/>
        </w:rPr>
        <w:t>4</w:t>
      </w:r>
      <w:r w:rsidRPr="009C4566">
        <w:rPr>
          <w:bCs/>
          <w:sz w:val="22"/>
          <w:lang w:val="en-US"/>
        </w:rPr>
        <w:t xml:space="preserve">%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 xml:space="preserve">Rural population: </w:t>
      </w:r>
      <w:r>
        <w:rPr>
          <w:bCs/>
          <w:sz w:val="22"/>
          <w:lang w:val="en-US"/>
        </w:rPr>
        <w:t>39</w:t>
      </w:r>
      <w:r w:rsidRPr="009C4566">
        <w:rPr>
          <w:bCs/>
          <w:sz w:val="22"/>
          <w:lang w:val="en-US"/>
        </w:rPr>
        <w:t xml:space="preserve">%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8A78C6">
        <w:rPr>
          <w:sz w:val="22"/>
          <w:lang w:val="en-US"/>
        </w:rPr>
        <w:t xml:space="preserve">Population living under USD </w:t>
      </w:r>
      <w:smartTag w:uri="urn:schemas-microsoft-com:office:smarttags" w:element="metricconverter">
        <w:smartTagPr>
          <w:attr w:name="ProductID" w:val="1.25 a"/>
        </w:smartTagPr>
        <w:r w:rsidRPr="008A78C6">
          <w:rPr>
            <w:sz w:val="22"/>
            <w:lang w:val="en-US"/>
          </w:rPr>
          <w:t>1</w:t>
        </w:r>
        <w:r>
          <w:rPr>
            <w:sz w:val="22"/>
            <w:lang w:val="en-US"/>
          </w:rPr>
          <w:t>.</w:t>
        </w:r>
        <w:r w:rsidRPr="008A78C6">
          <w:rPr>
            <w:sz w:val="22"/>
            <w:lang w:val="en-US"/>
          </w:rPr>
          <w:t>25 a</w:t>
        </w:r>
      </w:smartTag>
      <w:r w:rsidRPr="008A78C6">
        <w:rPr>
          <w:sz w:val="22"/>
          <w:lang w:val="en-US"/>
        </w:rPr>
        <w:t xml:space="preserve"> day</w:t>
      </w:r>
      <w:r w:rsidRPr="009C4566">
        <w:rPr>
          <w:bCs/>
          <w:sz w:val="22"/>
          <w:lang w:val="en-US"/>
        </w:rPr>
        <w:t xml:space="preserve">: </w:t>
      </w:r>
      <w:r>
        <w:rPr>
          <w:bCs/>
          <w:sz w:val="22"/>
          <w:lang w:val="en-US"/>
        </w:rPr>
        <w:t>5.1</w:t>
      </w:r>
      <w:r w:rsidRPr="009C4566">
        <w:rPr>
          <w:bCs/>
          <w:sz w:val="22"/>
          <w:lang w:val="en-US"/>
        </w:rPr>
        <w:t xml:space="preserve">% </w:t>
      </w:r>
    </w:p>
    <w:p w:rsidR="00082CCD" w:rsidRDefault="00082CCD" w:rsidP="00082CCD">
      <w:pPr>
        <w:ind w:left="0" w:firstLine="0"/>
        <w:rPr>
          <w:bCs/>
          <w:sz w:val="22"/>
          <w:lang w:val="en-US"/>
        </w:rPr>
      </w:pPr>
      <w:r w:rsidRPr="00677241">
        <w:rPr>
          <w:sz w:val="22"/>
          <w:lang w:val="en-US"/>
        </w:rPr>
        <w:t xml:space="preserve">Population </w:t>
      </w:r>
      <w:r>
        <w:rPr>
          <w:sz w:val="22"/>
          <w:lang w:val="en-US"/>
        </w:rPr>
        <w:t>living under the national poverty line</w:t>
      </w:r>
      <w:r>
        <w:rPr>
          <w:bCs/>
          <w:sz w:val="22"/>
          <w:lang w:val="en-US"/>
        </w:rPr>
        <w:t>: 35.1%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 xml:space="preserve">Income status: Lower middle income economy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 xml:space="preserve">Ranking: Medium </w:t>
      </w:r>
      <w:r>
        <w:rPr>
          <w:bCs/>
          <w:sz w:val="22"/>
          <w:lang w:val="en-US"/>
        </w:rPr>
        <w:t>h</w:t>
      </w:r>
      <w:r w:rsidRPr="009C4566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9C4566">
        <w:rPr>
          <w:bCs/>
          <w:sz w:val="22"/>
          <w:lang w:val="en-US"/>
        </w:rPr>
        <w:t xml:space="preserve">evelopment </w:t>
      </w:r>
      <w:r>
        <w:rPr>
          <w:bCs/>
          <w:sz w:val="22"/>
          <w:lang w:val="en-US"/>
        </w:rPr>
        <w:t>(ranking 107)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>Per capita total expenditure on health at average exchange rate (US dollar):</w:t>
      </w:r>
      <w:r>
        <w:rPr>
          <w:bCs/>
          <w:sz w:val="22"/>
          <w:lang w:val="en-US"/>
        </w:rPr>
        <w:t xml:space="preserve"> </w:t>
      </w:r>
      <w:r w:rsidRPr="009C4566">
        <w:rPr>
          <w:bCs/>
          <w:sz w:val="22"/>
          <w:lang w:val="en-US"/>
        </w:rPr>
        <w:t>1</w:t>
      </w:r>
      <w:r>
        <w:rPr>
          <w:bCs/>
          <w:sz w:val="22"/>
          <w:lang w:val="en-US"/>
        </w:rPr>
        <w:t>59</w:t>
      </w:r>
      <w:r w:rsidRPr="009C4566">
        <w:rPr>
          <w:bCs/>
          <w:sz w:val="22"/>
          <w:lang w:val="en-US"/>
        </w:rPr>
        <w:t xml:space="preserve">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>Life expectancy at birth (years):</w:t>
      </w:r>
      <w:r>
        <w:rPr>
          <w:bCs/>
          <w:sz w:val="22"/>
          <w:lang w:val="en-US"/>
        </w:rPr>
        <w:t xml:space="preserve"> </w:t>
      </w:r>
      <w:r w:rsidRPr="009C4566">
        <w:rPr>
          <w:bCs/>
          <w:sz w:val="22"/>
          <w:lang w:val="en-US"/>
        </w:rPr>
        <w:t>7</w:t>
      </w:r>
      <w:r>
        <w:rPr>
          <w:bCs/>
          <w:sz w:val="22"/>
          <w:lang w:val="en-US"/>
        </w:rPr>
        <w:t>2</w:t>
      </w:r>
      <w:r w:rsidRPr="009C4566">
        <w:rPr>
          <w:bCs/>
          <w:sz w:val="22"/>
          <w:lang w:val="en-US"/>
        </w:rPr>
        <w:t xml:space="preserve"> </w:t>
      </w:r>
    </w:p>
    <w:p w:rsidR="00082CCD" w:rsidRPr="009C4566" w:rsidRDefault="00082CCD" w:rsidP="00082CCD">
      <w:pPr>
        <w:ind w:left="0" w:firstLine="0"/>
        <w:rPr>
          <w:bCs/>
          <w:sz w:val="22"/>
          <w:lang w:val="en-US"/>
        </w:rPr>
      </w:pPr>
      <w:r w:rsidRPr="009C4566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9C4566">
        <w:rPr>
          <w:bCs/>
          <w:sz w:val="22"/>
          <w:lang w:val="en-US"/>
        </w:rPr>
        <w:t xml:space="preserve"> life expectancy at birth (years): 62 </w:t>
      </w:r>
    </w:p>
    <w:p w:rsidR="00082CCD" w:rsidRDefault="00082CCD" w:rsidP="00082CCD">
      <w:pPr>
        <w:ind w:left="0" w:firstLine="0"/>
        <w:rPr>
          <w:bCs/>
          <w:sz w:val="22"/>
          <w:lang w:val="en-US"/>
        </w:rPr>
      </w:pPr>
    </w:p>
    <w:p w:rsidR="00082CCD" w:rsidRPr="00677241" w:rsidRDefault="00082CCD" w:rsidP="00082CCD">
      <w:pPr>
        <w:ind w:left="0" w:firstLine="0"/>
        <w:rPr>
          <w:bCs/>
          <w:sz w:val="22"/>
          <w:lang w:val="en-US"/>
        </w:rPr>
      </w:pPr>
    </w:p>
    <w:p w:rsidR="00082CCD" w:rsidRDefault="00082CCD" w:rsidP="00082CCD">
      <w:pPr>
        <w:ind w:left="0" w:firstLine="0"/>
        <w:rPr>
          <w:b/>
          <w:sz w:val="22"/>
          <w:lang w:val="en-US"/>
        </w:rPr>
      </w:pPr>
      <w:r w:rsidRPr="00EB0427">
        <w:rPr>
          <w:b/>
          <w:sz w:val="22"/>
          <w:lang w:val="en-US"/>
        </w:rPr>
        <w:t xml:space="preserve">BACKGROUND INFORMATION </w:t>
      </w:r>
    </w:p>
    <w:p w:rsidR="00082CCD" w:rsidRDefault="00082CCD" w:rsidP="00082CCD">
      <w:pPr>
        <w:ind w:left="0" w:firstLine="0"/>
        <w:rPr>
          <w:b/>
          <w:sz w:val="22"/>
          <w:lang w:val="en-US"/>
        </w:rPr>
      </w:pPr>
    </w:p>
    <w:p w:rsidR="00082CCD" w:rsidRPr="00A47B94" w:rsidRDefault="00082CCD" w:rsidP="00082CCD">
      <w:pPr>
        <w:ind w:left="0" w:firstLine="0"/>
        <w:rPr>
          <w:sz w:val="22"/>
          <w:lang w:val="en-US"/>
        </w:rPr>
      </w:pPr>
      <w:r w:rsidRPr="00A47B94">
        <w:rPr>
          <w:rFonts w:eastAsia="Times New Roman"/>
          <w:sz w:val="22"/>
          <w:lang w:val="en-US"/>
        </w:rPr>
        <w:t xml:space="preserve">Leishmaniasis has been known in </w:t>
      </w:r>
      <w:smartTag w:uri="urn:schemas-microsoft-com:office:smarttags" w:element="country-region">
        <w:smartTag w:uri="urn:schemas-microsoft-com:office:smarttags" w:element="place">
          <w:r w:rsidRPr="00A47B94">
            <w:rPr>
              <w:rFonts w:eastAsia="Times New Roman"/>
              <w:sz w:val="22"/>
              <w:lang w:val="en-US"/>
            </w:rPr>
            <w:t>Paraguay</w:t>
          </w:r>
        </w:smartTag>
      </w:smartTag>
      <w:r w:rsidRPr="00A47B94">
        <w:rPr>
          <w:rFonts w:eastAsia="Times New Roman"/>
          <w:sz w:val="22"/>
          <w:lang w:val="en-US"/>
        </w:rPr>
        <w:t xml:space="preserve"> for many years </w:t>
      </w:r>
      <w:r>
        <w:rPr>
          <w:rFonts w:eastAsia="Times New Roman"/>
          <w:sz w:val="22"/>
          <w:lang w:val="en-US"/>
        </w:rPr>
        <w:t>[1]</w:t>
      </w:r>
      <w:r w:rsidRPr="00A47B94">
        <w:rPr>
          <w:rFonts w:eastAsia="Times New Roman"/>
          <w:sz w:val="22"/>
          <w:lang w:val="en-US"/>
        </w:rPr>
        <w:t>. The first documented outbreak of CL occurred in 1934</w:t>
      </w:r>
      <w:r>
        <w:rPr>
          <w:rFonts w:eastAsia="Times New Roman"/>
          <w:sz w:val="22"/>
          <w:lang w:val="en-US"/>
        </w:rPr>
        <w:t xml:space="preserve"> [2]</w:t>
      </w:r>
      <w:r w:rsidRPr="00A47B94">
        <w:rPr>
          <w:rFonts w:eastAsia="Times New Roman"/>
          <w:sz w:val="22"/>
          <w:lang w:val="en-US"/>
        </w:rPr>
        <w:t>. The incidence of CL has increased since then</w:t>
      </w:r>
      <w:r>
        <w:rPr>
          <w:rFonts w:eastAsia="Times New Roman"/>
          <w:sz w:val="22"/>
          <w:lang w:val="en-US"/>
        </w:rPr>
        <w:t xml:space="preserve">; </w:t>
      </w:r>
      <w:r>
        <w:rPr>
          <w:sz w:val="22"/>
          <w:lang w:val="en-GB"/>
        </w:rPr>
        <w:t>between</w:t>
      </w:r>
      <w:r w:rsidRPr="00262C9B">
        <w:rPr>
          <w:sz w:val="22"/>
          <w:lang w:val="en-GB"/>
        </w:rPr>
        <w:t xml:space="preserve"> 1972 </w:t>
      </w:r>
      <w:r>
        <w:rPr>
          <w:sz w:val="22"/>
          <w:lang w:val="en-GB"/>
        </w:rPr>
        <w:t>and</w:t>
      </w:r>
      <w:r w:rsidRPr="00262C9B">
        <w:rPr>
          <w:sz w:val="22"/>
          <w:lang w:val="en-GB"/>
        </w:rPr>
        <w:t xml:space="preserve"> 1981, approximately 100-200 cases per year were reported, but in 1982 a sharp increase occurred with over 1</w:t>
      </w:r>
      <w:r>
        <w:rPr>
          <w:sz w:val="22"/>
          <w:lang w:val="en-GB"/>
        </w:rPr>
        <w:t>,</w:t>
      </w:r>
      <w:r w:rsidRPr="00262C9B">
        <w:rPr>
          <w:sz w:val="22"/>
          <w:lang w:val="en-GB"/>
        </w:rPr>
        <w:t>600 cases. In 1983-1984, the epidemiological situation stabilized with 100-200 cases annually. In 1985, 1</w:t>
      </w:r>
      <w:r>
        <w:rPr>
          <w:sz w:val="22"/>
          <w:lang w:val="en-GB"/>
        </w:rPr>
        <w:t>,</w:t>
      </w:r>
      <w:r w:rsidRPr="00262C9B">
        <w:rPr>
          <w:sz w:val="22"/>
          <w:lang w:val="en-GB"/>
        </w:rPr>
        <w:t xml:space="preserve">083 cases were registered and cases continued to be fluctuating with local outbreaks every few years and gradually increasing case numbers </w:t>
      </w:r>
      <w:r>
        <w:rPr>
          <w:sz w:val="22"/>
          <w:lang w:val="en-GB"/>
        </w:rPr>
        <w:t>[3]</w:t>
      </w:r>
      <w:r w:rsidRPr="00262C9B">
        <w:rPr>
          <w:sz w:val="22"/>
          <w:lang w:val="en-GB"/>
        </w:rPr>
        <w:t xml:space="preserve">. </w:t>
      </w:r>
      <w:r w:rsidRPr="00A47B94">
        <w:rPr>
          <w:sz w:val="22"/>
          <w:lang w:val="en-US"/>
        </w:rPr>
        <w:t xml:space="preserve">In 2007, outbreaks occurred in the town of </w:t>
      </w:r>
      <w:proofErr w:type="spellStart"/>
      <w:smartTag w:uri="urn:schemas-microsoft-com:office:smarttags" w:element="place">
        <w:smartTag w:uri="urn:schemas-microsoft-com:office:smarttags" w:element="City">
          <w:r w:rsidRPr="00A47B94">
            <w:rPr>
              <w:sz w:val="22"/>
              <w:lang w:val="en-US"/>
            </w:rPr>
            <w:t>Tava</w:t>
          </w:r>
          <w:proofErr w:type="spellEnd"/>
          <w:r w:rsidRPr="00A47B94">
            <w:rPr>
              <w:sz w:val="22"/>
              <w:lang w:val="en-US"/>
            </w:rPr>
            <w:t xml:space="preserve"> </w:t>
          </w:r>
          <w:proofErr w:type="spellStart"/>
          <w:r w:rsidRPr="00A47B94">
            <w:rPr>
              <w:sz w:val="22"/>
              <w:lang w:val="en-US"/>
            </w:rPr>
            <w:t>Yopoi</w:t>
          </w:r>
        </w:smartTag>
      </w:smartTag>
      <w:proofErr w:type="spellEnd"/>
      <w:r w:rsidRPr="00A47B94">
        <w:rPr>
          <w:sz w:val="22"/>
          <w:lang w:val="en-US"/>
        </w:rPr>
        <w:t xml:space="preserve"> (</w:t>
      </w:r>
      <w:proofErr w:type="spellStart"/>
      <w:r w:rsidRPr="00A47B94">
        <w:rPr>
          <w:sz w:val="22"/>
          <w:lang w:val="en-US"/>
        </w:rPr>
        <w:t>Canindeyu</w:t>
      </w:r>
      <w:proofErr w:type="spellEnd"/>
      <w:r w:rsidRPr="00A47B94">
        <w:rPr>
          <w:sz w:val="22"/>
          <w:lang w:val="en-US"/>
        </w:rPr>
        <w:t xml:space="preserve"> department), where the incidence rate rose to 144.9 per 100</w:t>
      </w:r>
      <w:r>
        <w:rPr>
          <w:sz w:val="22"/>
          <w:lang w:val="en-US"/>
        </w:rPr>
        <w:t>,</w:t>
      </w:r>
      <w:r w:rsidRPr="00A47B94">
        <w:rPr>
          <w:sz w:val="22"/>
          <w:lang w:val="en-US"/>
        </w:rPr>
        <w:t>000 inhabitants (243 cases), and in the departments of San Pedro (17.8 per 100</w:t>
      </w:r>
      <w:r>
        <w:rPr>
          <w:sz w:val="22"/>
          <w:lang w:val="en-US"/>
        </w:rPr>
        <w:t>,</w:t>
      </w:r>
      <w:r w:rsidRPr="00A47B94">
        <w:rPr>
          <w:sz w:val="22"/>
          <w:lang w:val="en-US"/>
        </w:rPr>
        <w:t>000 inhabitants; 64 cases), Alto Paraná (12.4 per 100</w:t>
      </w:r>
      <w:r>
        <w:rPr>
          <w:sz w:val="22"/>
          <w:lang w:val="en-US"/>
        </w:rPr>
        <w:t>,</w:t>
      </w:r>
      <w:r w:rsidRPr="00A47B94">
        <w:rPr>
          <w:sz w:val="22"/>
          <w:lang w:val="en-US"/>
        </w:rPr>
        <w:t>000 inhabitants; 81 cases), and Caaguazú (9.3 per 100</w:t>
      </w:r>
      <w:r>
        <w:rPr>
          <w:sz w:val="22"/>
          <w:lang w:val="en-US"/>
        </w:rPr>
        <w:t>,</w:t>
      </w:r>
      <w:r w:rsidRPr="00A47B94">
        <w:rPr>
          <w:sz w:val="22"/>
          <w:lang w:val="en-US"/>
        </w:rPr>
        <w:t>000 inhabitants; 45 cases</w:t>
      </w:r>
      <w:r w:rsidRPr="00562689">
        <w:rPr>
          <w:sz w:val="22"/>
          <w:lang w:val="en-US"/>
        </w:rPr>
        <w:t xml:space="preserve">). MCL accounted for 31% of cases in 2007, </w:t>
      </w:r>
      <w:r>
        <w:rPr>
          <w:sz w:val="22"/>
          <w:lang w:val="en-US"/>
        </w:rPr>
        <w:t xml:space="preserve">and the number of cases was </w:t>
      </w:r>
      <w:r w:rsidRPr="00562689">
        <w:rPr>
          <w:sz w:val="22"/>
          <w:lang w:val="en-US"/>
        </w:rPr>
        <w:t>the highest</w:t>
      </w:r>
      <w:r>
        <w:rPr>
          <w:sz w:val="22"/>
          <w:lang w:val="en-US"/>
        </w:rPr>
        <w:t xml:space="preserve"> </w:t>
      </w:r>
      <w:r w:rsidRPr="00562689">
        <w:rPr>
          <w:sz w:val="22"/>
          <w:lang w:val="en-US"/>
        </w:rPr>
        <w:t>recorded in the world. 64% of CL cases occur in males.</w:t>
      </w:r>
      <w:r>
        <w:rPr>
          <w:sz w:val="22"/>
          <w:lang w:val="en-US"/>
        </w:rPr>
        <w:t xml:space="preserve"> </w:t>
      </w:r>
    </w:p>
    <w:p w:rsidR="00082CCD" w:rsidRPr="00A47B94" w:rsidRDefault="00082CCD" w:rsidP="00082CCD">
      <w:pPr>
        <w:ind w:left="0" w:firstLine="0"/>
        <w:rPr>
          <w:sz w:val="22"/>
          <w:lang w:val="en-US"/>
        </w:rPr>
      </w:pPr>
    </w:p>
    <w:p w:rsidR="00082CCD" w:rsidRPr="00262C9B" w:rsidRDefault="00082CCD" w:rsidP="00082CCD">
      <w:pPr>
        <w:ind w:left="0" w:firstLine="0"/>
        <w:rPr>
          <w:sz w:val="22"/>
          <w:lang w:val="en-GB"/>
        </w:rPr>
      </w:pPr>
      <w:r w:rsidRPr="00262C9B">
        <w:rPr>
          <w:sz w:val="22"/>
          <w:lang w:val="en-GB"/>
        </w:rPr>
        <w:t xml:space="preserve">The first VL case in South America was described in </w:t>
      </w:r>
      <w:smartTag w:uri="urn:schemas-microsoft-com:office:smarttags" w:element="country-region">
        <w:smartTag w:uri="urn:schemas-microsoft-com:office:smarttags" w:element="place">
          <w:r w:rsidRPr="00262C9B">
            <w:rPr>
              <w:sz w:val="22"/>
              <w:lang w:val="en-GB"/>
            </w:rPr>
            <w:t>Paraguay</w:t>
          </w:r>
        </w:smartTag>
      </w:smartTag>
      <w:r w:rsidRPr="00262C9B">
        <w:rPr>
          <w:sz w:val="22"/>
          <w:lang w:val="en-GB"/>
        </w:rPr>
        <w:t xml:space="preserve"> in 1913, but it was possibly imported </w:t>
      </w:r>
      <w:r>
        <w:rPr>
          <w:sz w:val="22"/>
          <w:lang w:val="en-GB"/>
        </w:rPr>
        <w:t>[4]</w:t>
      </w:r>
      <w:r w:rsidRPr="00262C9B">
        <w:rPr>
          <w:sz w:val="22"/>
          <w:lang w:val="en-GB"/>
        </w:rPr>
        <w:t xml:space="preserve">. A confirmed </w:t>
      </w:r>
      <w:proofErr w:type="spellStart"/>
      <w:r>
        <w:rPr>
          <w:sz w:val="22"/>
          <w:lang w:val="en-GB"/>
        </w:rPr>
        <w:t>autochtonous</w:t>
      </w:r>
      <w:proofErr w:type="spellEnd"/>
      <w:r w:rsidRPr="00262C9B">
        <w:rPr>
          <w:sz w:val="22"/>
          <w:lang w:val="en-GB"/>
        </w:rPr>
        <w:t xml:space="preserve"> case was first reported in 1945 </w:t>
      </w:r>
      <w:r>
        <w:rPr>
          <w:sz w:val="22"/>
          <w:lang w:val="en-GB"/>
        </w:rPr>
        <w:t xml:space="preserve">[5]. </w:t>
      </w:r>
      <w:r w:rsidRPr="00262C9B">
        <w:rPr>
          <w:sz w:val="22"/>
          <w:lang w:val="en-GB"/>
        </w:rPr>
        <w:t xml:space="preserve">90% of </w:t>
      </w:r>
      <w:r>
        <w:rPr>
          <w:sz w:val="22"/>
          <w:lang w:val="en-GB"/>
        </w:rPr>
        <w:t xml:space="preserve">VL </w:t>
      </w:r>
      <w:r w:rsidRPr="00262C9B">
        <w:rPr>
          <w:sz w:val="22"/>
          <w:lang w:val="en-GB"/>
        </w:rPr>
        <w:t>cases originate in central departments and in the capital (Asunción)</w:t>
      </w:r>
      <w:r>
        <w:rPr>
          <w:sz w:val="22"/>
          <w:lang w:val="en-GB"/>
        </w:rPr>
        <w:t>,</w:t>
      </w:r>
      <w:r w:rsidRPr="00262C9B">
        <w:rPr>
          <w:sz w:val="22"/>
          <w:lang w:val="en-GB"/>
        </w:rPr>
        <w:t xml:space="preserve"> where the urban transmission is a fact of high concern. There is a high proportion of dogs with canine VL in the capital </w:t>
      </w:r>
      <w:r>
        <w:rPr>
          <w:sz w:val="22"/>
          <w:lang w:val="en-GB"/>
        </w:rPr>
        <w:t>[6]</w:t>
      </w:r>
      <w:r w:rsidRPr="00262C9B">
        <w:rPr>
          <w:sz w:val="22"/>
          <w:lang w:val="en-GB"/>
        </w:rPr>
        <w:t xml:space="preserve"> and a high vector density, uncontrolled urbanization and population growth are associated with the </w:t>
      </w:r>
      <w:r w:rsidRPr="00262C9B">
        <w:rPr>
          <w:sz w:val="22"/>
          <w:lang w:val="en-GB"/>
        </w:rPr>
        <w:lastRenderedPageBreak/>
        <w:t xml:space="preserve">rise in case numbers. Adjacent areas in </w:t>
      </w:r>
      <w:smartTag w:uri="urn:schemas-microsoft-com:office:smarttags" w:element="country-region">
        <w:r w:rsidRPr="00262C9B">
          <w:rPr>
            <w:sz w:val="22"/>
            <w:lang w:val="en-GB"/>
          </w:rPr>
          <w:t>Argentina</w:t>
        </w:r>
      </w:smartTag>
      <w:r w:rsidRPr="00262C9B">
        <w:rPr>
          <w:sz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62C9B">
            <w:rPr>
              <w:sz w:val="22"/>
              <w:lang w:val="en-GB"/>
            </w:rPr>
            <w:t>Brazil</w:t>
          </w:r>
        </w:smartTag>
      </w:smartTag>
      <w:r w:rsidRPr="00262C9B">
        <w:rPr>
          <w:sz w:val="22"/>
          <w:lang w:val="en-GB"/>
        </w:rPr>
        <w:t xml:space="preserve"> share the epidemic progression of zoonotic VL.</w:t>
      </w:r>
      <w:r>
        <w:rPr>
          <w:sz w:val="22"/>
          <w:lang w:val="en-GB"/>
        </w:rPr>
        <w:t xml:space="preserve"> </w:t>
      </w:r>
      <w:r w:rsidRPr="00262C9B">
        <w:rPr>
          <w:sz w:val="22"/>
          <w:lang w:val="en-GB"/>
        </w:rPr>
        <w:t>More than 66% of the cases occurred in males</w:t>
      </w:r>
      <w:r>
        <w:rPr>
          <w:sz w:val="22"/>
          <w:lang w:val="en-GB"/>
        </w:rPr>
        <w:t>;</w:t>
      </w:r>
      <w:r w:rsidRPr="00262C9B">
        <w:rPr>
          <w:sz w:val="22"/>
          <w:lang w:val="en-GB"/>
        </w:rPr>
        <w:t xml:space="preserve"> the case fatality rate has been reduced from 16% to 5</w:t>
      </w:r>
      <w:r>
        <w:rPr>
          <w:sz w:val="22"/>
          <w:lang w:val="en-GB"/>
        </w:rPr>
        <w:t>-</w:t>
      </w:r>
      <w:r w:rsidRPr="00262C9B">
        <w:rPr>
          <w:sz w:val="22"/>
          <w:lang w:val="en-GB"/>
        </w:rPr>
        <w:t>7%.</w:t>
      </w:r>
    </w:p>
    <w:p w:rsidR="00082CCD" w:rsidRPr="009C4566" w:rsidRDefault="00082CCD" w:rsidP="00082CCD">
      <w:pPr>
        <w:rPr>
          <w:lang w:val="en-US"/>
        </w:rPr>
      </w:pPr>
    </w:p>
    <w:p w:rsidR="00082CCD" w:rsidRPr="00262C9B" w:rsidRDefault="00082CCD" w:rsidP="00082CCD">
      <w:pPr>
        <w:rPr>
          <w:lang w:val="en-GB"/>
        </w:rPr>
      </w:pPr>
    </w:p>
    <w:p w:rsidR="00082CCD" w:rsidRPr="000D2908" w:rsidRDefault="00082CCD" w:rsidP="00082CCD">
      <w:pPr>
        <w:rPr>
          <w:b/>
          <w:bCs/>
          <w:sz w:val="22"/>
        </w:rPr>
      </w:pPr>
      <w:r w:rsidRPr="000D2908">
        <w:rPr>
          <w:b/>
          <w:bCs/>
          <w:sz w:val="22"/>
        </w:rPr>
        <w:t>PARASITOLOGICAL INFORMATION</w:t>
      </w:r>
    </w:p>
    <w:tbl>
      <w:tblPr>
        <w:tblpPr w:leftFromText="180" w:rightFromText="180" w:vertAnchor="text" w:horzAnchor="margin" w:tblpY="16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978"/>
        <w:gridCol w:w="2700"/>
        <w:gridCol w:w="2340"/>
      </w:tblGrid>
      <w:tr w:rsidR="00082CCD" w:rsidRPr="002C75B8" w:rsidTr="00A7768B">
        <w:tc>
          <w:tcPr>
            <w:tcW w:w="2270" w:type="dxa"/>
            <w:vAlign w:val="center"/>
          </w:tcPr>
          <w:p w:rsidR="00082CCD" w:rsidRPr="00B740F5" w:rsidRDefault="00082CCD" w:rsidP="00A7768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B740F5">
              <w:rPr>
                <w:b/>
                <w:bCs/>
                <w:i/>
                <w:iCs/>
                <w:sz w:val="22"/>
              </w:rPr>
              <w:t>Leishmania</w:t>
            </w:r>
          </w:p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B740F5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78" w:type="dxa"/>
            <w:vAlign w:val="center"/>
          </w:tcPr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</w:p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B740F5">
              <w:rPr>
                <w:b/>
                <w:bCs/>
                <w:sz w:val="22"/>
              </w:rPr>
              <w:t>Clinical</w:t>
            </w:r>
            <w:proofErr w:type="spellEnd"/>
            <w:r w:rsidRPr="00B740F5">
              <w:rPr>
                <w:b/>
                <w:bCs/>
                <w:sz w:val="22"/>
              </w:rPr>
              <w:t xml:space="preserve"> </w:t>
            </w:r>
            <w:proofErr w:type="spellStart"/>
            <w:r w:rsidRPr="00B740F5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700" w:type="dxa"/>
            <w:vAlign w:val="center"/>
          </w:tcPr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</w:p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  <w:r w:rsidRPr="00B740F5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B740F5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40" w:type="dxa"/>
            <w:vAlign w:val="center"/>
          </w:tcPr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</w:p>
          <w:p w:rsidR="00082CCD" w:rsidRPr="00B740F5" w:rsidRDefault="00082CCD" w:rsidP="00A7768B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B740F5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82CCD" w:rsidRPr="002C75B8" w:rsidTr="00A7768B">
        <w:tc>
          <w:tcPr>
            <w:tcW w:w="2270" w:type="dxa"/>
            <w:vAlign w:val="center"/>
          </w:tcPr>
          <w:p w:rsidR="00082CCD" w:rsidRPr="009F72CB" w:rsidRDefault="00082CCD" w:rsidP="00A7768B">
            <w:pPr>
              <w:rPr>
                <w:sz w:val="22"/>
              </w:rPr>
            </w:pPr>
            <w:r w:rsidRPr="009F72CB">
              <w:rPr>
                <w:i/>
                <w:iCs/>
                <w:sz w:val="22"/>
                <w:lang w:val="en-US"/>
              </w:rPr>
              <w:t>L. braziliensis</w:t>
            </w:r>
          </w:p>
        </w:tc>
        <w:tc>
          <w:tcPr>
            <w:tcW w:w="1978" w:type="dxa"/>
            <w:vAlign w:val="center"/>
          </w:tcPr>
          <w:p w:rsidR="00082CCD" w:rsidRPr="009F72CB" w:rsidRDefault="00082CCD" w:rsidP="00A7768B">
            <w:pPr>
              <w:rPr>
                <w:sz w:val="22"/>
                <w:lang w:val="en-US"/>
              </w:rPr>
            </w:pPr>
          </w:p>
          <w:p w:rsidR="00082CCD" w:rsidRPr="009F72CB" w:rsidRDefault="00082CCD" w:rsidP="00A7768B">
            <w:pPr>
              <w:rPr>
                <w:sz w:val="22"/>
                <w:lang w:val="en-US"/>
              </w:rPr>
            </w:pPr>
            <w:r w:rsidRPr="009F72CB">
              <w:rPr>
                <w:sz w:val="22"/>
                <w:lang w:val="en-US"/>
              </w:rPr>
              <w:t>ZCL, MCL</w:t>
            </w:r>
          </w:p>
        </w:tc>
        <w:tc>
          <w:tcPr>
            <w:tcW w:w="2700" w:type="dxa"/>
            <w:vAlign w:val="center"/>
          </w:tcPr>
          <w:p w:rsidR="00082CCD" w:rsidRPr="00A47B94" w:rsidRDefault="00082CCD" w:rsidP="00A7768B">
            <w:pPr>
              <w:rPr>
                <w:i/>
                <w:iCs/>
                <w:sz w:val="22"/>
                <w:lang w:val="it-IT"/>
              </w:rPr>
            </w:pPr>
            <w:r w:rsidRPr="00A47B94">
              <w:rPr>
                <w:i/>
                <w:iCs/>
                <w:sz w:val="22"/>
                <w:lang w:val="it-IT"/>
              </w:rPr>
              <w:t>Lu. whitmani,,</w:t>
            </w:r>
          </w:p>
          <w:p w:rsidR="00082CCD" w:rsidRPr="00A47B94" w:rsidRDefault="00082CCD" w:rsidP="00A7768B">
            <w:pPr>
              <w:rPr>
                <w:i/>
                <w:iCs/>
                <w:sz w:val="22"/>
                <w:lang w:val="it-IT"/>
              </w:rPr>
            </w:pPr>
            <w:r w:rsidRPr="00A47B94">
              <w:rPr>
                <w:i/>
                <w:iCs/>
                <w:sz w:val="22"/>
                <w:lang w:val="it-IT"/>
              </w:rPr>
              <w:t>Lu. migoni,</w:t>
            </w:r>
          </w:p>
          <w:p w:rsidR="00082CCD" w:rsidRPr="00A47B94" w:rsidRDefault="00082CCD" w:rsidP="00A7768B">
            <w:pPr>
              <w:rPr>
                <w:i/>
                <w:sz w:val="22"/>
                <w:lang w:val="it-IT"/>
              </w:rPr>
            </w:pPr>
            <w:r w:rsidRPr="00A47B94">
              <w:rPr>
                <w:i/>
                <w:iCs/>
                <w:sz w:val="22"/>
                <w:lang w:val="it-IT"/>
              </w:rPr>
              <w:t>Lu. intermedia</w:t>
            </w:r>
          </w:p>
        </w:tc>
        <w:tc>
          <w:tcPr>
            <w:tcW w:w="2340" w:type="dxa"/>
            <w:vAlign w:val="center"/>
          </w:tcPr>
          <w:p w:rsidR="00082CCD" w:rsidRPr="00B740F5" w:rsidRDefault="00082CCD" w:rsidP="00A7768B">
            <w:pPr>
              <w:rPr>
                <w:sz w:val="22"/>
                <w:lang w:val="en-US"/>
              </w:rPr>
            </w:pPr>
            <w:r w:rsidRPr="00B740F5">
              <w:rPr>
                <w:sz w:val="22"/>
                <w:lang w:val="en-US"/>
              </w:rPr>
              <w:t>Unknown</w:t>
            </w:r>
          </w:p>
        </w:tc>
      </w:tr>
      <w:tr w:rsidR="00082CCD" w:rsidRPr="002C75B8" w:rsidTr="00A7768B">
        <w:tc>
          <w:tcPr>
            <w:tcW w:w="2270" w:type="dxa"/>
            <w:vAlign w:val="center"/>
          </w:tcPr>
          <w:p w:rsidR="00082CCD" w:rsidRPr="00B740F5" w:rsidRDefault="00082CCD" w:rsidP="00A7768B">
            <w:pPr>
              <w:rPr>
                <w:i/>
                <w:iCs/>
                <w:sz w:val="22"/>
              </w:rPr>
            </w:pPr>
            <w:r w:rsidRPr="00B740F5">
              <w:rPr>
                <w:i/>
                <w:iCs/>
                <w:sz w:val="22"/>
              </w:rPr>
              <w:t xml:space="preserve">L. </w:t>
            </w:r>
            <w:r>
              <w:rPr>
                <w:i/>
                <w:iCs/>
                <w:sz w:val="22"/>
              </w:rPr>
              <w:t>infantum</w:t>
            </w:r>
          </w:p>
        </w:tc>
        <w:tc>
          <w:tcPr>
            <w:tcW w:w="1978" w:type="dxa"/>
            <w:vAlign w:val="center"/>
          </w:tcPr>
          <w:p w:rsidR="00082CCD" w:rsidRPr="009F72CB" w:rsidRDefault="00082CCD" w:rsidP="00A7768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ZV</w:t>
            </w:r>
            <w:r w:rsidRPr="009F72CB">
              <w:rPr>
                <w:sz w:val="22"/>
                <w:lang w:val="en-US"/>
              </w:rPr>
              <w:t>L</w:t>
            </w:r>
          </w:p>
        </w:tc>
        <w:tc>
          <w:tcPr>
            <w:tcW w:w="2700" w:type="dxa"/>
            <w:vAlign w:val="center"/>
          </w:tcPr>
          <w:p w:rsidR="00082CCD" w:rsidRPr="00A47B94" w:rsidRDefault="00082CCD" w:rsidP="00A7768B">
            <w:pPr>
              <w:rPr>
                <w:i/>
                <w:iCs/>
                <w:sz w:val="22"/>
              </w:rPr>
            </w:pPr>
            <w:r w:rsidRPr="00A47B94">
              <w:rPr>
                <w:i/>
                <w:iCs/>
                <w:sz w:val="22"/>
              </w:rPr>
              <w:t xml:space="preserve">Lu. </w:t>
            </w:r>
            <w:proofErr w:type="spellStart"/>
            <w:r w:rsidRPr="00A47B94">
              <w:rPr>
                <w:i/>
                <w:iCs/>
                <w:sz w:val="22"/>
              </w:rPr>
              <w:t>longipalpis</w:t>
            </w:r>
            <w:proofErr w:type="spellEnd"/>
          </w:p>
        </w:tc>
        <w:tc>
          <w:tcPr>
            <w:tcW w:w="2340" w:type="dxa"/>
            <w:vAlign w:val="center"/>
          </w:tcPr>
          <w:p w:rsidR="00082CCD" w:rsidRPr="00B740F5" w:rsidRDefault="00082CCD" w:rsidP="00A7768B">
            <w:pPr>
              <w:rPr>
                <w:i/>
                <w:iCs/>
                <w:sz w:val="22"/>
              </w:rPr>
            </w:pPr>
            <w:proofErr w:type="spellStart"/>
            <w:r w:rsidRPr="00B740F5">
              <w:rPr>
                <w:i/>
                <w:iCs/>
                <w:sz w:val="22"/>
              </w:rPr>
              <w:t>C</w:t>
            </w:r>
            <w:r>
              <w:rPr>
                <w:i/>
                <w:iCs/>
                <w:sz w:val="22"/>
              </w:rPr>
              <w:t>anis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familiaris</w:t>
            </w:r>
            <w:proofErr w:type="spellEnd"/>
          </w:p>
        </w:tc>
      </w:tr>
    </w:tbl>
    <w:p w:rsidR="00082CCD" w:rsidRDefault="00082CCD" w:rsidP="00082CCD"/>
    <w:p w:rsidR="00082CCD" w:rsidRDefault="00082CCD" w:rsidP="00082CCD">
      <w:pPr>
        <w:rPr>
          <w:b/>
          <w:bCs/>
          <w:sz w:val="22"/>
        </w:rPr>
      </w:pPr>
    </w:p>
    <w:p w:rsidR="00082CCD" w:rsidRDefault="00082CCD" w:rsidP="00082CCD">
      <w:pPr>
        <w:rPr>
          <w:b/>
          <w:bCs/>
          <w:sz w:val="22"/>
        </w:rPr>
      </w:pPr>
      <w:r>
        <w:rPr>
          <w:b/>
          <w:bCs/>
          <w:sz w:val="22"/>
        </w:rPr>
        <w:t>MAPS AND TRENDS</w:t>
      </w:r>
    </w:p>
    <w:p w:rsidR="00082CCD" w:rsidRDefault="00082CCD" w:rsidP="00082CCD"/>
    <w:p w:rsidR="00082CCD" w:rsidRDefault="00082CCD" w:rsidP="00082CCD">
      <w:pPr>
        <w:rPr>
          <w:b/>
          <w:bCs/>
          <w:sz w:val="22"/>
        </w:rPr>
      </w:pPr>
      <w:r w:rsidRPr="000E6842">
        <w:rPr>
          <w:b/>
          <w:bCs/>
          <w:sz w:val="22"/>
        </w:rPr>
        <w:t xml:space="preserve">Visceral leishmaniasis </w:t>
      </w:r>
    </w:p>
    <w:p w:rsidR="00082CCD" w:rsidRDefault="00082CCD" w:rsidP="00082CCD">
      <w:pPr>
        <w:rPr>
          <w:b/>
          <w:bCs/>
          <w:sz w:val="22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95885</wp:posOffset>
            </wp:positionV>
            <wp:extent cx="3429000" cy="2424430"/>
            <wp:effectExtent l="19050" t="0" r="0" b="0"/>
            <wp:wrapNone/>
            <wp:docPr id="9" name="Picture 9" descr="PY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Y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95885</wp:posOffset>
            </wp:positionV>
            <wp:extent cx="3314700" cy="2343785"/>
            <wp:effectExtent l="19050" t="0" r="0" b="0"/>
            <wp:wrapNone/>
            <wp:docPr id="6" name="Picture 6" descr="PY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Y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Default="00082CCD" w:rsidP="00082CCD">
      <w:pPr>
        <w:rPr>
          <w:rFonts w:eastAsia="Times New Roman"/>
          <w:lang w:eastAsia="es-ES"/>
        </w:rPr>
      </w:pPr>
    </w:p>
    <w:p w:rsidR="00082CCD" w:rsidRPr="005E5EF5" w:rsidRDefault="00082CCD" w:rsidP="00082CCD">
      <w:pPr>
        <w:rPr>
          <w:rFonts w:eastAsia="Times New Roman"/>
          <w:b/>
          <w:bCs/>
          <w:sz w:val="22"/>
          <w:lang w:eastAsia="es-ES"/>
        </w:rPr>
      </w:pPr>
      <w:r w:rsidRPr="005E5EF5">
        <w:rPr>
          <w:rFonts w:eastAsia="Times New Roman"/>
          <w:b/>
          <w:bCs/>
          <w:sz w:val="22"/>
          <w:lang w:eastAsia="es-ES"/>
        </w:rPr>
        <w:t>Cutaneous leishmaniasis</w:t>
      </w:r>
    </w:p>
    <w:p w:rsidR="00082CCD" w:rsidRDefault="00082CCD" w:rsidP="00082CCD">
      <w:pPr>
        <w:rPr>
          <w:rFonts w:eastAsia="Times New Roman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118110</wp:posOffset>
            </wp:positionV>
            <wp:extent cx="3600450" cy="2546350"/>
            <wp:effectExtent l="19050" t="0" r="0" b="0"/>
            <wp:wrapNone/>
            <wp:docPr id="7" name="Picture 7" descr="PY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Y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3521075" cy="2491105"/>
            <wp:effectExtent l="19050" t="0" r="3175" b="0"/>
            <wp:wrapNone/>
            <wp:docPr id="8" name="Picture 8" descr="PY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YC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4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Pr="005E5EF5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sz w:val="22"/>
          <w:lang w:eastAsia="es-ES"/>
        </w:rPr>
        <w:lastRenderedPageBreak/>
        <w:t>Mucoc</w:t>
      </w:r>
      <w:r w:rsidRPr="005E5EF5">
        <w:rPr>
          <w:rFonts w:eastAsia="Times New Roman"/>
          <w:b/>
          <w:bCs/>
          <w:sz w:val="22"/>
          <w:lang w:eastAsia="es-ES"/>
        </w:rPr>
        <w:t>utaneous leishmaniasis</w:t>
      </w: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inline distT="0" distB="0" distL="0" distR="0">
            <wp:extent cx="3332480" cy="2355850"/>
            <wp:effectExtent l="19050" t="0" r="1270" b="0"/>
            <wp:docPr id="3" name="Picture 3" descr="PYM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MLmod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sz w:val="22"/>
          <w:lang w:eastAsia="es-ES"/>
        </w:rPr>
        <w:t xml:space="preserve">Visceral leishmaniasis </w:t>
      </w:r>
      <w:proofErr w:type="spellStart"/>
      <w:r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87630</wp:posOffset>
            </wp:positionV>
            <wp:extent cx="5306695" cy="2170430"/>
            <wp:effectExtent l="0" t="0" r="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126365</wp:posOffset>
            </wp:positionV>
            <wp:extent cx="6745605" cy="2854960"/>
            <wp:effectExtent l="0" t="0" r="0" b="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eastAsia="Times New Roman"/>
          <w:b/>
          <w:bCs/>
          <w:sz w:val="22"/>
          <w:lang w:eastAsia="es-ES"/>
        </w:rPr>
        <w:t xml:space="preserve">Cutaneous leishmaniasis </w:t>
      </w:r>
      <w:proofErr w:type="spellStart"/>
      <w:r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  <w:r>
        <w:rPr>
          <w:rFonts w:eastAsia="Times New Roman"/>
          <w:b/>
          <w:bCs/>
          <w:sz w:val="22"/>
          <w:lang w:eastAsia="es-ES"/>
        </w:rPr>
        <w:lastRenderedPageBreak/>
        <w:t xml:space="preserve">Mucocutaneous leishmaniasis </w:t>
      </w:r>
      <w:proofErr w:type="spellStart"/>
      <w:r>
        <w:rPr>
          <w:rFonts w:eastAsia="Times New Roman"/>
          <w:b/>
          <w:bCs/>
          <w:sz w:val="22"/>
          <w:lang w:eastAsia="es-ES"/>
        </w:rPr>
        <w:t>trend</w:t>
      </w:r>
      <w:proofErr w:type="spellEnd"/>
    </w:p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178"/>
        <w:gridCol w:w="1260"/>
      </w:tblGrid>
      <w:tr w:rsidR="00082CCD" w:rsidRPr="00FE6774" w:rsidTr="00A7768B">
        <w:tc>
          <w:tcPr>
            <w:tcW w:w="1162" w:type="dxa"/>
            <w:shd w:val="clear" w:color="auto" w:fill="auto"/>
          </w:tcPr>
          <w:p w:rsidR="00082CCD" w:rsidRPr="00FE6774" w:rsidRDefault="00082CCD" w:rsidP="00A7768B">
            <w:pPr>
              <w:ind w:left="0" w:firstLine="0"/>
              <w:jc w:val="center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FE6774">
              <w:rPr>
                <w:rFonts w:eastAsia="Times New Roman"/>
                <w:b/>
                <w:bCs/>
                <w:sz w:val="22"/>
                <w:lang w:eastAsia="es-ES"/>
              </w:rPr>
              <w:t>2008</w:t>
            </w:r>
          </w:p>
        </w:tc>
        <w:tc>
          <w:tcPr>
            <w:tcW w:w="1178" w:type="dxa"/>
            <w:shd w:val="clear" w:color="auto" w:fill="auto"/>
          </w:tcPr>
          <w:p w:rsidR="00082CCD" w:rsidRPr="00FE6774" w:rsidRDefault="00082CCD" w:rsidP="00A7768B">
            <w:pPr>
              <w:ind w:left="0" w:firstLine="0"/>
              <w:jc w:val="center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FE6774">
              <w:rPr>
                <w:rFonts w:eastAsia="Times New Roman"/>
                <w:b/>
                <w:bCs/>
                <w:sz w:val="22"/>
                <w:lang w:eastAsia="es-ES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082CCD" w:rsidRPr="00FE6774" w:rsidRDefault="00082CCD" w:rsidP="00A7768B">
            <w:pPr>
              <w:ind w:left="0" w:firstLine="0"/>
              <w:jc w:val="center"/>
              <w:rPr>
                <w:rFonts w:eastAsia="Times New Roman"/>
                <w:b/>
                <w:bCs/>
                <w:sz w:val="22"/>
                <w:lang w:eastAsia="es-ES"/>
              </w:rPr>
            </w:pPr>
            <w:r w:rsidRPr="00FE6774">
              <w:rPr>
                <w:rFonts w:eastAsia="Times New Roman"/>
                <w:b/>
                <w:bCs/>
                <w:sz w:val="22"/>
                <w:lang w:eastAsia="es-ES"/>
              </w:rPr>
              <w:t>2006</w:t>
            </w:r>
          </w:p>
        </w:tc>
      </w:tr>
      <w:tr w:rsidR="00082CCD" w:rsidRPr="00FE6774" w:rsidTr="00A7768B">
        <w:tc>
          <w:tcPr>
            <w:tcW w:w="1162" w:type="dxa"/>
            <w:shd w:val="clear" w:color="auto" w:fill="auto"/>
          </w:tcPr>
          <w:p w:rsidR="00082CCD" w:rsidRPr="002C4B1A" w:rsidRDefault="00082CCD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2C4B1A">
              <w:rPr>
                <w:rFonts w:eastAsia="Times New Roman"/>
                <w:sz w:val="22"/>
                <w:lang w:eastAsia="es-ES"/>
              </w:rPr>
              <w:t>173</w:t>
            </w:r>
          </w:p>
        </w:tc>
        <w:tc>
          <w:tcPr>
            <w:tcW w:w="1178" w:type="dxa"/>
            <w:shd w:val="clear" w:color="auto" w:fill="auto"/>
          </w:tcPr>
          <w:p w:rsidR="00082CCD" w:rsidRPr="002C4B1A" w:rsidRDefault="00082CCD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2C4B1A">
              <w:rPr>
                <w:rFonts w:eastAsia="Times New Roman"/>
                <w:sz w:val="22"/>
                <w:lang w:eastAsia="es-ES"/>
              </w:rPr>
              <w:t>167</w:t>
            </w:r>
          </w:p>
        </w:tc>
        <w:tc>
          <w:tcPr>
            <w:tcW w:w="1260" w:type="dxa"/>
            <w:shd w:val="clear" w:color="auto" w:fill="auto"/>
          </w:tcPr>
          <w:p w:rsidR="00082CCD" w:rsidRPr="002C4B1A" w:rsidRDefault="00082CCD" w:rsidP="00A7768B">
            <w:pPr>
              <w:ind w:left="0" w:firstLine="0"/>
              <w:jc w:val="center"/>
              <w:rPr>
                <w:rFonts w:eastAsia="Times New Roman"/>
                <w:sz w:val="22"/>
                <w:lang w:eastAsia="es-ES"/>
              </w:rPr>
            </w:pPr>
            <w:r w:rsidRPr="002C4B1A">
              <w:rPr>
                <w:rFonts w:eastAsia="Times New Roman"/>
                <w:sz w:val="22"/>
                <w:lang w:eastAsia="es-ES"/>
              </w:rPr>
              <w:t>199</w:t>
            </w:r>
          </w:p>
        </w:tc>
      </w:tr>
    </w:tbl>
    <w:p w:rsidR="00082CCD" w:rsidRDefault="00082CCD" w:rsidP="00082CCD">
      <w:pPr>
        <w:rPr>
          <w:rFonts w:eastAsia="Times New Roman"/>
          <w:b/>
          <w:bCs/>
          <w:sz w:val="22"/>
          <w:lang w:eastAsia="es-ES"/>
        </w:rPr>
      </w:pPr>
    </w:p>
    <w:p w:rsidR="00082CCD" w:rsidRDefault="00082CCD" w:rsidP="00082CCD">
      <w:pPr>
        <w:ind w:left="0" w:firstLine="0"/>
        <w:rPr>
          <w:rFonts w:eastAsia="Times New Roman"/>
          <w:b/>
          <w:bCs/>
          <w:sz w:val="22"/>
          <w:lang w:eastAsia="es-ES"/>
        </w:rPr>
      </w:pPr>
    </w:p>
    <w:p w:rsidR="00082CCD" w:rsidRPr="00512E47" w:rsidRDefault="00082CCD" w:rsidP="00082CCD">
      <w:pPr>
        <w:ind w:left="0" w:firstLine="0"/>
        <w:rPr>
          <w:rFonts w:eastAsia="Times New Roman"/>
          <w:b/>
          <w:bCs/>
          <w:sz w:val="22"/>
          <w:lang w:eastAsia="es-ES"/>
        </w:rPr>
      </w:pPr>
      <w:r w:rsidRPr="00512E47">
        <w:rPr>
          <w:rFonts w:eastAsia="Times New Roman"/>
          <w:b/>
          <w:bCs/>
          <w:sz w:val="22"/>
          <w:lang w:eastAsia="es-ES"/>
        </w:rPr>
        <w:t>CONTROL</w:t>
      </w:r>
    </w:p>
    <w:p w:rsidR="00082CCD" w:rsidRPr="00512E47" w:rsidRDefault="00082CCD" w:rsidP="00082CCD">
      <w:pPr>
        <w:ind w:left="0" w:firstLine="0"/>
        <w:rPr>
          <w:rFonts w:eastAsia="Times New Roman"/>
          <w:sz w:val="22"/>
          <w:lang w:eastAsia="es-ES"/>
        </w:rPr>
      </w:pPr>
    </w:p>
    <w:p w:rsidR="00082CCD" w:rsidRPr="000F456B" w:rsidRDefault="00082CCD" w:rsidP="00082CCD">
      <w:pPr>
        <w:ind w:left="0" w:firstLine="0"/>
        <w:rPr>
          <w:sz w:val="22"/>
          <w:lang w:val="en-US"/>
        </w:rPr>
      </w:pPr>
      <w:r w:rsidRPr="00262C9B">
        <w:rPr>
          <w:sz w:val="22"/>
          <w:lang w:val="en-GB"/>
        </w:rPr>
        <w:t xml:space="preserve">Notification of </w:t>
      </w:r>
      <w:r>
        <w:rPr>
          <w:sz w:val="22"/>
          <w:lang w:val="en-GB"/>
        </w:rPr>
        <w:t>l</w:t>
      </w:r>
      <w:r w:rsidRPr="00262C9B">
        <w:rPr>
          <w:sz w:val="22"/>
          <w:lang w:val="en-GB"/>
        </w:rPr>
        <w:t xml:space="preserve">eishmaniasis is mandatory and </w:t>
      </w:r>
      <w:r w:rsidRPr="000F456B">
        <w:rPr>
          <w:sz w:val="22"/>
          <w:lang w:val="en-US"/>
        </w:rPr>
        <w:t xml:space="preserve">a national </w:t>
      </w:r>
      <w:r>
        <w:rPr>
          <w:sz w:val="22"/>
          <w:lang w:val="en-US"/>
        </w:rPr>
        <w:t>l</w:t>
      </w:r>
      <w:r w:rsidRPr="000F456B">
        <w:rPr>
          <w:sz w:val="22"/>
          <w:lang w:val="en-US"/>
        </w:rPr>
        <w:t>eishmaniasis control program</w:t>
      </w:r>
      <w:r>
        <w:rPr>
          <w:sz w:val="22"/>
          <w:lang w:val="en-US"/>
        </w:rPr>
        <w:t xml:space="preserve"> has been in place since 1990. There is a vector control program, with regular spraying of insecticides. There is no </w:t>
      </w:r>
      <w:proofErr w:type="spellStart"/>
      <w:r>
        <w:rPr>
          <w:sz w:val="22"/>
          <w:lang w:val="en-US"/>
        </w:rPr>
        <w:t>bednet</w:t>
      </w:r>
      <w:proofErr w:type="spellEnd"/>
      <w:r>
        <w:rPr>
          <w:sz w:val="22"/>
          <w:lang w:val="en-US"/>
        </w:rPr>
        <w:t xml:space="preserve"> distribution. There is no formal reservoir control program, but dog serological surveys are performed and positive dogs are sacrificed. </w:t>
      </w:r>
    </w:p>
    <w:p w:rsidR="00082CCD" w:rsidRPr="000F456B" w:rsidRDefault="00082CCD" w:rsidP="00082CCD">
      <w:pPr>
        <w:ind w:left="0" w:firstLine="0"/>
        <w:rPr>
          <w:sz w:val="22"/>
          <w:lang w:val="en-US"/>
        </w:rPr>
      </w:pPr>
    </w:p>
    <w:p w:rsidR="00082CCD" w:rsidRPr="00512E47" w:rsidRDefault="00082CCD" w:rsidP="00082CCD">
      <w:pPr>
        <w:ind w:left="0" w:firstLine="0"/>
        <w:rPr>
          <w:rFonts w:eastAsia="Times New Roman"/>
          <w:sz w:val="22"/>
          <w:lang w:val="en-US" w:eastAsia="es-ES"/>
        </w:rPr>
      </w:pPr>
    </w:p>
    <w:p w:rsidR="00082CCD" w:rsidRDefault="00082CCD" w:rsidP="00082CCD">
      <w:pPr>
        <w:ind w:left="0" w:firstLine="0"/>
        <w:rPr>
          <w:b/>
          <w:sz w:val="22"/>
          <w:lang w:val="en-US"/>
        </w:rPr>
      </w:pPr>
      <w:r w:rsidRPr="00512E47">
        <w:rPr>
          <w:b/>
          <w:sz w:val="22"/>
          <w:lang w:val="en-US"/>
        </w:rPr>
        <w:t xml:space="preserve">DIAGNOSIS, TREATMENT </w:t>
      </w:r>
    </w:p>
    <w:p w:rsidR="00082CCD" w:rsidRPr="00512E47" w:rsidRDefault="00082CCD" w:rsidP="00082CCD">
      <w:pPr>
        <w:ind w:left="0" w:firstLine="0"/>
        <w:rPr>
          <w:b/>
          <w:sz w:val="22"/>
          <w:lang w:val="en-US"/>
        </w:rPr>
      </w:pPr>
    </w:p>
    <w:p w:rsidR="00082CCD" w:rsidRPr="000F456B" w:rsidRDefault="00082CCD" w:rsidP="00082CCD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>Diagnosis:</w:t>
      </w:r>
    </w:p>
    <w:p w:rsidR="00082CCD" w:rsidRPr="00BA3ACA" w:rsidRDefault="00082CCD" w:rsidP="00082CCD">
      <w:pPr>
        <w:ind w:left="0" w:firstLine="0"/>
        <w:rPr>
          <w:sz w:val="22"/>
        </w:rPr>
      </w:pPr>
      <w:r w:rsidRPr="00BA3ACA">
        <w:rPr>
          <w:sz w:val="22"/>
        </w:rPr>
        <w:t xml:space="preserve">CL: </w:t>
      </w:r>
      <w:proofErr w:type="spellStart"/>
      <w:r w:rsidRPr="00BA3ACA">
        <w:rPr>
          <w:sz w:val="22"/>
        </w:rPr>
        <w:t>on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clinical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grounds</w:t>
      </w:r>
      <w:proofErr w:type="spellEnd"/>
      <w:r w:rsidRPr="00BA3ACA">
        <w:rPr>
          <w:sz w:val="22"/>
        </w:rPr>
        <w:t xml:space="preserve">. The Montenegro </w:t>
      </w:r>
      <w:proofErr w:type="spellStart"/>
      <w:r w:rsidRPr="00BA3ACA">
        <w:rPr>
          <w:sz w:val="22"/>
        </w:rPr>
        <w:t>skin</w:t>
      </w:r>
      <w:proofErr w:type="spellEnd"/>
      <w:r w:rsidRPr="00BA3ACA">
        <w:rPr>
          <w:sz w:val="22"/>
        </w:rPr>
        <w:t xml:space="preserve"> test </w:t>
      </w:r>
      <w:proofErr w:type="spellStart"/>
      <w:r w:rsidRPr="00BA3ACA">
        <w:rPr>
          <w:sz w:val="22"/>
        </w:rPr>
        <w:t>is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used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for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confirmation</w:t>
      </w:r>
      <w:proofErr w:type="spellEnd"/>
      <w:r w:rsidRPr="00BA3ACA">
        <w:rPr>
          <w:sz w:val="22"/>
        </w:rPr>
        <w:t xml:space="preserve"> at PHC </w:t>
      </w:r>
      <w:proofErr w:type="spellStart"/>
      <w:r w:rsidRPr="00BA3ACA">
        <w:rPr>
          <w:sz w:val="22"/>
        </w:rPr>
        <w:t>level</w:t>
      </w:r>
      <w:proofErr w:type="spellEnd"/>
      <w:r w:rsidRPr="00BA3ACA">
        <w:rPr>
          <w:sz w:val="22"/>
        </w:rPr>
        <w:t xml:space="preserve">. In </w:t>
      </w:r>
      <w:proofErr w:type="spellStart"/>
      <w:r w:rsidRPr="00BA3ACA">
        <w:rPr>
          <w:sz w:val="22"/>
        </w:rPr>
        <w:t>specialized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hospitals</w:t>
      </w:r>
      <w:proofErr w:type="spellEnd"/>
      <w:r w:rsidRPr="00BA3ACA">
        <w:rPr>
          <w:sz w:val="22"/>
        </w:rPr>
        <w:t xml:space="preserve">, PCR </w:t>
      </w:r>
      <w:proofErr w:type="spellStart"/>
      <w:r w:rsidRPr="00BA3ACA">
        <w:rPr>
          <w:sz w:val="22"/>
        </w:rPr>
        <w:t>is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possible</w:t>
      </w:r>
      <w:proofErr w:type="spellEnd"/>
      <w:r w:rsidRPr="00BA3ACA">
        <w:rPr>
          <w:sz w:val="22"/>
        </w:rPr>
        <w:t xml:space="preserve">. </w:t>
      </w:r>
    </w:p>
    <w:p w:rsidR="00082CCD" w:rsidRPr="00C0527B" w:rsidRDefault="00082CCD" w:rsidP="00082CCD">
      <w:pPr>
        <w:ind w:left="0" w:firstLine="0"/>
        <w:rPr>
          <w:color w:val="000000"/>
          <w:sz w:val="22"/>
        </w:rPr>
      </w:pPr>
      <w:r w:rsidRPr="00BA3ACA">
        <w:rPr>
          <w:sz w:val="22"/>
        </w:rPr>
        <w:t xml:space="preserve">VL: </w:t>
      </w:r>
      <w:proofErr w:type="spellStart"/>
      <w:r w:rsidRPr="00BA3ACA">
        <w:rPr>
          <w:sz w:val="22"/>
        </w:rPr>
        <w:t>on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clinical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grounds</w:t>
      </w:r>
      <w:proofErr w:type="spellEnd"/>
      <w:r w:rsidRPr="00BA3ACA">
        <w:rPr>
          <w:sz w:val="22"/>
        </w:rPr>
        <w:t xml:space="preserve"> in </w:t>
      </w:r>
      <w:proofErr w:type="spellStart"/>
      <w:r w:rsidRPr="00BA3ACA">
        <w:rPr>
          <w:sz w:val="22"/>
        </w:rPr>
        <w:t>district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hospitals</w:t>
      </w:r>
      <w:proofErr w:type="spellEnd"/>
      <w:r w:rsidRPr="00BA3ACA">
        <w:rPr>
          <w:sz w:val="22"/>
        </w:rPr>
        <w:t xml:space="preserve">. In </w:t>
      </w:r>
      <w:proofErr w:type="spellStart"/>
      <w:r w:rsidRPr="00BA3ACA">
        <w:rPr>
          <w:sz w:val="22"/>
        </w:rPr>
        <w:t>specialized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hospitals</w:t>
      </w:r>
      <w:proofErr w:type="spellEnd"/>
      <w:r w:rsidRPr="00BA3ACA">
        <w:rPr>
          <w:sz w:val="22"/>
        </w:rPr>
        <w:t xml:space="preserve">, </w:t>
      </w:r>
      <w:proofErr w:type="spellStart"/>
      <w:r w:rsidRPr="00BA3ACA">
        <w:rPr>
          <w:sz w:val="22"/>
        </w:rPr>
        <w:t>by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microscopic</w:t>
      </w:r>
      <w:proofErr w:type="spellEnd"/>
      <w:r w:rsidRPr="00BA3ACA">
        <w:rPr>
          <w:sz w:val="22"/>
        </w:rPr>
        <w:t xml:space="preserve"> </w:t>
      </w:r>
      <w:proofErr w:type="spellStart"/>
      <w:r w:rsidRPr="00BA3ACA">
        <w:rPr>
          <w:sz w:val="22"/>
        </w:rPr>
        <w:t>examination</w:t>
      </w:r>
      <w:proofErr w:type="spellEnd"/>
      <w:r w:rsidRPr="00BA3ACA">
        <w:rPr>
          <w:sz w:val="22"/>
        </w:rPr>
        <w:t xml:space="preserve"> of </w:t>
      </w:r>
      <w:proofErr w:type="spellStart"/>
      <w:r w:rsidRPr="00BA3ACA">
        <w:rPr>
          <w:sz w:val="22"/>
        </w:rPr>
        <w:t>bone</w:t>
      </w:r>
      <w:proofErr w:type="spellEnd"/>
      <w:r w:rsidRPr="00BA3ACA">
        <w:rPr>
          <w:sz w:val="22"/>
        </w:rPr>
        <w:t xml:space="preserve"> </w:t>
      </w:r>
      <w:proofErr w:type="spellStart"/>
      <w:r w:rsidRPr="00C0527B">
        <w:rPr>
          <w:sz w:val="22"/>
        </w:rPr>
        <w:t>marrow</w:t>
      </w:r>
      <w:proofErr w:type="spellEnd"/>
      <w:r w:rsidRPr="00C0527B">
        <w:rPr>
          <w:color w:val="000000"/>
          <w:sz w:val="22"/>
        </w:rPr>
        <w:t xml:space="preserve"> </w:t>
      </w:r>
      <w:proofErr w:type="spellStart"/>
      <w:r w:rsidRPr="00C0527B">
        <w:rPr>
          <w:color w:val="000000"/>
          <w:sz w:val="22"/>
        </w:rPr>
        <w:t>aspirate</w:t>
      </w:r>
      <w:proofErr w:type="spellEnd"/>
      <w:r w:rsidRPr="00C0527B">
        <w:rPr>
          <w:color w:val="000000"/>
          <w:sz w:val="22"/>
        </w:rPr>
        <w:t xml:space="preserve"> </w:t>
      </w:r>
      <w:proofErr w:type="spellStart"/>
      <w:r w:rsidRPr="00C0527B">
        <w:rPr>
          <w:color w:val="000000"/>
          <w:sz w:val="22"/>
        </w:rPr>
        <w:t>or</w:t>
      </w:r>
      <w:proofErr w:type="spellEnd"/>
      <w:r w:rsidRPr="00C0527B">
        <w:rPr>
          <w:color w:val="000000"/>
          <w:sz w:val="22"/>
        </w:rPr>
        <w:t xml:space="preserve"> rK39 </w:t>
      </w:r>
      <w:proofErr w:type="spellStart"/>
      <w:r w:rsidRPr="00C0527B">
        <w:rPr>
          <w:color w:val="000000"/>
          <w:sz w:val="22"/>
        </w:rPr>
        <w:t>antigen-based</w:t>
      </w:r>
      <w:proofErr w:type="spellEnd"/>
      <w:r w:rsidRPr="00C0527B">
        <w:rPr>
          <w:color w:val="000000"/>
          <w:sz w:val="22"/>
        </w:rPr>
        <w:t xml:space="preserve"> </w:t>
      </w:r>
      <w:proofErr w:type="spellStart"/>
      <w:r w:rsidRPr="00C0527B">
        <w:rPr>
          <w:color w:val="000000"/>
          <w:sz w:val="22"/>
        </w:rPr>
        <w:t>dipstick</w:t>
      </w:r>
      <w:proofErr w:type="spellEnd"/>
      <w:r w:rsidRPr="00C0527B">
        <w:rPr>
          <w:color w:val="000000"/>
          <w:sz w:val="22"/>
        </w:rPr>
        <w:t xml:space="preserve">. </w:t>
      </w:r>
    </w:p>
    <w:p w:rsidR="00082CCD" w:rsidRPr="000F456B" w:rsidRDefault="00082CCD" w:rsidP="00082CC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082CCD" w:rsidRPr="000F456B" w:rsidRDefault="00082CCD" w:rsidP="00082CCD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>Treatment:</w:t>
      </w:r>
    </w:p>
    <w:p w:rsidR="00082CCD" w:rsidRDefault="00082CCD" w:rsidP="00082CCD">
      <w:pPr>
        <w:pStyle w:val="BodyText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A3ACA">
        <w:rPr>
          <w:rFonts w:ascii="Arial" w:eastAsia="Calibri" w:hAnsi="Arial" w:cs="Arial"/>
          <w:sz w:val="22"/>
          <w:szCs w:val="22"/>
          <w:lang w:val="en-GB"/>
        </w:rPr>
        <w:t>CL:</w:t>
      </w:r>
      <w:r w:rsidRPr="00BA3ACA">
        <w:rPr>
          <w:rFonts w:ascii="Arial" w:eastAsia="Calibri" w:hAnsi="Arial" w:cs="Arial"/>
          <w:bCs/>
          <w:sz w:val="22"/>
          <w:szCs w:val="22"/>
          <w:lang w:val="en-GB"/>
        </w:rPr>
        <w:t xml:space="preserve"> antimonials, </w:t>
      </w:r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20 mg </w:t>
      </w:r>
      <w:proofErr w:type="spellStart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>Sb</w:t>
      </w:r>
      <w:r w:rsidRPr="00BA3ACA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v</w:t>
      </w:r>
      <w:proofErr w:type="spellEnd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/kg/day for 20 days. Cure rate is 97%, with 3% recurring lesions. In 30% of cases, there is progression into MCL. Mortality rate is 0.5%.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Second </w:t>
      </w:r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line treatment is with amphotericin B, 0.5 mg/kg/day for 20 days (cure rate is </w:t>
      </w:r>
      <w:r w:rsidRPr="00562689">
        <w:rPr>
          <w:rFonts w:ascii="Arial" w:hAnsi="Arial" w:cs="Arial"/>
          <w:bCs/>
          <w:color w:val="000000"/>
          <w:sz w:val="22"/>
          <w:szCs w:val="22"/>
          <w:lang w:val="en-GB"/>
        </w:rPr>
        <w:t>100%) Third line treatment is with miltefosine, 2.5 mg/kg/</w:t>
      </w:r>
      <w:proofErr w:type="spellStart"/>
      <w:r w:rsidRPr="00562689">
        <w:rPr>
          <w:rFonts w:ascii="Arial" w:hAnsi="Arial" w:cs="Arial"/>
          <w:bCs/>
          <w:color w:val="000000"/>
          <w:sz w:val="22"/>
          <w:szCs w:val="22"/>
          <w:lang w:val="en-GB"/>
        </w:rPr>
        <w:t>dag</w:t>
      </w:r>
      <w:proofErr w:type="spellEnd"/>
      <w:r w:rsidRPr="0056268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for 42 days (cure rate is 75%).</w:t>
      </w:r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082CCD" w:rsidRPr="000F456B" w:rsidRDefault="00082CCD" w:rsidP="00082CCD">
      <w:pPr>
        <w:pStyle w:val="BodyText"/>
        <w:rPr>
          <w:rFonts w:ascii="Arial" w:eastAsia="Calibri" w:hAnsi="Arial" w:cs="Arial"/>
          <w:bCs/>
          <w:sz w:val="22"/>
          <w:szCs w:val="22"/>
          <w:lang w:val="en-GB"/>
        </w:rPr>
      </w:pPr>
      <w:r w:rsidRPr="00BA3ACA">
        <w:rPr>
          <w:rFonts w:ascii="Arial" w:eastAsia="Calibri" w:hAnsi="Arial" w:cs="Arial"/>
          <w:sz w:val="22"/>
          <w:szCs w:val="22"/>
          <w:lang w:val="en-GB"/>
        </w:rPr>
        <w:t>VL</w:t>
      </w:r>
      <w:r w:rsidRPr="00BA3ACA">
        <w:rPr>
          <w:rFonts w:ascii="Arial" w:eastAsia="Calibri" w:hAnsi="Arial" w:cs="Arial"/>
          <w:bCs/>
          <w:sz w:val="22"/>
          <w:szCs w:val="22"/>
          <w:lang w:val="en-GB"/>
        </w:rPr>
        <w:t xml:space="preserve">: antimonials, </w:t>
      </w:r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20 mg </w:t>
      </w:r>
      <w:proofErr w:type="spellStart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>Sb</w:t>
      </w:r>
      <w:r w:rsidRPr="00BA3ACA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v</w:t>
      </w:r>
      <w:proofErr w:type="spellEnd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/kg/day for 30 days. Cure rate is 89%, with 1% relapse and </w:t>
      </w:r>
      <w:proofErr w:type="gramStart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>a</w:t>
      </w:r>
      <w:proofErr w:type="gramEnd"/>
      <w:r w:rsidRPr="00BA3AC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8.5%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mortality rate. Second line is amphotericin B, 0.5 mg/kg/day for 20 days. </w:t>
      </w:r>
    </w:p>
    <w:p w:rsidR="00082CCD" w:rsidRPr="00262C9B" w:rsidRDefault="00082CCD" w:rsidP="00082CCD">
      <w:pPr>
        <w:ind w:left="0" w:firstLine="0"/>
        <w:rPr>
          <w:sz w:val="22"/>
          <w:lang w:val="en-GB"/>
        </w:rPr>
      </w:pPr>
    </w:p>
    <w:p w:rsidR="00082CCD" w:rsidRPr="00262C9B" w:rsidRDefault="00082CCD" w:rsidP="00082CCD">
      <w:pPr>
        <w:ind w:left="0" w:firstLine="0"/>
        <w:rPr>
          <w:sz w:val="22"/>
          <w:lang w:val="en-GB"/>
        </w:rPr>
      </w:pPr>
    </w:p>
    <w:p w:rsidR="00082CCD" w:rsidRDefault="00082CCD" w:rsidP="00082CCD">
      <w:pPr>
        <w:ind w:left="0" w:firstLine="0"/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ACCESS TO CARE</w:t>
      </w:r>
    </w:p>
    <w:p w:rsidR="00082CCD" w:rsidRPr="000F456B" w:rsidRDefault="00082CCD" w:rsidP="00082CCD">
      <w:pPr>
        <w:ind w:left="0" w:firstLine="0"/>
        <w:rPr>
          <w:b/>
          <w:sz w:val="22"/>
          <w:lang w:val="en-US"/>
        </w:rPr>
      </w:pPr>
    </w:p>
    <w:p w:rsidR="00082CCD" w:rsidRDefault="00082CCD" w:rsidP="00082CCD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ES"/>
        </w:rPr>
        <w:t xml:space="preserve">Treatment is provided for free. VL can only be diagnosed and treated at district hospital level, but CL is usually dealt with at PHC level. The government purchased </w:t>
      </w:r>
      <w:r>
        <w:rPr>
          <w:rFonts w:ascii="Arial" w:hAnsi="Arial" w:cs="Arial"/>
          <w:sz w:val="22"/>
          <w:szCs w:val="22"/>
        </w:rPr>
        <w:t>c</w:t>
      </w:r>
      <w:r w:rsidRPr="00F239BE">
        <w:rPr>
          <w:rFonts w:ascii="Arial" w:hAnsi="Arial" w:cs="Arial"/>
          <w:sz w:val="22"/>
          <w:szCs w:val="22"/>
        </w:rPr>
        <w:t>onventional amphotericin B</w:t>
      </w:r>
      <w:r>
        <w:rPr>
          <w:rFonts w:ascii="Arial" w:hAnsi="Arial" w:cs="Arial"/>
          <w:sz w:val="22"/>
          <w:szCs w:val="22"/>
        </w:rPr>
        <w:t xml:space="preserve"> and m</w:t>
      </w:r>
      <w:r w:rsidRPr="00F239BE">
        <w:rPr>
          <w:rFonts w:ascii="Arial" w:hAnsi="Arial" w:cs="Arial"/>
          <w:sz w:val="22"/>
          <w:szCs w:val="22"/>
        </w:rPr>
        <w:t xml:space="preserve">eglumine antimoniate </w:t>
      </w:r>
      <w:r>
        <w:rPr>
          <w:rFonts w:ascii="Arial" w:hAnsi="Arial" w:cs="Arial"/>
          <w:sz w:val="22"/>
          <w:szCs w:val="22"/>
        </w:rPr>
        <w:t xml:space="preserve">(Glucantime, </w:t>
      </w:r>
      <w:proofErr w:type="spellStart"/>
      <w:r>
        <w:rPr>
          <w:rFonts w:ascii="Arial" w:hAnsi="Arial" w:cs="Arial"/>
          <w:sz w:val="22"/>
          <w:szCs w:val="22"/>
        </w:rPr>
        <w:t>Sanofi</w:t>
      </w:r>
      <w:proofErr w:type="spellEnd"/>
      <w:r>
        <w:rPr>
          <w:rFonts w:ascii="Arial" w:hAnsi="Arial" w:cs="Arial"/>
          <w:sz w:val="22"/>
          <w:szCs w:val="22"/>
        </w:rPr>
        <w:t xml:space="preserve">) for use in public health clinics in 2007 and 2008. Miltefosine was not provided. In 2008, there was a small donation of liposomal amphotericin B by the Brazilian government. Diagnosis by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Montenegro</w:t>
          </w:r>
        </w:smartTag>
      </w:smartTag>
      <w:r w:rsidRPr="000A4792">
        <w:rPr>
          <w:rFonts w:ascii="Arial" w:hAnsi="Arial" w:cs="Arial"/>
          <w:sz w:val="22"/>
          <w:szCs w:val="22"/>
        </w:rPr>
        <w:t xml:space="preserve"> skin test and serolog</w:t>
      </w:r>
      <w:r>
        <w:rPr>
          <w:rFonts w:ascii="Arial" w:hAnsi="Arial" w:cs="Arial"/>
          <w:sz w:val="22"/>
          <w:szCs w:val="22"/>
        </w:rPr>
        <w:t xml:space="preserve">y is </w:t>
      </w:r>
      <w:r w:rsidRPr="000A4792">
        <w:rPr>
          <w:rFonts w:ascii="Arial" w:hAnsi="Arial" w:cs="Arial"/>
          <w:sz w:val="22"/>
          <w:szCs w:val="22"/>
        </w:rPr>
        <w:t>free of charge</w:t>
      </w:r>
      <w:r>
        <w:rPr>
          <w:rFonts w:ascii="Arial" w:hAnsi="Arial" w:cs="Arial"/>
          <w:sz w:val="22"/>
          <w:szCs w:val="22"/>
        </w:rPr>
        <w:t xml:space="preserve">, but for parasitological confirmation </w:t>
      </w:r>
      <w:r w:rsidRPr="000A4792">
        <w:rPr>
          <w:rFonts w:ascii="Arial" w:hAnsi="Arial" w:cs="Arial"/>
          <w:sz w:val="22"/>
          <w:szCs w:val="22"/>
        </w:rPr>
        <w:t xml:space="preserve">the patient </w:t>
      </w:r>
      <w:r>
        <w:rPr>
          <w:rFonts w:ascii="Arial" w:hAnsi="Arial" w:cs="Arial"/>
          <w:sz w:val="22"/>
          <w:szCs w:val="22"/>
        </w:rPr>
        <w:t xml:space="preserve">has to pay </w:t>
      </w:r>
      <w:r w:rsidRPr="000A4792">
        <w:rPr>
          <w:rFonts w:ascii="Arial" w:hAnsi="Arial" w:cs="Arial"/>
          <w:sz w:val="22"/>
          <w:szCs w:val="22"/>
        </w:rPr>
        <w:t xml:space="preserve">USD </w:t>
      </w:r>
      <w:r>
        <w:rPr>
          <w:rFonts w:ascii="Arial" w:hAnsi="Arial" w:cs="Arial"/>
          <w:sz w:val="22"/>
          <w:szCs w:val="22"/>
        </w:rPr>
        <w:t>30-</w:t>
      </w:r>
      <w:r w:rsidRPr="000A4792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. The private sector is little used, an estimated 3% for VL and 0.4-1% for CL. All patients are thought to have access to care. </w:t>
      </w:r>
    </w:p>
    <w:p w:rsidR="00082CCD" w:rsidRDefault="00082CCD" w:rsidP="00082CCD">
      <w:pPr>
        <w:pStyle w:val="BodyText"/>
        <w:spacing w:after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082CCD" w:rsidRPr="000F456B" w:rsidRDefault="00082CCD" w:rsidP="00082CCD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082CCD" w:rsidRDefault="00082CCD" w:rsidP="00082CCD">
      <w:pPr>
        <w:ind w:left="0" w:firstLine="0"/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ACCESS TO DRUGS</w:t>
      </w:r>
    </w:p>
    <w:p w:rsidR="00082CCD" w:rsidRPr="000F456B" w:rsidRDefault="00082CCD" w:rsidP="00082CCD">
      <w:pPr>
        <w:ind w:left="0" w:firstLine="0"/>
        <w:rPr>
          <w:b/>
          <w:sz w:val="22"/>
          <w:lang w:val="en-US"/>
        </w:rPr>
      </w:pPr>
    </w:p>
    <w:p w:rsidR="00082CCD" w:rsidRDefault="00082CCD" w:rsidP="00082CCD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US"/>
            </w:rPr>
            <w:t>Paraguay</w:t>
          </w:r>
        </w:smartTag>
      </w:smartTag>
      <w:r>
        <w:rPr>
          <w:sz w:val="22"/>
          <w:lang w:val="en-US"/>
        </w:rPr>
        <w:t>, there is no formal essential d</w:t>
      </w:r>
      <w:r w:rsidRPr="00F239BE">
        <w:rPr>
          <w:sz w:val="22"/>
          <w:lang w:val="en-US"/>
        </w:rPr>
        <w:t xml:space="preserve">rug </w:t>
      </w:r>
      <w:r>
        <w:rPr>
          <w:sz w:val="22"/>
          <w:lang w:val="en-US"/>
        </w:rPr>
        <w:t>list. Miltefosine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Paladin</w:t>
          </w:r>
        </w:smartTag>
        <w:r>
          <w:rPr>
            <w:sz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2"/>
              <w:lang w:val="en-US"/>
            </w:rPr>
            <w:t>Canada</w:t>
          </w:r>
        </w:smartTag>
      </w:smartTag>
      <w:r>
        <w:rPr>
          <w:sz w:val="22"/>
          <w:lang w:val="en-US"/>
        </w:rPr>
        <w:t>), Glucantime (</w:t>
      </w:r>
      <w:proofErr w:type="spellStart"/>
      <w:r>
        <w:rPr>
          <w:sz w:val="22"/>
          <w:lang w:val="en-GB"/>
        </w:rPr>
        <w:t>Sanofi</w:t>
      </w:r>
      <w:proofErr w:type="spellEnd"/>
      <w:r w:rsidRPr="00262C9B">
        <w:rPr>
          <w:sz w:val="22"/>
          <w:lang w:val="en-GB"/>
        </w:rPr>
        <w:t xml:space="preserve">) </w:t>
      </w:r>
      <w:r>
        <w:rPr>
          <w:sz w:val="22"/>
          <w:lang w:val="en-US"/>
        </w:rPr>
        <w:t xml:space="preserve">and Pentostam (GSK) are </w:t>
      </w:r>
      <w:proofErr w:type="gramStart"/>
      <w:r>
        <w:rPr>
          <w:sz w:val="22"/>
          <w:lang w:val="en-US"/>
        </w:rPr>
        <w:t>registered,</w:t>
      </w:r>
      <w:proofErr w:type="gramEnd"/>
      <w:r>
        <w:rPr>
          <w:sz w:val="22"/>
          <w:lang w:val="en-US"/>
        </w:rPr>
        <w:t xml:space="preserve"> Miltefosine is sold in regular pharmacies, at 8.65 USD per 50 mg tablet, leading to a treatment cost of nearly 500 USD for an adult patient.  </w:t>
      </w:r>
    </w:p>
    <w:p w:rsidR="00082CCD" w:rsidRPr="000F456B" w:rsidRDefault="00082CCD" w:rsidP="00082CCD">
      <w:pPr>
        <w:ind w:left="0"/>
        <w:rPr>
          <w:sz w:val="22"/>
          <w:lang w:val="en-US"/>
        </w:rPr>
      </w:pPr>
    </w:p>
    <w:p w:rsidR="00082CCD" w:rsidRPr="00262C9B" w:rsidRDefault="00082CCD" w:rsidP="00082CCD">
      <w:pPr>
        <w:rPr>
          <w:sz w:val="22"/>
          <w:lang w:val="en-GB"/>
        </w:rPr>
      </w:pPr>
    </w:p>
    <w:p w:rsidR="00082CCD" w:rsidRPr="003A1C5E" w:rsidRDefault="00082CCD" w:rsidP="00082CCD">
      <w:pPr>
        <w:spacing w:line="360" w:lineRule="auto"/>
        <w:rPr>
          <w:b/>
          <w:sz w:val="22"/>
          <w:u w:val="single"/>
          <w:lang w:val="es-ES"/>
        </w:rPr>
      </w:pPr>
      <w:r w:rsidRPr="003A1C5E">
        <w:rPr>
          <w:b/>
          <w:sz w:val="22"/>
          <w:lang w:val="es-ES"/>
        </w:rPr>
        <w:lastRenderedPageBreak/>
        <w:t>SOURCES OF INFORMATION</w:t>
      </w:r>
    </w:p>
    <w:p w:rsidR="00082CCD" w:rsidRPr="00A47B94" w:rsidRDefault="00082CCD" w:rsidP="00082CCD">
      <w:pPr>
        <w:rPr>
          <w:sz w:val="22"/>
        </w:rPr>
      </w:pPr>
    </w:p>
    <w:p w:rsidR="00082CCD" w:rsidRPr="00CD201F" w:rsidRDefault="00082CCD" w:rsidP="00082CCD">
      <w:pPr>
        <w:numPr>
          <w:ilvl w:val="0"/>
          <w:numId w:val="5"/>
        </w:numPr>
        <w:autoSpaceDE w:val="0"/>
        <w:autoSpaceDN w:val="0"/>
        <w:adjustRightInd w:val="0"/>
        <w:rPr>
          <w:lang w:val="es-ES"/>
        </w:rPr>
      </w:pPr>
      <w:r w:rsidRPr="003A1C5E">
        <w:rPr>
          <w:sz w:val="22"/>
          <w:lang w:val="en-GB"/>
        </w:rPr>
        <w:t xml:space="preserve">Dr Juan Domingo </w:t>
      </w:r>
      <w:proofErr w:type="spellStart"/>
      <w:r w:rsidRPr="003A1C5E">
        <w:rPr>
          <w:sz w:val="22"/>
          <w:lang w:val="en-GB"/>
        </w:rPr>
        <w:t>Maciel</w:t>
      </w:r>
      <w:proofErr w:type="spellEnd"/>
      <w:r w:rsidRPr="003A1C5E">
        <w:rPr>
          <w:sz w:val="22"/>
          <w:lang w:val="en-GB"/>
        </w:rPr>
        <w:t xml:space="preserve">, SENEPA, Ministry of Health. </w:t>
      </w:r>
      <w:r w:rsidRPr="00CD201F">
        <w:rPr>
          <w:bCs/>
          <w:i/>
          <w:iCs/>
          <w:color w:val="000000"/>
          <w:sz w:val="22"/>
          <w:lang w:val="es-ES"/>
        </w:rPr>
        <w:t xml:space="preserve">Leishmaniasis en la Región de las Américas. </w:t>
      </w:r>
      <w:r w:rsidRPr="00CD201F">
        <w:rPr>
          <w:bCs/>
          <w:i/>
          <w:iCs/>
          <w:sz w:val="22"/>
          <w:lang w:val="es-ES"/>
        </w:rPr>
        <w:t>Reuni</w:t>
      </w:r>
      <w:r w:rsidRPr="00CD201F">
        <w:rPr>
          <w:bCs/>
          <w:i/>
          <w:iCs/>
          <w:color w:val="000000"/>
          <w:sz w:val="22"/>
          <w:lang w:val="es-ES"/>
        </w:rPr>
        <w:t>ó</w:t>
      </w:r>
      <w:r w:rsidRPr="00CD201F">
        <w:rPr>
          <w:bCs/>
          <w:i/>
          <w:iCs/>
          <w:sz w:val="22"/>
          <w:lang w:val="es-ES"/>
        </w:rPr>
        <w:t>n de coordinadores de Programa Nacional de Leishmaniasis. OPS/OMS. Medell</w:t>
      </w:r>
      <w:r w:rsidRPr="00CD201F">
        <w:rPr>
          <w:bCs/>
          <w:i/>
          <w:iCs/>
          <w:color w:val="000000"/>
          <w:sz w:val="22"/>
          <w:lang w:val="es-ES"/>
        </w:rPr>
        <w:t>í</w:t>
      </w:r>
      <w:r w:rsidRPr="00CD201F">
        <w:rPr>
          <w:bCs/>
          <w:i/>
          <w:iCs/>
          <w:sz w:val="22"/>
          <w:lang w:val="es-ES"/>
        </w:rPr>
        <w:t>n, Colombia. 4-6 junio 2008</w:t>
      </w:r>
      <w:r>
        <w:rPr>
          <w:bCs/>
          <w:i/>
          <w:iCs/>
          <w:sz w:val="22"/>
          <w:lang w:val="es-ES"/>
        </w:rPr>
        <w:t>.</w:t>
      </w:r>
    </w:p>
    <w:p w:rsidR="00082CCD" w:rsidRPr="00262C9B" w:rsidRDefault="00082CCD" w:rsidP="00082CCD">
      <w:pPr>
        <w:numPr>
          <w:ilvl w:val="0"/>
          <w:numId w:val="5"/>
        </w:numPr>
        <w:jc w:val="left"/>
        <w:rPr>
          <w:sz w:val="22"/>
          <w:lang w:val="en-GB"/>
        </w:rPr>
      </w:pPr>
      <w:r w:rsidRPr="00262C9B">
        <w:rPr>
          <w:sz w:val="22"/>
          <w:lang w:val="en-GB"/>
        </w:rPr>
        <w:t xml:space="preserve">Dr Martha </w:t>
      </w:r>
      <w:proofErr w:type="spellStart"/>
      <w:r w:rsidRPr="00262C9B">
        <w:rPr>
          <w:sz w:val="22"/>
          <w:lang w:val="en-GB"/>
        </w:rPr>
        <w:t>Rossana</w:t>
      </w:r>
      <w:proofErr w:type="spellEnd"/>
      <w:r w:rsidRPr="00262C9B">
        <w:rPr>
          <w:sz w:val="22"/>
          <w:lang w:val="en-GB"/>
        </w:rPr>
        <w:t xml:space="preserve"> </w:t>
      </w:r>
      <w:proofErr w:type="spellStart"/>
      <w:r w:rsidRPr="00262C9B">
        <w:rPr>
          <w:sz w:val="22"/>
          <w:lang w:val="en-GB"/>
        </w:rPr>
        <w:t>Torales</w:t>
      </w:r>
      <w:proofErr w:type="spellEnd"/>
      <w:r w:rsidRPr="00262C9B">
        <w:rPr>
          <w:sz w:val="22"/>
          <w:lang w:val="en-GB"/>
        </w:rPr>
        <w:t xml:space="preserve"> </w:t>
      </w:r>
      <w:proofErr w:type="spellStart"/>
      <w:r w:rsidRPr="00262C9B">
        <w:rPr>
          <w:sz w:val="22"/>
          <w:lang w:val="en-GB"/>
        </w:rPr>
        <w:t>Ruotti</w:t>
      </w:r>
      <w:proofErr w:type="spellEnd"/>
      <w:r w:rsidRPr="00262C9B">
        <w:rPr>
          <w:sz w:val="22"/>
          <w:lang w:val="en-GB"/>
        </w:rPr>
        <w:t>, National Program for Leishmaniasis Control, SENEPA, Ministry of Health. Head of the Leishmaniasis Program</w:t>
      </w:r>
      <w:r>
        <w:rPr>
          <w:sz w:val="22"/>
          <w:lang w:val="en-GB"/>
        </w:rPr>
        <w:t>.</w:t>
      </w:r>
    </w:p>
    <w:p w:rsidR="00082CCD" w:rsidRPr="00262C9B" w:rsidRDefault="00082CCD" w:rsidP="00082CCD">
      <w:pPr>
        <w:ind w:left="0" w:firstLine="0"/>
        <w:rPr>
          <w:sz w:val="22"/>
          <w:lang w:val="en-GB"/>
        </w:rPr>
      </w:pPr>
    </w:p>
    <w:p w:rsidR="00082CCD" w:rsidRPr="00262C9B" w:rsidRDefault="00082CCD" w:rsidP="00082CCD">
      <w:pPr>
        <w:ind w:left="0" w:firstLine="0"/>
        <w:rPr>
          <w:sz w:val="22"/>
          <w:lang w:val="en-GB"/>
        </w:rPr>
      </w:pPr>
    </w:p>
    <w:p w:rsidR="00082CCD" w:rsidRDefault="00082CCD" w:rsidP="00082CCD">
      <w:pPr>
        <w:ind w:left="0" w:firstLine="0"/>
        <w:rPr>
          <w:sz w:val="22"/>
        </w:rPr>
      </w:pPr>
      <w:r w:rsidRPr="00262C9B">
        <w:rPr>
          <w:sz w:val="22"/>
          <w:lang w:val="it-IT"/>
        </w:rPr>
        <w:t>1. Migone LE</w:t>
      </w:r>
      <w:r>
        <w:rPr>
          <w:sz w:val="22"/>
          <w:lang w:val="it-IT"/>
        </w:rPr>
        <w:t xml:space="preserve"> (1913)</w:t>
      </w:r>
      <w:r w:rsidRPr="00262C9B">
        <w:rPr>
          <w:sz w:val="22"/>
          <w:lang w:val="it-IT"/>
        </w:rPr>
        <w:t xml:space="preserve">. La buba du Paraguay, leishmaniose ameri-caine. </w:t>
      </w:r>
      <w:r w:rsidRPr="00A47B94">
        <w:rPr>
          <w:sz w:val="22"/>
        </w:rPr>
        <w:t xml:space="preserve">Bull </w:t>
      </w:r>
      <w:proofErr w:type="spellStart"/>
      <w:r w:rsidRPr="00A47B94">
        <w:rPr>
          <w:sz w:val="22"/>
        </w:rPr>
        <w:t>Soc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Pathol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Exot</w:t>
      </w:r>
      <w:proofErr w:type="spellEnd"/>
      <w:r w:rsidRPr="00A47B94">
        <w:rPr>
          <w:sz w:val="22"/>
        </w:rPr>
        <w:t xml:space="preserve"> 6: 210-218.  </w:t>
      </w:r>
    </w:p>
    <w:p w:rsidR="00082CCD" w:rsidRPr="00A47B94" w:rsidRDefault="00082CCD" w:rsidP="00082CCD">
      <w:pPr>
        <w:ind w:left="0" w:firstLine="0"/>
        <w:rPr>
          <w:sz w:val="22"/>
        </w:rPr>
      </w:pPr>
    </w:p>
    <w:p w:rsidR="00082CCD" w:rsidRDefault="00082CCD" w:rsidP="00082CCD">
      <w:pPr>
        <w:ind w:left="0" w:firstLine="0"/>
        <w:rPr>
          <w:sz w:val="22"/>
        </w:rPr>
      </w:pPr>
      <w:r w:rsidRPr="00A47B94">
        <w:rPr>
          <w:sz w:val="22"/>
        </w:rPr>
        <w:t>2</w:t>
      </w:r>
      <w:r>
        <w:rPr>
          <w:sz w:val="22"/>
        </w:rPr>
        <w:t>.</w:t>
      </w:r>
      <w:r w:rsidRPr="00A47B94">
        <w:rPr>
          <w:sz w:val="22"/>
        </w:rPr>
        <w:t xml:space="preserve"> González G, </w:t>
      </w:r>
      <w:proofErr w:type="spellStart"/>
      <w:r w:rsidRPr="00A47B94">
        <w:rPr>
          <w:sz w:val="22"/>
        </w:rPr>
        <w:t>Oliveira</w:t>
      </w:r>
      <w:proofErr w:type="spellEnd"/>
      <w:r>
        <w:rPr>
          <w:sz w:val="22"/>
        </w:rPr>
        <w:t>,</w:t>
      </w:r>
      <w:r w:rsidRPr="00A47B94">
        <w:rPr>
          <w:sz w:val="22"/>
        </w:rPr>
        <w:t xml:space="preserve"> Silva M</w:t>
      </w:r>
      <w:r>
        <w:rPr>
          <w:sz w:val="22"/>
        </w:rPr>
        <w:t xml:space="preserve"> (1939)</w:t>
      </w:r>
      <w:r w:rsidRPr="00A47B94">
        <w:rPr>
          <w:sz w:val="22"/>
        </w:rPr>
        <w:t xml:space="preserve">. La leishmaniosis forestal </w:t>
      </w:r>
      <w:smartTag w:uri="urn:schemas-microsoft-com:office:smarttags" w:element="City">
        <w:r w:rsidRPr="00A47B94">
          <w:rPr>
            <w:sz w:val="22"/>
          </w:rPr>
          <w:t>americana</w:t>
        </w:r>
      </w:smartTag>
      <w:r w:rsidRPr="00A47B94">
        <w:rPr>
          <w:sz w:val="22"/>
        </w:rPr>
        <w:t xml:space="preserve"> en la guerra </w:t>
      </w:r>
      <w:smartTag w:uri="urn:schemas-microsoft-com:office:smarttags" w:element="State">
        <w:r w:rsidRPr="00A47B94">
          <w:rPr>
            <w:sz w:val="22"/>
          </w:rPr>
          <w:t>del</w:t>
        </w:r>
      </w:smartTag>
      <w:r w:rsidRPr="00A47B94">
        <w:rPr>
          <w:sz w:val="22"/>
        </w:rPr>
        <w:t xml:space="preserve"> </w:t>
      </w:r>
      <w:smartTag w:uri="urn:schemas-microsoft-com:office:smarttags" w:element="place">
        <w:r w:rsidRPr="00A47B94">
          <w:rPr>
            <w:sz w:val="22"/>
          </w:rPr>
          <w:t>Chaco</w:t>
        </w:r>
      </w:smartTag>
      <w:r w:rsidRPr="00A47B94">
        <w:rPr>
          <w:sz w:val="22"/>
        </w:rPr>
        <w:t>. Novena Reunión Sociedad Argentina de Patología Regional</w:t>
      </w:r>
      <w:r>
        <w:rPr>
          <w:sz w:val="22"/>
        </w:rPr>
        <w:t xml:space="preserve"> </w:t>
      </w:r>
      <w:r w:rsidRPr="00A47B94">
        <w:rPr>
          <w:sz w:val="22"/>
        </w:rPr>
        <w:t>2: 959-974.</w:t>
      </w:r>
    </w:p>
    <w:p w:rsidR="00082CCD" w:rsidRPr="00A47B94" w:rsidRDefault="00082CCD" w:rsidP="00082CCD">
      <w:pPr>
        <w:ind w:left="0" w:firstLine="0"/>
        <w:rPr>
          <w:sz w:val="22"/>
        </w:rPr>
      </w:pPr>
    </w:p>
    <w:p w:rsidR="00082CCD" w:rsidRDefault="00082CCD" w:rsidP="00082CCD">
      <w:pPr>
        <w:ind w:left="0" w:firstLine="0"/>
        <w:rPr>
          <w:sz w:val="22"/>
        </w:rPr>
      </w:pPr>
      <w:r w:rsidRPr="00A47B94">
        <w:rPr>
          <w:sz w:val="22"/>
        </w:rPr>
        <w:t>3</w:t>
      </w:r>
      <w:r>
        <w:rPr>
          <w:sz w:val="22"/>
        </w:rPr>
        <w:t>.</w:t>
      </w:r>
      <w:r w:rsidRPr="00A47B94">
        <w:rPr>
          <w:sz w:val="22"/>
        </w:rPr>
        <w:t xml:space="preserve"> Arias JR, Beltrán F, Desjeux P, </w:t>
      </w:r>
      <w:proofErr w:type="spellStart"/>
      <w:r w:rsidRPr="00A47B94">
        <w:rPr>
          <w:sz w:val="22"/>
        </w:rPr>
        <w:t>Walton</w:t>
      </w:r>
      <w:proofErr w:type="spellEnd"/>
      <w:r w:rsidRPr="00A47B94">
        <w:rPr>
          <w:sz w:val="22"/>
        </w:rPr>
        <w:t xml:space="preserve"> B</w:t>
      </w:r>
      <w:r>
        <w:rPr>
          <w:sz w:val="22"/>
        </w:rPr>
        <w:t xml:space="preserve"> (1996)</w:t>
      </w:r>
      <w:r w:rsidRPr="00A47B94">
        <w:rPr>
          <w:sz w:val="22"/>
        </w:rPr>
        <w:t>. Epidemiología y Control de la Leishmaniasis en las Américas, por País o Territorio, Cuaderno Técnico OPS Nº 44, Organización Panamericana de la Salud, Washington.</w:t>
      </w:r>
    </w:p>
    <w:p w:rsidR="00082CCD" w:rsidRPr="00A47B94" w:rsidRDefault="00082CCD" w:rsidP="00082CCD">
      <w:pPr>
        <w:ind w:left="0" w:firstLine="0"/>
        <w:rPr>
          <w:sz w:val="22"/>
        </w:rPr>
      </w:pPr>
    </w:p>
    <w:p w:rsidR="00082CCD" w:rsidRDefault="00082CCD" w:rsidP="00082CCD">
      <w:pPr>
        <w:ind w:left="0" w:firstLine="0"/>
        <w:rPr>
          <w:sz w:val="22"/>
        </w:rPr>
      </w:pPr>
      <w:r w:rsidRPr="00A47B94">
        <w:rPr>
          <w:sz w:val="22"/>
        </w:rPr>
        <w:t>4</w:t>
      </w:r>
      <w:r>
        <w:rPr>
          <w:sz w:val="22"/>
        </w:rPr>
        <w:t>.</w:t>
      </w:r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Migone</w:t>
      </w:r>
      <w:proofErr w:type="spellEnd"/>
      <w:r w:rsidRPr="00A47B94">
        <w:rPr>
          <w:sz w:val="22"/>
        </w:rPr>
        <w:t xml:space="preserve"> LE</w:t>
      </w:r>
      <w:r>
        <w:rPr>
          <w:sz w:val="22"/>
        </w:rPr>
        <w:t xml:space="preserve"> (1913)</w:t>
      </w:r>
      <w:r w:rsidRPr="00A47B94">
        <w:rPr>
          <w:sz w:val="22"/>
        </w:rPr>
        <w:t xml:space="preserve">. Un </w:t>
      </w:r>
      <w:proofErr w:type="spellStart"/>
      <w:r w:rsidRPr="00A47B94">
        <w:rPr>
          <w:sz w:val="22"/>
        </w:rPr>
        <w:t>cas</w:t>
      </w:r>
      <w:proofErr w:type="spellEnd"/>
      <w:r w:rsidRPr="00A47B94">
        <w:rPr>
          <w:sz w:val="22"/>
        </w:rPr>
        <w:t xml:space="preserve"> de kala-azar a Asunción, </w:t>
      </w:r>
      <w:smartTag w:uri="urn:schemas-microsoft-com:office:smarttags" w:element="country-region">
        <w:smartTag w:uri="urn:schemas-microsoft-com:office:smarttags" w:element="place">
          <w:r w:rsidRPr="00A47B94">
            <w:rPr>
              <w:sz w:val="22"/>
            </w:rPr>
            <w:t>Paraguay</w:t>
          </w:r>
        </w:smartTag>
      </w:smartTag>
      <w:r w:rsidRPr="00A47B94">
        <w:rPr>
          <w:sz w:val="22"/>
        </w:rPr>
        <w:t xml:space="preserve">. Bull </w:t>
      </w:r>
      <w:proofErr w:type="spellStart"/>
      <w:r w:rsidRPr="00A47B94">
        <w:rPr>
          <w:sz w:val="22"/>
        </w:rPr>
        <w:t>Soc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Pathol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Exot</w:t>
      </w:r>
      <w:proofErr w:type="spellEnd"/>
      <w:r>
        <w:rPr>
          <w:sz w:val="22"/>
        </w:rPr>
        <w:t xml:space="preserve"> </w:t>
      </w:r>
      <w:r w:rsidRPr="00A47B94">
        <w:rPr>
          <w:sz w:val="22"/>
        </w:rPr>
        <w:t xml:space="preserve">6: 118-120. </w:t>
      </w:r>
    </w:p>
    <w:p w:rsidR="00082CCD" w:rsidRPr="00A47B94" w:rsidRDefault="00082CCD" w:rsidP="00082CCD">
      <w:pPr>
        <w:ind w:left="0" w:firstLine="0"/>
        <w:rPr>
          <w:sz w:val="22"/>
        </w:rPr>
      </w:pPr>
    </w:p>
    <w:p w:rsidR="00082CCD" w:rsidRDefault="00082CCD" w:rsidP="00082CCD">
      <w:pPr>
        <w:ind w:left="0" w:firstLine="0"/>
        <w:rPr>
          <w:sz w:val="22"/>
        </w:rPr>
      </w:pPr>
      <w:r w:rsidRPr="00A47B94">
        <w:rPr>
          <w:sz w:val="22"/>
        </w:rPr>
        <w:t>5</w:t>
      </w:r>
      <w:r>
        <w:rPr>
          <w:sz w:val="22"/>
        </w:rPr>
        <w:t>.</w:t>
      </w:r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Boggino</w:t>
      </w:r>
      <w:proofErr w:type="spellEnd"/>
      <w:r w:rsidRPr="00A47B94">
        <w:rPr>
          <w:sz w:val="22"/>
        </w:rPr>
        <w:t xml:space="preserve"> J, </w:t>
      </w:r>
      <w:proofErr w:type="spellStart"/>
      <w:r w:rsidRPr="00A47B94">
        <w:rPr>
          <w:sz w:val="22"/>
        </w:rPr>
        <w:t>Maas</w:t>
      </w:r>
      <w:proofErr w:type="spellEnd"/>
      <w:r w:rsidRPr="00A47B94">
        <w:rPr>
          <w:sz w:val="22"/>
        </w:rPr>
        <w:t xml:space="preserve"> C</w:t>
      </w:r>
      <w:r>
        <w:rPr>
          <w:sz w:val="22"/>
        </w:rPr>
        <w:t xml:space="preserve"> (1945)</w:t>
      </w:r>
      <w:r w:rsidRPr="00A47B94">
        <w:rPr>
          <w:sz w:val="22"/>
        </w:rPr>
        <w:t xml:space="preserve">. Primer caso autóctono de leishmaniosis visceral. </w:t>
      </w:r>
      <w:proofErr w:type="spellStart"/>
      <w:r w:rsidRPr="00A47B94">
        <w:rPr>
          <w:sz w:val="22"/>
        </w:rPr>
        <w:t>An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Fac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Clin</w:t>
      </w:r>
      <w:proofErr w:type="spellEnd"/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Med</w:t>
      </w:r>
      <w:proofErr w:type="spellEnd"/>
      <w:r w:rsidRPr="00A47B94">
        <w:rPr>
          <w:sz w:val="22"/>
        </w:rPr>
        <w:t xml:space="preserve"> (Asunción)</w:t>
      </w:r>
      <w:r>
        <w:rPr>
          <w:sz w:val="22"/>
        </w:rPr>
        <w:t xml:space="preserve"> </w:t>
      </w:r>
      <w:r w:rsidRPr="00A47B94">
        <w:rPr>
          <w:sz w:val="22"/>
        </w:rPr>
        <w:t>5: 319-326.</w:t>
      </w:r>
    </w:p>
    <w:p w:rsidR="00082CCD" w:rsidRPr="00A47B94" w:rsidRDefault="00082CCD" w:rsidP="00082CCD">
      <w:pPr>
        <w:ind w:left="0" w:firstLine="0"/>
        <w:rPr>
          <w:sz w:val="22"/>
        </w:rPr>
      </w:pPr>
    </w:p>
    <w:p w:rsidR="00082CCD" w:rsidRPr="00A47B94" w:rsidRDefault="00082CCD" w:rsidP="00082CCD">
      <w:pPr>
        <w:ind w:left="0" w:firstLine="0"/>
        <w:rPr>
          <w:sz w:val="22"/>
        </w:rPr>
      </w:pPr>
      <w:r w:rsidRPr="00A47B94">
        <w:rPr>
          <w:sz w:val="22"/>
        </w:rPr>
        <w:t>6</w:t>
      </w:r>
      <w:r>
        <w:rPr>
          <w:sz w:val="22"/>
        </w:rPr>
        <w:t>.</w:t>
      </w:r>
      <w:r w:rsidRPr="00A47B94">
        <w:rPr>
          <w:sz w:val="22"/>
        </w:rPr>
        <w:t xml:space="preserve"> </w:t>
      </w:r>
      <w:proofErr w:type="spellStart"/>
      <w:r w:rsidRPr="00A47B94">
        <w:rPr>
          <w:sz w:val="22"/>
        </w:rPr>
        <w:t>Canese</w:t>
      </w:r>
      <w:proofErr w:type="spellEnd"/>
      <w:r w:rsidRPr="00A47B94">
        <w:rPr>
          <w:sz w:val="22"/>
        </w:rPr>
        <w:t xml:space="preserve"> A</w:t>
      </w:r>
      <w:r>
        <w:rPr>
          <w:sz w:val="22"/>
        </w:rPr>
        <w:t xml:space="preserve"> (2000)</w:t>
      </w:r>
      <w:r w:rsidRPr="00A47B94">
        <w:rPr>
          <w:sz w:val="22"/>
        </w:rPr>
        <w:t xml:space="preserve">. Leishmaniosis visceral canina en el área metropolitana de la "Gran Asunción", </w:t>
      </w:r>
      <w:smartTag w:uri="urn:schemas-microsoft-com:office:smarttags" w:element="country-region">
        <w:smartTag w:uri="urn:schemas-microsoft-com:office:smarttags" w:element="place">
          <w:r w:rsidRPr="00A47B94">
            <w:rPr>
              <w:sz w:val="22"/>
            </w:rPr>
            <w:t>Paraguay</w:t>
          </w:r>
        </w:smartTag>
      </w:smartTag>
      <w:r w:rsidRPr="00A47B94">
        <w:rPr>
          <w:sz w:val="22"/>
        </w:rPr>
        <w:t>. Medicina (Buenos Aires)</w:t>
      </w:r>
      <w:r>
        <w:rPr>
          <w:sz w:val="22"/>
        </w:rPr>
        <w:t xml:space="preserve"> </w:t>
      </w:r>
      <w:r w:rsidRPr="00A47B94">
        <w:rPr>
          <w:sz w:val="22"/>
        </w:rPr>
        <w:t>60 (</w:t>
      </w:r>
      <w:proofErr w:type="spellStart"/>
      <w:r w:rsidRPr="00A47B94">
        <w:rPr>
          <w:sz w:val="22"/>
        </w:rPr>
        <w:t>Supl</w:t>
      </w:r>
      <w:proofErr w:type="spellEnd"/>
      <w:r w:rsidRPr="00A47B94">
        <w:rPr>
          <w:sz w:val="22"/>
        </w:rPr>
        <w:t xml:space="preserve">. 3): 65. </w:t>
      </w:r>
    </w:p>
    <w:p w:rsidR="00082CCD" w:rsidRPr="00A47B94" w:rsidRDefault="00082CCD" w:rsidP="00082CCD">
      <w:pPr>
        <w:rPr>
          <w:sz w:val="22"/>
        </w:rPr>
      </w:pPr>
    </w:p>
    <w:p w:rsidR="00082CCD" w:rsidRDefault="00082CCD" w:rsidP="00082CCD">
      <w:pPr>
        <w:rPr>
          <w:sz w:val="22"/>
        </w:rPr>
      </w:pPr>
    </w:p>
    <w:p w:rsidR="00082CCD" w:rsidRPr="00A47B94" w:rsidRDefault="00082CCD" w:rsidP="00082CCD">
      <w:pPr>
        <w:rPr>
          <w:sz w:val="22"/>
        </w:rPr>
      </w:pPr>
    </w:p>
    <w:p w:rsidR="002F7C1A" w:rsidRDefault="002F7C1A" w:rsidP="00082CCD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204A"/>
    <w:multiLevelType w:val="hybridMultilevel"/>
    <w:tmpl w:val="96CC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2CCD"/>
    <w:rsid w:val="000028F1"/>
    <w:rsid w:val="00010242"/>
    <w:rsid w:val="00046B72"/>
    <w:rsid w:val="00052A25"/>
    <w:rsid w:val="0005677D"/>
    <w:rsid w:val="000578BC"/>
    <w:rsid w:val="00082CCD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95CCD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C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082CCD"/>
    <w:pPr>
      <w:spacing w:after="120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82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C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420475319926874"/>
          <c:y val="6.4220183486238536E-2"/>
          <c:w val="0.87751371115173649"/>
          <c:h val="0.701834862385321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24</c:v>
                </c:pt>
                <c:pt idx="5">
                  <c:v>21</c:v>
                </c:pt>
                <c:pt idx="6">
                  <c:v>66</c:v>
                </c:pt>
                <c:pt idx="7">
                  <c:v>70</c:v>
                </c:pt>
                <c:pt idx="8">
                  <c:v>61</c:v>
                </c:pt>
                <c:pt idx="9">
                  <c:v>82</c:v>
                </c:pt>
                <c:pt idx="10">
                  <c:v>145</c:v>
                </c:pt>
              </c:numCache>
            </c:numRef>
          </c:val>
        </c:ser>
        <c:gapDepth val="0"/>
        <c:shape val="box"/>
        <c:axId val="372769536"/>
        <c:axId val="372771072"/>
        <c:axId val="0"/>
      </c:bar3DChart>
      <c:catAx>
        <c:axId val="37276953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71072"/>
        <c:crosses val="autoZero"/>
        <c:auto val="1"/>
        <c:lblAlgn val="ctr"/>
        <c:lblOffset val="100"/>
        <c:tickLblSkip val="1"/>
        <c:tickMarkSkip val="1"/>
      </c:catAx>
      <c:valAx>
        <c:axId val="372771072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69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8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8275862068965475E-2"/>
          <c:w val="0.90401146131805155"/>
          <c:h val="0.7758620689655172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7"/>
                <c:pt idx="0">
                  <c:v>733</c:v>
                </c:pt>
                <c:pt idx="1">
                  <c:v>155</c:v>
                </c:pt>
                <c:pt idx="2">
                  <c:v>175</c:v>
                </c:pt>
                <c:pt idx="3">
                  <c:v>102</c:v>
                </c:pt>
                <c:pt idx="4">
                  <c:v>154</c:v>
                </c:pt>
                <c:pt idx="5">
                  <c:v>338</c:v>
                </c:pt>
                <c:pt idx="6">
                  <c:v>651</c:v>
                </c:pt>
                <c:pt idx="7">
                  <c:v>450</c:v>
                </c:pt>
                <c:pt idx="8">
                  <c:v>1251</c:v>
                </c:pt>
                <c:pt idx="9">
                  <c:v>1148</c:v>
                </c:pt>
                <c:pt idx="10">
                  <c:v>731</c:v>
                </c:pt>
                <c:pt idx="11">
                  <c:v>591</c:v>
                </c:pt>
                <c:pt idx="12">
                  <c:v>262</c:v>
                </c:pt>
                <c:pt idx="13">
                  <c:v>365</c:v>
                </c:pt>
                <c:pt idx="14">
                  <c:v>457</c:v>
                </c:pt>
                <c:pt idx="15">
                  <c:v>535</c:v>
                </c:pt>
                <c:pt idx="16">
                  <c:v>76</c:v>
                </c:pt>
              </c:numCache>
            </c:numRef>
          </c:val>
        </c:ser>
        <c:gapDepth val="0"/>
        <c:shape val="box"/>
        <c:axId val="392450048"/>
        <c:axId val="392452736"/>
        <c:axId val="0"/>
      </c:bar3DChart>
      <c:catAx>
        <c:axId val="39245004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452736"/>
        <c:crosses val="autoZero"/>
        <c:auto val="1"/>
        <c:lblAlgn val="ctr"/>
        <c:lblOffset val="100"/>
        <c:tickLblSkip val="1"/>
        <c:tickMarkSkip val="1"/>
      </c:catAx>
      <c:valAx>
        <c:axId val="392452736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92450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2012-04-02T12:51:00Z</dcterms:created>
  <dcterms:modified xsi:type="dcterms:W3CDTF">2012-04-02T12:52:00Z</dcterms:modified>
</cp:coreProperties>
</file>