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061" w:rsidRDefault="00375061" w:rsidP="00375061">
      <w:pPr>
        <w:ind w:left="0" w:firstLine="0"/>
        <w:rPr>
          <w:b/>
          <w:sz w:val="22"/>
          <w:u w:val="single"/>
        </w:rPr>
      </w:pPr>
      <w:r>
        <w:rPr>
          <w:b/>
          <w:sz w:val="22"/>
          <w:u w:val="single"/>
        </w:rPr>
        <w:t>OMAN</w:t>
      </w:r>
    </w:p>
    <w:p w:rsidR="00375061" w:rsidRPr="002C75B8" w:rsidRDefault="00375061" w:rsidP="00375061">
      <w:pPr>
        <w:ind w:left="0" w:firstLine="0"/>
        <w:rPr>
          <w:b/>
          <w:sz w:val="22"/>
          <w:u w:val="single"/>
        </w:rPr>
      </w:pPr>
    </w:p>
    <w:p w:rsidR="00375061" w:rsidRPr="002C75B8" w:rsidRDefault="00375061" w:rsidP="00375061">
      <w:pPr>
        <w:ind w:left="0" w:firstLine="0"/>
        <w:rPr>
          <w:sz w:val="22"/>
          <w:lang w:val="en-US"/>
        </w:rPr>
      </w:pPr>
      <w:r>
        <w:rPr>
          <w:noProof/>
          <w:sz w:val="22"/>
          <w:lang w:val="en-US"/>
        </w:rPr>
        <w:drawing>
          <wp:inline distT="0" distB="0" distL="0" distR="0">
            <wp:extent cx="2496820" cy="1788795"/>
            <wp:effectExtent l="19050" t="0" r="0" b="0"/>
            <wp:docPr id="1" name="Imagen 8" descr="OMWOR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 descr="OMWORL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820" cy="178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061" w:rsidRPr="002C75B8" w:rsidRDefault="00375061" w:rsidP="00375061">
      <w:pPr>
        <w:ind w:left="0" w:firstLine="0"/>
        <w:rPr>
          <w:b/>
          <w:sz w:val="22"/>
          <w:lang w:val="en-US"/>
        </w:rPr>
      </w:pPr>
    </w:p>
    <w:p w:rsidR="00375061" w:rsidRDefault="00375061" w:rsidP="00375061">
      <w:pPr>
        <w:ind w:left="0" w:firstLine="0"/>
        <w:rPr>
          <w:b/>
          <w:sz w:val="22"/>
          <w:lang w:val="en-US"/>
        </w:rPr>
      </w:pPr>
      <w:r w:rsidRPr="002C75B8">
        <w:rPr>
          <w:b/>
          <w:sz w:val="22"/>
          <w:lang w:val="en-US"/>
        </w:rPr>
        <w:t>BASIC COUNTRY DATA</w:t>
      </w:r>
    </w:p>
    <w:p w:rsidR="00375061" w:rsidRPr="002C75B8" w:rsidRDefault="00375061" w:rsidP="00375061">
      <w:pPr>
        <w:ind w:left="0" w:firstLine="0"/>
        <w:rPr>
          <w:b/>
          <w:sz w:val="22"/>
          <w:lang w:val="en-US"/>
        </w:rPr>
      </w:pPr>
    </w:p>
    <w:p w:rsidR="00375061" w:rsidRPr="002C75B8" w:rsidRDefault="00375061" w:rsidP="00375061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>Total Population: 2</w:t>
      </w:r>
      <w:r>
        <w:rPr>
          <w:sz w:val="22"/>
          <w:lang w:val="en-US"/>
        </w:rPr>
        <w:t>,782,435</w:t>
      </w:r>
      <w:r w:rsidRPr="002C75B8">
        <w:rPr>
          <w:sz w:val="22"/>
          <w:lang w:val="en-US"/>
        </w:rPr>
        <w:t xml:space="preserve"> </w:t>
      </w:r>
    </w:p>
    <w:p w:rsidR="00375061" w:rsidRPr="002C75B8" w:rsidRDefault="00375061" w:rsidP="00375061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 xml:space="preserve">Population 0-14 years: </w:t>
      </w:r>
      <w:r>
        <w:rPr>
          <w:sz w:val="22"/>
          <w:lang w:val="en-US"/>
        </w:rPr>
        <w:t>27</w:t>
      </w:r>
      <w:r w:rsidRPr="002C75B8">
        <w:rPr>
          <w:sz w:val="22"/>
          <w:lang w:val="en-US"/>
        </w:rPr>
        <w:t xml:space="preserve">% </w:t>
      </w:r>
    </w:p>
    <w:p w:rsidR="00375061" w:rsidRPr="002C75B8" w:rsidRDefault="00375061" w:rsidP="00375061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>Rural population: 2</w:t>
      </w:r>
      <w:r>
        <w:rPr>
          <w:sz w:val="22"/>
          <w:lang w:val="en-US"/>
        </w:rPr>
        <w:t>8</w:t>
      </w:r>
      <w:r w:rsidRPr="002C75B8">
        <w:rPr>
          <w:sz w:val="22"/>
          <w:lang w:val="en-US"/>
        </w:rPr>
        <w:t xml:space="preserve">% </w:t>
      </w:r>
    </w:p>
    <w:p w:rsidR="00375061" w:rsidRPr="002C75B8" w:rsidRDefault="00375061" w:rsidP="00375061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>Population living under USD 1</w:t>
      </w:r>
      <w:r>
        <w:rPr>
          <w:sz w:val="22"/>
          <w:lang w:val="en-US"/>
        </w:rPr>
        <w:t>.</w:t>
      </w:r>
      <w:r w:rsidRPr="002C75B8">
        <w:rPr>
          <w:sz w:val="22"/>
          <w:lang w:val="en-US"/>
        </w:rPr>
        <w:t xml:space="preserve">25 a day: </w:t>
      </w:r>
      <w:r>
        <w:rPr>
          <w:sz w:val="22"/>
          <w:lang w:val="en-US"/>
        </w:rPr>
        <w:t>no data</w:t>
      </w:r>
    </w:p>
    <w:p w:rsidR="00375061" w:rsidRPr="002C75B8" w:rsidRDefault="00375061" w:rsidP="00375061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>Population living under the national poverty line: no data</w:t>
      </w:r>
    </w:p>
    <w:p w:rsidR="00375061" w:rsidRPr="002C75B8" w:rsidRDefault="00375061" w:rsidP="00375061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 xml:space="preserve">Income status: High income economy </w:t>
      </w:r>
    </w:p>
    <w:p w:rsidR="00375061" w:rsidRPr="002C75B8" w:rsidRDefault="00375061" w:rsidP="00375061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 xml:space="preserve">Ranking: High human development (ranking </w:t>
      </w:r>
      <w:r>
        <w:rPr>
          <w:sz w:val="22"/>
          <w:lang w:val="en-US"/>
        </w:rPr>
        <w:t>89</w:t>
      </w:r>
      <w:r w:rsidRPr="002C75B8">
        <w:rPr>
          <w:sz w:val="22"/>
          <w:lang w:val="en-US"/>
        </w:rPr>
        <w:t>)</w:t>
      </w:r>
    </w:p>
    <w:p w:rsidR="00375061" w:rsidRPr="002C75B8" w:rsidRDefault="00375061" w:rsidP="00375061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 xml:space="preserve">Per capita total expenditure on health at average exchange rate (US dollar): </w:t>
      </w:r>
      <w:r>
        <w:rPr>
          <w:sz w:val="22"/>
          <w:lang w:val="en-US"/>
        </w:rPr>
        <w:t>497</w:t>
      </w:r>
    </w:p>
    <w:p w:rsidR="00375061" w:rsidRPr="002C75B8" w:rsidRDefault="00375061" w:rsidP="00375061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>Life expectancy at birth (years): 7</w:t>
      </w:r>
      <w:r>
        <w:rPr>
          <w:sz w:val="22"/>
          <w:lang w:val="en-US"/>
        </w:rPr>
        <w:t>3</w:t>
      </w:r>
      <w:r w:rsidRPr="002C75B8">
        <w:rPr>
          <w:sz w:val="22"/>
          <w:lang w:val="en-US"/>
        </w:rPr>
        <w:t xml:space="preserve"> </w:t>
      </w:r>
    </w:p>
    <w:p w:rsidR="00375061" w:rsidRPr="002C75B8" w:rsidRDefault="00375061" w:rsidP="00375061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>Health</w:t>
      </w:r>
      <w:r>
        <w:rPr>
          <w:sz w:val="22"/>
          <w:lang w:val="en-US"/>
        </w:rPr>
        <w:t>y</w:t>
      </w:r>
      <w:r w:rsidRPr="002C75B8">
        <w:rPr>
          <w:sz w:val="22"/>
          <w:lang w:val="en-US"/>
        </w:rPr>
        <w:t xml:space="preserve"> life expectancy at birth (years): 64 </w:t>
      </w:r>
    </w:p>
    <w:p w:rsidR="00375061" w:rsidRPr="002C75B8" w:rsidRDefault="00375061" w:rsidP="00375061">
      <w:pPr>
        <w:ind w:left="0" w:firstLine="0"/>
        <w:rPr>
          <w:b/>
          <w:sz w:val="22"/>
          <w:lang w:val="en-US"/>
        </w:rPr>
      </w:pPr>
    </w:p>
    <w:p w:rsidR="00375061" w:rsidRPr="002C75B8" w:rsidRDefault="00375061" w:rsidP="00375061">
      <w:pPr>
        <w:ind w:left="0" w:firstLine="0"/>
        <w:rPr>
          <w:b/>
          <w:sz w:val="22"/>
          <w:lang w:val="en-US"/>
        </w:rPr>
      </w:pPr>
    </w:p>
    <w:p w:rsidR="00375061" w:rsidRDefault="00375061" w:rsidP="00375061">
      <w:pPr>
        <w:ind w:left="0" w:firstLine="0"/>
        <w:rPr>
          <w:b/>
          <w:sz w:val="22"/>
          <w:lang w:val="en-US"/>
        </w:rPr>
      </w:pPr>
      <w:r w:rsidRPr="002C75B8">
        <w:rPr>
          <w:b/>
          <w:sz w:val="22"/>
          <w:lang w:val="en-US"/>
        </w:rPr>
        <w:t>BACKGROUND INFORMATION</w:t>
      </w:r>
    </w:p>
    <w:p w:rsidR="00375061" w:rsidRPr="002C75B8" w:rsidRDefault="00375061" w:rsidP="00375061">
      <w:pPr>
        <w:ind w:left="0" w:firstLine="0"/>
        <w:rPr>
          <w:b/>
          <w:sz w:val="22"/>
          <w:lang w:val="en-US"/>
        </w:rPr>
      </w:pPr>
    </w:p>
    <w:p w:rsidR="00375061" w:rsidRDefault="00375061" w:rsidP="00375061">
      <w:pPr>
        <w:ind w:left="0" w:firstLine="0"/>
        <w:rPr>
          <w:color w:val="000000"/>
          <w:sz w:val="22"/>
          <w:lang w:val="en-US"/>
        </w:rPr>
      </w:pPr>
      <w:r w:rsidRPr="002C75B8">
        <w:rPr>
          <w:color w:val="000000"/>
          <w:sz w:val="22"/>
          <w:lang w:val="en-US"/>
        </w:rPr>
        <w:t>VL has been reported since the 1970s</w:t>
      </w:r>
      <w:r>
        <w:rPr>
          <w:color w:val="000000"/>
          <w:sz w:val="22"/>
          <w:lang w:val="en-US"/>
        </w:rPr>
        <w:t>,</w:t>
      </w:r>
      <w:r w:rsidRPr="002C75B8">
        <w:rPr>
          <w:color w:val="000000"/>
          <w:sz w:val="22"/>
          <w:lang w:val="en-US"/>
        </w:rPr>
        <w:t xml:space="preserve"> mainly in children living in the foothills of the </w:t>
      </w:r>
      <w:r>
        <w:rPr>
          <w:color w:val="000000"/>
          <w:sz w:val="22"/>
          <w:lang w:val="en-US"/>
        </w:rPr>
        <w:t>n</w:t>
      </w:r>
      <w:r w:rsidRPr="002C75B8">
        <w:rPr>
          <w:color w:val="000000"/>
          <w:sz w:val="22"/>
          <w:lang w:val="en-US"/>
        </w:rPr>
        <w:t xml:space="preserve">orthern mountains and in southern </w:t>
      </w:r>
      <w:proofErr w:type="spellStart"/>
      <w:r w:rsidRPr="002C75B8">
        <w:rPr>
          <w:color w:val="000000"/>
          <w:sz w:val="22"/>
          <w:lang w:val="en-US"/>
        </w:rPr>
        <w:t>Dhofar</w:t>
      </w:r>
      <w:proofErr w:type="spellEnd"/>
      <w:r w:rsidRPr="002C75B8">
        <w:rPr>
          <w:color w:val="000000"/>
          <w:sz w:val="22"/>
          <w:lang w:val="en-US"/>
        </w:rPr>
        <w:t xml:space="preserve"> province. In the early 1990s</w:t>
      </w:r>
      <w:r>
        <w:rPr>
          <w:color w:val="000000"/>
          <w:sz w:val="22"/>
          <w:lang w:val="en-US"/>
        </w:rPr>
        <w:t>,</w:t>
      </w:r>
      <w:r w:rsidRPr="002C75B8">
        <w:rPr>
          <w:color w:val="000000"/>
          <w:sz w:val="22"/>
          <w:lang w:val="en-US"/>
        </w:rPr>
        <w:t xml:space="preserve"> the annual incidence was low, but in 1992</w:t>
      </w:r>
      <w:r>
        <w:rPr>
          <w:color w:val="000000"/>
          <w:sz w:val="22"/>
          <w:lang w:val="en-US"/>
        </w:rPr>
        <w:t>,</w:t>
      </w:r>
      <w:r w:rsidRPr="002C75B8">
        <w:rPr>
          <w:color w:val="000000"/>
          <w:sz w:val="22"/>
          <w:lang w:val="en-US"/>
        </w:rPr>
        <w:t xml:space="preserve"> there was a sudden rise in cases. </w:t>
      </w:r>
      <w:r>
        <w:rPr>
          <w:color w:val="000000"/>
          <w:sz w:val="22"/>
          <w:lang w:val="en-US"/>
        </w:rPr>
        <w:t>Between 1993 and 1999, 33 children were treate</w:t>
      </w:r>
      <w:r w:rsidRPr="009840D0">
        <w:rPr>
          <w:color w:val="000000"/>
          <w:sz w:val="22"/>
          <w:lang w:val="en-US"/>
        </w:rPr>
        <w:t xml:space="preserve">d </w:t>
      </w:r>
      <w:r w:rsidRPr="009840D0">
        <w:rPr>
          <w:sz w:val="22"/>
          <w:lang w:val="en-GB"/>
        </w:rPr>
        <w:t xml:space="preserve">in the </w:t>
      </w:r>
      <w:smartTag w:uri="urn:schemas-microsoft-com:office:smarttags" w:element="place">
        <w:smartTag w:uri="urn:schemas-microsoft-com:office:smarttags" w:element="PlaceName">
          <w:r w:rsidRPr="009840D0">
            <w:rPr>
              <w:sz w:val="22"/>
              <w:lang w:val="en-GB"/>
            </w:rPr>
            <w:t>Sultan</w:t>
          </w:r>
        </w:smartTag>
        <w:r w:rsidRPr="009840D0">
          <w:rPr>
            <w:sz w:val="22"/>
            <w:lang w:val="en-GB"/>
          </w:rPr>
          <w:t xml:space="preserve"> </w:t>
        </w:r>
        <w:proofErr w:type="spellStart"/>
        <w:smartTag w:uri="urn:schemas-microsoft-com:office:smarttags" w:element="PlaceName">
          <w:r w:rsidRPr="009840D0">
            <w:rPr>
              <w:sz w:val="22"/>
              <w:lang w:val="en-GB"/>
            </w:rPr>
            <w:t>Qaboos</w:t>
          </w:r>
        </w:smartTag>
        <w:proofErr w:type="spellEnd"/>
        <w:r w:rsidRPr="009840D0">
          <w:rPr>
            <w:sz w:val="22"/>
            <w:lang w:val="en-GB"/>
          </w:rPr>
          <w:t xml:space="preserve"> </w:t>
        </w:r>
        <w:smartTag w:uri="urn:schemas-microsoft-com:office:smarttags" w:element="PlaceType">
          <w:r w:rsidRPr="009840D0">
            <w:rPr>
              <w:sz w:val="22"/>
              <w:lang w:val="en-GB"/>
            </w:rPr>
            <w:t>University</w:t>
          </w:r>
        </w:smartTag>
        <w:r w:rsidRPr="009840D0">
          <w:rPr>
            <w:sz w:val="22"/>
            <w:lang w:val="en-GB"/>
          </w:rPr>
          <w:t xml:space="preserve"> </w:t>
        </w:r>
        <w:smartTag w:uri="urn:schemas-microsoft-com:office:smarttags" w:element="PlaceType">
          <w:r w:rsidRPr="009840D0">
            <w:rPr>
              <w:sz w:val="22"/>
              <w:lang w:val="en-GB"/>
            </w:rPr>
            <w:t>Hospital</w:t>
          </w:r>
        </w:smartTag>
      </w:smartTag>
      <w:r>
        <w:rPr>
          <w:sz w:val="22"/>
          <w:lang w:val="en-GB"/>
        </w:rPr>
        <w:t xml:space="preserve"> [1]</w:t>
      </w:r>
      <w:r w:rsidRPr="009840D0">
        <w:rPr>
          <w:sz w:val="22"/>
          <w:lang w:val="en-GB"/>
        </w:rPr>
        <w:t>.</w:t>
      </w:r>
      <w:r>
        <w:rPr>
          <w:sz w:val="18"/>
          <w:szCs w:val="18"/>
          <w:lang w:val="en-GB"/>
        </w:rPr>
        <w:t xml:space="preserve"> </w:t>
      </w:r>
      <w:r w:rsidRPr="002C75B8">
        <w:rPr>
          <w:color w:val="000000"/>
          <w:sz w:val="22"/>
          <w:lang w:val="en-US"/>
        </w:rPr>
        <w:t>Epidemiological &amp; entomological studies around the patients’ houses indicated that children at the periphery of villages, close to rocky terrain</w:t>
      </w:r>
      <w:r>
        <w:rPr>
          <w:color w:val="000000"/>
          <w:sz w:val="22"/>
          <w:lang w:val="en-US"/>
        </w:rPr>
        <w:t>,</w:t>
      </w:r>
      <w:r w:rsidRPr="002C75B8">
        <w:rPr>
          <w:color w:val="000000"/>
          <w:sz w:val="22"/>
          <w:lang w:val="en-US"/>
        </w:rPr>
        <w:t xml:space="preserve"> are most at risk. Spraying operations were conducted in the affected areas of </w:t>
      </w:r>
      <w:proofErr w:type="spellStart"/>
      <w:r w:rsidRPr="002C75B8">
        <w:rPr>
          <w:color w:val="000000"/>
          <w:sz w:val="22"/>
          <w:lang w:val="en-US"/>
        </w:rPr>
        <w:t>Shahan</w:t>
      </w:r>
      <w:proofErr w:type="spellEnd"/>
      <w:r w:rsidRPr="002C75B8">
        <w:rPr>
          <w:color w:val="000000"/>
          <w:sz w:val="22"/>
          <w:lang w:val="en-US"/>
        </w:rPr>
        <w:t xml:space="preserve"> </w:t>
      </w:r>
      <w:r>
        <w:rPr>
          <w:color w:val="000000"/>
          <w:sz w:val="22"/>
          <w:lang w:val="en-US"/>
        </w:rPr>
        <w:t xml:space="preserve">in order </w:t>
      </w:r>
      <w:r w:rsidRPr="002C75B8">
        <w:rPr>
          <w:color w:val="000000"/>
          <w:sz w:val="22"/>
          <w:lang w:val="en-US"/>
        </w:rPr>
        <w:t>to interrupt the transmission. The number of cases has reduced since then. In recent years</w:t>
      </w:r>
      <w:r>
        <w:rPr>
          <w:color w:val="000000"/>
          <w:sz w:val="22"/>
          <w:lang w:val="en-US"/>
        </w:rPr>
        <w:t>,</w:t>
      </w:r>
      <w:r w:rsidRPr="002C75B8">
        <w:rPr>
          <w:color w:val="000000"/>
          <w:sz w:val="22"/>
          <w:lang w:val="en-US"/>
        </w:rPr>
        <w:t xml:space="preserve"> only sporadic cases (less than 10 per year) were recorded</w:t>
      </w:r>
      <w:r>
        <w:rPr>
          <w:color w:val="000000"/>
          <w:sz w:val="22"/>
          <w:lang w:val="en-US"/>
        </w:rPr>
        <w:t>,</w:t>
      </w:r>
      <w:r w:rsidRPr="002C75B8">
        <w:rPr>
          <w:color w:val="000000"/>
          <w:sz w:val="22"/>
          <w:lang w:val="en-US"/>
        </w:rPr>
        <w:t xml:space="preserve"> several of which from border areas with </w:t>
      </w:r>
      <w:smartTag w:uri="urn:schemas-microsoft-com:office:smarttags" w:element="country-region">
        <w:smartTag w:uri="urn:schemas-microsoft-com:office:smarttags" w:element="place">
          <w:r w:rsidRPr="002C75B8">
            <w:rPr>
              <w:color w:val="000000"/>
              <w:sz w:val="22"/>
              <w:lang w:val="en-US"/>
            </w:rPr>
            <w:t>Yemen</w:t>
          </w:r>
        </w:smartTag>
      </w:smartTag>
      <w:r w:rsidRPr="002C75B8">
        <w:rPr>
          <w:color w:val="000000"/>
          <w:sz w:val="22"/>
          <w:lang w:val="en-US"/>
        </w:rPr>
        <w:t xml:space="preserve">. In 2008, no VL cases were reported. </w:t>
      </w:r>
    </w:p>
    <w:p w:rsidR="00375061" w:rsidRPr="002C75B8" w:rsidRDefault="00375061" w:rsidP="00375061">
      <w:pPr>
        <w:ind w:left="0" w:firstLine="0"/>
        <w:rPr>
          <w:color w:val="000000"/>
          <w:sz w:val="22"/>
          <w:lang w:val="en-US"/>
        </w:rPr>
      </w:pPr>
    </w:p>
    <w:p w:rsidR="00375061" w:rsidRDefault="00375061" w:rsidP="00375061">
      <w:pPr>
        <w:ind w:left="0" w:firstLine="0"/>
        <w:rPr>
          <w:color w:val="000000"/>
          <w:sz w:val="22"/>
          <w:lang w:val="en-US"/>
        </w:rPr>
      </w:pPr>
      <w:r w:rsidRPr="002C75B8">
        <w:rPr>
          <w:color w:val="000000"/>
          <w:sz w:val="22"/>
          <w:lang w:val="en-US"/>
        </w:rPr>
        <w:t xml:space="preserve">CL was not reported </w:t>
      </w:r>
      <w:r>
        <w:rPr>
          <w:color w:val="000000"/>
          <w:sz w:val="22"/>
          <w:lang w:val="en-US"/>
        </w:rPr>
        <w:t>until</w:t>
      </w:r>
      <w:r w:rsidRPr="002C75B8">
        <w:rPr>
          <w:color w:val="000000"/>
          <w:sz w:val="22"/>
          <w:lang w:val="en-US"/>
        </w:rPr>
        <w:t xml:space="preserve"> 1986; however</w:t>
      </w:r>
      <w:r>
        <w:rPr>
          <w:color w:val="000000"/>
          <w:sz w:val="22"/>
          <w:lang w:val="en-US"/>
        </w:rPr>
        <w:t>,</w:t>
      </w:r>
      <w:r w:rsidRPr="002C75B8">
        <w:rPr>
          <w:color w:val="000000"/>
          <w:sz w:val="22"/>
          <w:lang w:val="en-US"/>
        </w:rPr>
        <w:t xml:space="preserve"> </w:t>
      </w:r>
      <w:r>
        <w:rPr>
          <w:color w:val="000000"/>
          <w:sz w:val="22"/>
          <w:lang w:val="en-US"/>
        </w:rPr>
        <w:t>that</w:t>
      </w:r>
      <w:r w:rsidRPr="002C75B8">
        <w:rPr>
          <w:color w:val="000000"/>
          <w:sz w:val="22"/>
          <w:lang w:val="en-US"/>
        </w:rPr>
        <w:t xml:space="preserve"> same year</w:t>
      </w:r>
      <w:r>
        <w:rPr>
          <w:color w:val="000000"/>
          <w:sz w:val="22"/>
          <w:lang w:val="en-US"/>
        </w:rPr>
        <w:t>,</w:t>
      </w:r>
      <w:r w:rsidRPr="002C75B8">
        <w:rPr>
          <w:color w:val="000000"/>
          <w:sz w:val="22"/>
          <w:lang w:val="en-US"/>
        </w:rPr>
        <w:t xml:space="preserve"> 50 cases were reported</w:t>
      </w:r>
      <w:r>
        <w:rPr>
          <w:color w:val="000000"/>
          <w:sz w:val="22"/>
          <w:lang w:val="en-US"/>
        </w:rPr>
        <w:t>,</w:t>
      </w:r>
      <w:r w:rsidRPr="002C75B8">
        <w:rPr>
          <w:color w:val="000000"/>
          <w:sz w:val="22"/>
          <w:lang w:val="en-US"/>
        </w:rPr>
        <w:t xml:space="preserve"> </w:t>
      </w:r>
      <w:r>
        <w:rPr>
          <w:color w:val="000000"/>
          <w:sz w:val="22"/>
          <w:lang w:val="en-US"/>
        </w:rPr>
        <w:t xml:space="preserve">43 </w:t>
      </w:r>
      <w:r w:rsidRPr="002C75B8">
        <w:rPr>
          <w:color w:val="000000"/>
          <w:sz w:val="22"/>
          <w:lang w:val="en-US"/>
        </w:rPr>
        <w:t xml:space="preserve">of which were individuals from </w:t>
      </w:r>
      <w:smartTag w:uri="urn:schemas-microsoft-com:office:smarttags" w:element="country-region">
        <w:r w:rsidRPr="002C75B8">
          <w:rPr>
            <w:color w:val="000000"/>
            <w:sz w:val="22"/>
            <w:lang w:val="en-US"/>
          </w:rPr>
          <w:t>Sudan</w:t>
        </w:r>
      </w:smartTag>
      <w:r>
        <w:rPr>
          <w:color w:val="000000"/>
          <w:sz w:val="22"/>
          <w:lang w:val="en-US"/>
        </w:rPr>
        <w:t>,</w:t>
      </w:r>
      <w:r w:rsidRPr="002C75B8">
        <w:rPr>
          <w:color w:val="000000"/>
          <w:sz w:val="22"/>
          <w:lang w:val="en-US"/>
        </w:rPr>
        <w:t xml:space="preserve"> following a major outbreak of CL in </w:t>
      </w:r>
      <w:smartTag w:uri="urn:schemas-microsoft-com:office:smarttags" w:element="City">
        <w:smartTag w:uri="urn:schemas-microsoft-com:office:smarttags" w:element="place">
          <w:r w:rsidRPr="002C75B8">
            <w:rPr>
              <w:color w:val="000000"/>
              <w:sz w:val="22"/>
              <w:lang w:val="en-US"/>
            </w:rPr>
            <w:t>Khartoum</w:t>
          </w:r>
        </w:smartTag>
      </w:smartTag>
      <w:r w:rsidRPr="002C75B8">
        <w:rPr>
          <w:color w:val="000000"/>
          <w:sz w:val="22"/>
          <w:lang w:val="en-US"/>
        </w:rPr>
        <w:t xml:space="preserve">. </w:t>
      </w:r>
      <w:r>
        <w:rPr>
          <w:color w:val="000000"/>
          <w:sz w:val="22"/>
          <w:lang w:val="en-US"/>
        </w:rPr>
        <w:t xml:space="preserve">In 1998, 25 CL cases were reported [2]. </w:t>
      </w:r>
      <w:r w:rsidRPr="005432FB">
        <w:rPr>
          <w:i/>
          <w:iCs/>
          <w:color w:val="000000"/>
          <w:sz w:val="22"/>
          <w:lang w:val="en-US"/>
        </w:rPr>
        <w:t>L. tropica</w:t>
      </w:r>
      <w:r>
        <w:rPr>
          <w:color w:val="000000"/>
          <w:sz w:val="22"/>
          <w:lang w:val="en-US"/>
        </w:rPr>
        <w:t xml:space="preserve"> was characterized as causative agent in one patient. However, this patient had been in </w:t>
      </w:r>
      <w:smartTag w:uri="urn:schemas-microsoft-com:office:smarttags" w:element="country-region">
        <w:smartTag w:uri="urn:schemas-microsoft-com:office:smarttags" w:element="place">
          <w:r>
            <w:rPr>
              <w:color w:val="000000"/>
              <w:sz w:val="22"/>
              <w:lang w:val="en-US"/>
            </w:rPr>
            <w:t>Pakistan</w:t>
          </w:r>
        </w:smartTag>
      </w:smartTag>
      <w:r>
        <w:rPr>
          <w:color w:val="000000"/>
          <w:sz w:val="22"/>
          <w:lang w:val="en-US"/>
        </w:rPr>
        <w:t xml:space="preserve"> 18 months earlier, and could, therefore, not be confirmed as an </w:t>
      </w:r>
      <w:proofErr w:type="spellStart"/>
      <w:r>
        <w:rPr>
          <w:color w:val="000000"/>
          <w:sz w:val="22"/>
          <w:lang w:val="en-US"/>
        </w:rPr>
        <w:t>autochtonous</w:t>
      </w:r>
      <w:proofErr w:type="spellEnd"/>
      <w:r>
        <w:rPr>
          <w:color w:val="000000"/>
          <w:sz w:val="22"/>
          <w:lang w:val="en-US"/>
        </w:rPr>
        <w:t xml:space="preserve"> case [3]. </w:t>
      </w:r>
      <w:r w:rsidRPr="002C75B8">
        <w:rPr>
          <w:color w:val="000000"/>
          <w:sz w:val="22"/>
          <w:lang w:val="en-US"/>
        </w:rPr>
        <w:t>Currently</w:t>
      </w:r>
      <w:r>
        <w:rPr>
          <w:color w:val="000000"/>
          <w:sz w:val="22"/>
          <w:lang w:val="en-US"/>
        </w:rPr>
        <w:t>,</w:t>
      </w:r>
      <w:r w:rsidRPr="002C75B8">
        <w:rPr>
          <w:color w:val="000000"/>
          <w:sz w:val="22"/>
          <w:lang w:val="en-US"/>
        </w:rPr>
        <w:t xml:space="preserve"> CL is reported only sporadically in </w:t>
      </w:r>
      <w:smartTag w:uri="urn:schemas-microsoft-com:office:smarttags" w:element="country-region">
        <w:smartTag w:uri="urn:schemas-microsoft-com:office:smarttags" w:element="place">
          <w:r w:rsidRPr="002C75B8">
            <w:rPr>
              <w:color w:val="000000"/>
              <w:sz w:val="22"/>
              <w:lang w:val="en-US"/>
            </w:rPr>
            <w:t>Oman</w:t>
          </w:r>
        </w:smartTag>
      </w:smartTag>
      <w:r>
        <w:rPr>
          <w:color w:val="000000"/>
          <w:sz w:val="22"/>
          <w:lang w:val="en-US"/>
        </w:rPr>
        <w:t>,</w:t>
      </w:r>
      <w:r w:rsidRPr="002C75B8">
        <w:rPr>
          <w:color w:val="000000"/>
          <w:sz w:val="22"/>
          <w:lang w:val="en-US"/>
        </w:rPr>
        <w:t xml:space="preserve"> from northern and southern </w:t>
      </w:r>
      <w:proofErr w:type="spellStart"/>
      <w:r w:rsidRPr="002C75B8">
        <w:rPr>
          <w:color w:val="000000"/>
          <w:sz w:val="22"/>
          <w:lang w:val="en-US"/>
        </w:rPr>
        <w:t>Dhofar</w:t>
      </w:r>
      <w:proofErr w:type="spellEnd"/>
      <w:r w:rsidRPr="002C75B8">
        <w:rPr>
          <w:color w:val="000000"/>
          <w:sz w:val="22"/>
          <w:lang w:val="en-US"/>
        </w:rPr>
        <w:t xml:space="preserve"> region. The reduction in the number of cases could be explained by malaria activities that led to a decrease in the </w:t>
      </w:r>
      <w:proofErr w:type="spellStart"/>
      <w:r w:rsidRPr="002C75B8">
        <w:rPr>
          <w:color w:val="000000"/>
          <w:sz w:val="22"/>
          <w:lang w:val="en-US"/>
        </w:rPr>
        <w:t>sandfly</w:t>
      </w:r>
      <w:proofErr w:type="spellEnd"/>
      <w:r w:rsidRPr="002C75B8">
        <w:rPr>
          <w:color w:val="000000"/>
          <w:sz w:val="22"/>
          <w:lang w:val="en-US"/>
        </w:rPr>
        <w:t xml:space="preserve"> population, and </w:t>
      </w:r>
      <w:r>
        <w:rPr>
          <w:color w:val="000000"/>
          <w:sz w:val="22"/>
          <w:lang w:val="en-US"/>
        </w:rPr>
        <w:t>by</w:t>
      </w:r>
      <w:r w:rsidRPr="002C75B8">
        <w:rPr>
          <w:color w:val="000000"/>
          <w:sz w:val="22"/>
          <w:lang w:val="en-US"/>
        </w:rPr>
        <w:t xml:space="preserve"> the fact that less people now sleep outside. According to health workers in the endemic regions, CL is not underreported.   </w:t>
      </w:r>
    </w:p>
    <w:p w:rsidR="00375061" w:rsidRDefault="00375061" w:rsidP="00375061">
      <w:pPr>
        <w:ind w:left="0" w:firstLine="0"/>
        <w:rPr>
          <w:color w:val="000000"/>
          <w:sz w:val="22"/>
          <w:lang w:val="en-US"/>
        </w:rPr>
      </w:pPr>
      <w:r w:rsidRPr="002C75B8">
        <w:rPr>
          <w:color w:val="000000"/>
          <w:sz w:val="22"/>
          <w:lang w:val="en-US"/>
        </w:rPr>
        <w:lastRenderedPageBreak/>
        <w:t xml:space="preserve">There is </w:t>
      </w:r>
      <w:r>
        <w:rPr>
          <w:color w:val="000000"/>
          <w:sz w:val="22"/>
          <w:lang w:val="en-US"/>
        </w:rPr>
        <w:t xml:space="preserve">currently </w:t>
      </w:r>
      <w:r w:rsidRPr="002C75B8">
        <w:rPr>
          <w:color w:val="000000"/>
          <w:sz w:val="22"/>
          <w:lang w:val="en-US"/>
        </w:rPr>
        <w:t xml:space="preserve">neither </w:t>
      </w:r>
      <w:r>
        <w:rPr>
          <w:color w:val="000000"/>
          <w:sz w:val="22"/>
          <w:lang w:val="en-US"/>
        </w:rPr>
        <w:t xml:space="preserve">any </w:t>
      </w:r>
      <w:r w:rsidRPr="002C75B8">
        <w:rPr>
          <w:color w:val="000000"/>
          <w:sz w:val="22"/>
          <w:lang w:val="en-US"/>
        </w:rPr>
        <w:t xml:space="preserve">known evidence of active transmission in any part of the country nor has an </w:t>
      </w:r>
      <w:r>
        <w:rPr>
          <w:color w:val="000000"/>
          <w:sz w:val="22"/>
          <w:lang w:val="en-US"/>
        </w:rPr>
        <w:t xml:space="preserve">existing </w:t>
      </w:r>
      <w:r w:rsidRPr="002C75B8">
        <w:rPr>
          <w:color w:val="000000"/>
          <w:sz w:val="22"/>
          <w:lang w:val="en-US"/>
        </w:rPr>
        <w:t xml:space="preserve">animal reservoir been established; therefore, leishmaniasis does not form a public health </w:t>
      </w:r>
      <w:r>
        <w:rPr>
          <w:color w:val="000000"/>
          <w:sz w:val="22"/>
          <w:lang w:val="en-US"/>
        </w:rPr>
        <w:t xml:space="preserve">threat </w:t>
      </w:r>
      <w:r w:rsidRPr="002C75B8">
        <w:rPr>
          <w:color w:val="000000"/>
          <w:sz w:val="22"/>
          <w:lang w:val="en-US"/>
        </w:rPr>
        <w:t>in Oman</w:t>
      </w:r>
      <w:r>
        <w:rPr>
          <w:color w:val="000000"/>
          <w:sz w:val="22"/>
          <w:lang w:val="en-US"/>
        </w:rPr>
        <w:t xml:space="preserve"> at this point</w:t>
      </w:r>
      <w:r w:rsidRPr="002C75B8">
        <w:rPr>
          <w:color w:val="000000"/>
          <w:sz w:val="22"/>
          <w:lang w:val="en-US"/>
        </w:rPr>
        <w:t>.</w:t>
      </w:r>
      <w:r>
        <w:rPr>
          <w:color w:val="000000"/>
          <w:sz w:val="22"/>
          <w:lang w:val="en-US"/>
        </w:rPr>
        <w:t xml:space="preserve"> </w:t>
      </w:r>
    </w:p>
    <w:p w:rsidR="00375061" w:rsidRPr="005432FB" w:rsidRDefault="00375061" w:rsidP="00375061">
      <w:pPr>
        <w:ind w:left="0" w:firstLine="0"/>
        <w:rPr>
          <w:color w:val="000000"/>
          <w:sz w:val="22"/>
          <w:lang w:val="en-US"/>
        </w:rPr>
      </w:pPr>
    </w:p>
    <w:p w:rsidR="00375061" w:rsidRPr="002C75B8" w:rsidRDefault="00375061" w:rsidP="00375061">
      <w:pPr>
        <w:ind w:left="0" w:firstLine="0"/>
        <w:rPr>
          <w:b/>
          <w:color w:val="000000"/>
          <w:sz w:val="22"/>
          <w:lang w:val="en-GB"/>
        </w:rPr>
      </w:pPr>
      <w:r w:rsidRPr="005432FB">
        <w:rPr>
          <w:color w:val="000000"/>
          <w:sz w:val="22"/>
          <w:lang w:val="en-US"/>
        </w:rPr>
        <w:t xml:space="preserve">In 2008 one case of </w:t>
      </w:r>
      <w:r w:rsidRPr="005432FB">
        <w:rPr>
          <w:i/>
          <w:iCs/>
          <w:color w:val="000000"/>
          <w:sz w:val="22"/>
          <w:lang w:val="en-US"/>
        </w:rPr>
        <w:t>L</w:t>
      </w:r>
      <w:r w:rsidRPr="002C75B8">
        <w:rPr>
          <w:i/>
          <w:iCs/>
          <w:color w:val="000000"/>
          <w:sz w:val="22"/>
          <w:lang w:val="en-US"/>
        </w:rPr>
        <w:t>eishmania/</w:t>
      </w:r>
      <w:r w:rsidRPr="002C75B8">
        <w:rPr>
          <w:color w:val="000000"/>
          <w:sz w:val="22"/>
          <w:lang w:val="en-US"/>
        </w:rPr>
        <w:t>HIV co</w:t>
      </w:r>
      <w:r>
        <w:rPr>
          <w:color w:val="000000"/>
          <w:sz w:val="22"/>
          <w:lang w:val="en-US"/>
        </w:rPr>
        <w:t>-</w:t>
      </w:r>
      <w:r w:rsidRPr="002C75B8">
        <w:rPr>
          <w:color w:val="000000"/>
          <w:sz w:val="22"/>
          <w:lang w:val="en-US"/>
        </w:rPr>
        <w:t>infection</w:t>
      </w:r>
      <w:r>
        <w:rPr>
          <w:color w:val="000000"/>
          <w:sz w:val="22"/>
          <w:lang w:val="en-US"/>
        </w:rPr>
        <w:t xml:space="preserve"> due to </w:t>
      </w:r>
      <w:r w:rsidRPr="009840D0">
        <w:rPr>
          <w:i/>
          <w:iCs/>
          <w:color w:val="000000"/>
          <w:sz w:val="22"/>
          <w:lang w:val="en-US"/>
        </w:rPr>
        <w:t>L.</w:t>
      </w:r>
      <w:r>
        <w:rPr>
          <w:i/>
          <w:iCs/>
          <w:color w:val="000000"/>
          <w:sz w:val="22"/>
          <w:lang w:val="en-US"/>
        </w:rPr>
        <w:t xml:space="preserve"> </w:t>
      </w:r>
      <w:r w:rsidRPr="009840D0">
        <w:rPr>
          <w:i/>
          <w:iCs/>
          <w:color w:val="000000"/>
          <w:sz w:val="22"/>
          <w:lang w:val="en-US"/>
        </w:rPr>
        <w:t xml:space="preserve">infantum </w:t>
      </w:r>
      <w:r w:rsidRPr="002C75B8">
        <w:rPr>
          <w:color w:val="000000"/>
          <w:sz w:val="22"/>
          <w:lang w:val="en-US"/>
        </w:rPr>
        <w:t xml:space="preserve">was reported </w:t>
      </w:r>
      <w:r>
        <w:rPr>
          <w:color w:val="000000"/>
          <w:sz w:val="22"/>
          <w:lang w:val="en-US"/>
        </w:rPr>
        <w:t>[4]</w:t>
      </w:r>
      <w:r w:rsidRPr="002C75B8">
        <w:rPr>
          <w:color w:val="000000"/>
          <w:sz w:val="22"/>
          <w:lang w:val="en-GB"/>
        </w:rPr>
        <w:t>.</w:t>
      </w:r>
    </w:p>
    <w:p w:rsidR="00375061" w:rsidRPr="002C75B8" w:rsidRDefault="00375061" w:rsidP="00375061">
      <w:pPr>
        <w:ind w:left="0" w:firstLine="0"/>
        <w:rPr>
          <w:b/>
          <w:sz w:val="22"/>
          <w:lang w:val="en-GB"/>
        </w:rPr>
      </w:pPr>
    </w:p>
    <w:p w:rsidR="00375061" w:rsidRPr="002C75B8" w:rsidRDefault="00375061" w:rsidP="00375061">
      <w:pPr>
        <w:ind w:left="0" w:firstLine="0"/>
        <w:rPr>
          <w:b/>
          <w:sz w:val="22"/>
          <w:lang w:val="en-GB"/>
        </w:rPr>
      </w:pPr>
    </w:p>
    <w:p w:rsidR="00375061" w:rsidRDefault="00375061" w:rsidP="00375061">
      <w:pPr>
        <w:ind w:left="0" w:firstLine="0"/>
        <w:rPr>
          <w:b/>
          <w:sz w:val="22"/>
          <w:lang w:val="en-GB"/>
        </w:rPr>
      </w:pPr>
      <w:r w:rsidRPr="002C75B8">
        <w:rPr>
          <w:b/>
          <w:sz w:val="22"/>
          <w:lang w:val="en-GB"/>
        </w:rPr>
        <w:t>PARASITOLOGICAL INFORMATION</w:t>
      </w:r>
    </w:p>
    <w:p w:rsidR="00375061" w:rsidRPr="002C75B8" w:rsidRDefault="00375061" w:rsidP="00375061">
      <w:pPr>
        <w:ind w:left="0" w:firstLine="0"/>
        <w:rPr>
          <w:b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4"/>
        <w:gridCol w:w="1944"/>
        <w:gridCol w:w="3150"/>
        <w:gridCol w:w="2088"/>
      </w:tblGrid>
      <w:tr w:rsidR="00375061" w:rsidRPr="002C75B8" w:rsidTr="00A7768B">
        <w:tc>
          <w:tcPr>
            <w:tcW w:w="2394" w:type="dxa"/>
            <w:vAlign w:val="center"/>
          </w:tcPr>
          <w:p w:rsidR="00375061" w:rsidRPr="002C75B8" w:rsidRDefault="00375061" w:rsidP="00A7768B">
            <w:pPr>
              <w:ind w:left="0" w:firstLine="0"/>
              <w:jc w:val="center"/>
              <w:rPr>
                <w:sz w:val="22"/>
                <w:lang w:val="en-US"/>
              </w:rPr>
            </w:pPr>
            <w:r w:rsidRPr="002C75B8">
              <w:rPr>
                <w:b/>
                <w:bCs/>
                <w:i/>
                <w:iCs/>
                <w:sz w:val="22"/>
              </w:rPr>
              <w:t xml:space="preserve">Leishmania </w:t>
            </w:r>
            <w:proofErr w:type="spellStart"/>
            <w:r w:rsidRPr="002C75B8">
              <w:rPr>
                <w:b/>
                <w:bCs/>
                <w:sz w:val="22"/>
              </w:rPr>
              <w:t>species</w:t>
            </w:r>
            <w:proofErr w:type="spellEnd"/>
          </w:p>
        </w:tc>
        <w:tc>
          <w:tcPr>
            <w:tcW w:w="1944" w:type="dxa"/>
            <w:vAlign w:val="center"/>
          </w:tcPr>
          <w:p w:rsidR="00375061" w:rsidRPr="002C75B8" w:rsidRDefault="00375061" w:rsidP="00A7768B">
            <w:pPr>
              <w:ind w:left="0" w:firstLine="0"/>
              <w:jc w:val="center"/>
              <w:rPr>
                <w:b/>
                <w:bCs/>
                <w:sz w:val="22"/>
              </w:rPr>
            </w:pPr>
          </w:p>
          <w:p w:rsidR="00375061" w:rsidRPr="002C75B8" w:rsidRDefault="00375061" w:rsidP="00A7768B">
            <w:pPr>
              <w:ind w:left="0" w:firstLine="0"/>
              <w:jc w:val="center"/>
              <w:rPr>
                <w:sz w:val="22"/>
                <w:lang w:val="en-US"/>
              </w:rPr>
            </w:pPr>
            <w:proofErr w:type="spellStart"/>
            <w:r w:rsidRPr="002C75B8">
              <w:rPr>
                <w:b/>
                <w:bCs/>
                <w:sz w:val="22"/>
              </w:rPr>
              <w:t>Clinical</w:t>
            </w:r>
            <w:proofErr w:type="spellEnd"/>
            <w:r w:rsidRPr="002C75B8">
              <w:rPr>
                <w:b/>
                <w:bCs/>
                <w:sz w:val="22"/>
              </w:rPr>
              <w:t xml:space="preserve"> </w:t>
            </w:r>
            <w:proofErr w:type="spellStart"/>
            <w:r w:rsidRPr="002C75B8">
              <w:rPr>
                <w:b/>
                <w:bCs/>
                <w:sz w:val="22"/>
              </w:rPr>
              <w:t>form</w:t>
            </w:r>
            <w:proofErr w:type="spellEnd"/>
          </w:p>
        </w:tc>
        <w:tc>
          <w:tcPr>
            <w:tcW w:w="3150" w:type="dxa"/>
            <w:vAlign w:val="center"/>
          </w:tcPr>
          <w:p w:rsidR="00375061" w:rsidRPr="002C75B8" w:rsidRDefault="00375061" w:rsidP="00A7768B">
            <w:pPr>
              <w:ind w:left="0" w:firstLine="0"/>
              <w:jc w:val="center"/>
              <w:rPr>
                <w:b/>
                <w:bCs/>
                <w:sz w:val="22"/>
              </w:rPr>
            </w:pPr>
          </w:p>
          <w:p w:rsidR="00375061" w:rsidRPr="002C75B8" w:rsidRDefault="00375061" w:rsidP="00A7768B">
            <w:pPr>
              <w:ind w:left="0" w:firstLine="0"/>
              <w:jc w:val="center"/>
              <w:rPr>
                <w:sz w:val="22"/>
                <w:lang w:val="en-US"/>
              </w:rPr>
            </w:pPr>
            <w:r w:rsidRPr="002C75B8">
              <w:rPr>
                <w:b/>
                <w:bCs/>
                <w:sz w:val="22"/>
              </w:rPr>
              <w:t xml:space="preserve">Vector </w:t>
            </w:r>
            <w:proofErr w:type="spellStart"/>
            <w:r w:rsidRPr="002C75B8">
              <w:rPr>
                <w:b/>
                <w:bCs/>
                <w:sz w:val="22"/>
              </w:rPr>
              <w:t>species</w:t>
            </w:r>
            <w:proofErr w:type="spellEnd"/>
          </w:p>
        </w:tc>
        <w:tc>
          <w:tcPr>
            <w:tcW w:w="2088" w:type="dxa"/>
            <w:vAlign w:val="center"/>
          </w:tcPr>
          <w:p w:rsidR="00375061" w:rsidRPr="002C75B8" w:rsidRDefault="00375061" w:rsidP="00A7768B">
            <w:pPr>
              <w:ind w:left="0" w:firstLine="0"/>
              <w:jc w:val="center"/>
              <w:rPr>
                <w:b/>
                <w:bCs/>
                <w:sz w:val="22"/>
              </w:rPr>
            </w:pPr>
          </w:p>
          <w:p w:rsidR="00375061" w:rsidRPr="002C75B8" w:rsidRDefault="00375061" w:rsidP="00A7768B">
            <w:pPr>
              <w:ind w:left="0" w:firstLine="0"/>
              <w:jc w:val="center"/>
              <w:rPr>
                <w:sz w:val="22"/>
                <w:lang w:val="en-US"/>
              </w:rPr>
            </w:pPr>
            <w:proofErr w:type="spellStart"/>
            <w:r w:rsidRPr="002C75B8">
              <w:rPr>
                <w:b/>
                <w:bCs/>
                <w:sz w:val="22"/>
              </w:rPr>
              <w:t>Reservoirs</w:t>
            </w:r>
            <w:proofErr w:type="spellEnd"/>
          </w:p>
        </w:tc>
      </w:tr>
      <w:tr w:rsidR="00375061" w:rsidRPr="002C75B8" w:rsidTr="00A7768B">
        <w:tc>
          <w:tcPr>
            <w:tcW w:w="2394" w:type="dxa"/>
            <w:vAlign w:val="center"/>
          </w:tcPr>
          <w:p w:rsidR="00375061" w:rsidRPr="002C75B8" w:rsidRDefault="00375061" w:rsidP="00A7768B">
            <w:pPr>
              <w:pStyle w:val="NormalWeb"/>
              <w:spacing w:before="0" w:beforeAutospacing="0" w:after="0" w:afterAutospacing="0" w:line="275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C75B8">
              <w:rPr>
                <w:rFonts w:ascii="Arial" w:eastAsia="SimSun" w:hAnsi="Arial" w:cs="Arial"/>
                <w:i/>
                <w:iCs/>
                <w:color w:val="000000"/>
                <w:kern w:val="24"/>
                <w:sz w:val="22"/>
                <w:szCs w:val="22"/>
              </w:rPr>
              <w:t>L. infantum</w:t>
            </w:r>
          </w:p>
        </w:tc>
        <w:tc>
          <w:tcPr>
            <w:tcW w:w="1944" w:type="dxa"/>
            <w:vAlign w:val="center"/>
          </w:tcPr>
          <w:p w:rsidR="00375061" w:rsidRPr="002C75B8" w:rsidRDefault="00375061" w:rsidP="00A7768B">
            <w:pPr>
              <w:pStyle w:val="NormalWeb"/>
              <w:spacing w:before="0" w:beforeAutospacing="0" w:after="0" w:afterAutospacing="0" w:line="275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C75B8">
              <w:rPr>
                <w:rFonts w:ascii="Arial" w:eastAsia="SimSun" w:hAnsi="Arial" w:cs="Arial"/>
                <w:color w:val="000000"/>
                <w:kern w:val="24"/>
                <w:sz w:val="22"/>
                <w:szCs w:val="22"/>
              </w:rPr>
              <w:t>ZVL</w:t>
            </w:r>
          </w:p>
        </w:tc>
        <w:tc>
          <w:tcPr>
            <w:tcW w:w="3150" w:type="dxa"/>
            <w:vAlign w:val="center"/>
          </w:tcPr>
          <w:p w:rsidR="00375061" w:rsidRPr="002C75B8" w:rsidRDefault="00375061" w:rsidP="00A7768B">
            <w:pPr>
              <w:pStyle w:val="NormalWeb"/>
              <w:spacing w:before="0" w:beforeAutospacing="0" w:after="0" w:afterAutospacing="0" w:line="275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C75B8">
              <w:rPr>
                <w:rFonts w:ascii="Arial" w:eastAsia="SimSun" w:hAnsi="Arial" w:cs="Arial"/>
                <w:i/>
                <w:iCs/>
                <w:color w:val="000000"/>
                <w:kern w:val="24"/>
                <w:sz w:val="22"/>
                <w:szCs w:val="22"/>
              </w:rPr>
              <w:t xml:space="preserve">P. </w:t>
            </w:r>
            <w:proofErr w:type="spellStart"/>
            <w:r w:rsidRPr="002C75B8">
              <w:rPr>
                <w:rFonts w:ascii="Arial" w:eastAsia="SimSun" w:hAnsi="Arial" w:cs="Arial"/>
                <w:i/>
                <w:iCs/>
                <w:color w:val="000000"/>
                <w:kern w:val="24"/>
                <w:sz w:val="22"/>
                <w:szCs w:val="22"/>
              </w:rPr>
              <w:t>alexandri</w:t>
            </w:r>
            <w:proofErr w:type="spellEnd"/>
          </w:p>
        </w:tc>
        <w:tc>
          <w:tcPr>
            <w:tcW w:w="2088" w:type="dxa"/>
            <w:vAlign w:val="center"/>
          </w:tcPr>
          <w:p w:rsidR="00375061" w:rsidRPr="00443A38" w:rsidRDefault="00375061" w:rsidP="00A7768B">
            <w:pPr>
              <w:pStyle w:val="NormalWeb"/>
              <w:spacing w:before="0" w:beforeAutospacing="0" w:after="0" w:afterAutospacing="0" w:line="275" w:lineRule="atLeast"/>
              <w:jc w:val="center"/>
              <w:textAlignment w:val="baseline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443A38">
              <w:rPr>
                <w:rFonts w:ascii="Arial" w:eastAsia="SimSun" w:hAnsi="Arial" w:cs="Arial"/>
                <w:i/>
                <w:iCs/>
                <w:color w:val="000000"/>
                <w:kern w:val="24"/>
                <w:sz w:val="22"/>
                <w:szCs w:val="22"/>
              </w:rPr>
              <w:t>Canis</w:t>
            </w:r>
            <w:proofErr w:type="spellEnd"/>
            <w:r w:rsidRPr="00443A38">
              <w:rPr>
                <w:rFonts w:ascii="Arial" w:eastAsia="SimSun" w:hAnsi="Arial" w:cs="Arial"/>
                <w:i/>
                <w:iCs/>
                <w:color w:val="000000"/>
                <w:kern w:val="24"/>
                <w:sz w:val="22"/>
                <w:szCs w:val="22"/>
              </w:rPr>
              <w:t xml:space="preserve"> </w:t>
            </w:r>
            <w:proofErr w:type="spellStart"/>
            <w:r w:rsidRPr="00443A38">
              <w:rPr>
                <w:rFonts w:ascii="Arial" w:eastAsia="SimSun" w:hAnsi="Arial" w:cs="Arial"/>
                <w:i/>
                <w:iCs/>
                <w:color w:val="000000"/>
                <w:kern w:val="24"/>
                <w:sz w:val="22"/>
                <w:szCs w:val="22"/>
              </w:rPr>
              <w:t>familiaris</w:t>
            </w:r>
            <w:proofErr w:type="spellEnd"/>
          </w:p>
        </w:tc>
      </w:tr>
      <w:tr w:rsidR="00375061" w:rsidRPr="002C75B8" w:rsidTr="00A7768B">
        <w:tc>
          <w:tcPr>
            <w:tcW w:w="2394" w:type="dxa"/>
            <w:vAlign w:val="center"/>
          </w:tcPr>
          <w:p w:rsidR="00375061" w:rsidRPr="002C75B8" w:rsidRDefault="00375061" w:rsidP="00A7768B">
            <w:pPr>
              <w:pStyle w:val="NormalWeb"/>
              <w:spacing w:before="0" w:beforeAutospacing="0" w:after="0" w:afterAutospacing="0" w:line="313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C75B8">
              <w:rPr>
                <w:rFonts w:ascii="Arial" w:eastAsia="SimSun" w:hAnsi="Arial" w:cs="Arial"/>
                <w:i/>
                <w:iCs/>
                <w:color w:val="000000"/>
                <w:kern w:val="24"/>
                <w:sz w:val="22"/>
                <w:szCs w:val="22"/>
              </w:rPr>
              <w:t>L. major</w:t>
            </w:r>
          </w:p>
        </w:tc>
        <w:tc>
          <w:tcPr>
            <w:tcW w:w="1944" w:type="dxa"/>
            <w:vAlign w:val="center"/>
          </w:tcPr>
          <w:p w:rsidR="00375061" w:rsidRPr="002C75B8" w:rsidRDefault="00375061" w:rsidP="00A7768B">
            <w:pPr>
              <w:pStyle w:val="NormalWeb"/>
              <w:spacing w:before="0" w:beforeAutospacing="0" w:after="0" w:afterAutospacing="0" w:line="313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C75B8">
              <w:rPr>
                <w:rFonts w:ascii="Arial" w:eastAsia="SimSun" w:hAnsi="Arial" w:cs="Arial"/>
                <w:color w:val="000000"/>
                <w:kern w:val="24"/>
                <w:sz w:val="22"/>
                <w:szCs w:val="22"/>
              </w:rPr>
              <w:t>ZCL</w:t>
            </w:r>
          </w:p>
        </w:tc>
        <w:tc>
          <w:tcPr>
            <w:tcW w:w="3150" w:type="dxa"/>
            <w:vAlign w:val="center"/>
          </w:tcPr>
          <w:p w:rsidR="00375061" w:rsidRPr="002C75B8" w:rsidRDefault="00375061" w:rsidP="00A7768B">
            <w:pPr>
              <w:pStyle w:val="NormalWeb"/>
              <w:spacing w:before="0" w:beforeAutospacing="0" w:after="0" w:afterAutospacing="0" w:line="313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C75B8">
              <w:rPr>
                <w:rFonts w:ascii="Arial" w:eastAsia="SimSun" w:hAnsi="Arial" w:cs="Arial"/>
                <w:i/>
                <w:iCs/>
                <w:color w:val="000000"/>
                <w:kern w:val="24"/>
                <w:sz w:val="22"/>
                <w:szCs w:val="22"/>
              </w:rPr>
              <w:t xml:space="preserve">P. </w:t>
            </w:r>
            <w:proofErr w:type="spellStart"/>
            <w:r w:rsidRPr="002C75B8">
              <w:rPr>
                <w:rFonts w:ascii="Arial" w:eastAsia="SimSun" w:hAnsi="Arial" w:cs="Arial"/>
                <w:i/>
                <w:iCs/>
                <w:color w:val="000000"/>
                <w:kern w:val="24"/>
                <w:sz w:val="22"/>
                <w:szCs w:val="22"/>
              </w:rPr>
              <w:t>papatasi</w:t>
            </w:r>
            <w:proofErr w:type="spellEnd"/>
          </w:p>
        </w:tc>
        <w:tc>
          <w:tcPr>
            <w:tcW w:w="2088" w:type="dxa"/>
            <w:vAlign w:val="center"/>
          </w:tcPr>
          <w:p w:rsidR="00375061" w:rsidRPr="002C75B8" w:rsidRDefault="00375061" w:rsidP="00A7768B">
            <w:pPr>
              <w:pStyle w:val="NormalWeb"/>
              <w:spacing w:before="0" w:beforeAutospacing="0" w:after="0" w:afterAutospacing="0" w:line="313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C75B8">
              <w:rPr>
                <w:rFonts w:ascii="Arial" w:eastAsia="SimSun" w:hAnsi="Arial" w:cs="Arial"/>
                <w:color w:val="000000"/>
                <w:kern w:val="24"/>
                <w:sz w:val="22"/>
                <w:szCs w:val="22"/>
              </w:rPr>
              <w:t>unknown</w:t>
            </w:r>
          </w:p>
        </w:tc>
      </w:tr>
    </w:tbl>
    <w:p w:rsidR="00375061" w:rsidRPr="002C75B8" w:rsidRDefault="00375061" w:rsidP="00375061">
      <w:pPr>
        <w:ind w:left="0" w:firstLine="0"/>
        <w:rPr>
          <w:b/>
          <w:sz w:val="22"/>
          <w:lang w:val="en-US"/>
        </w:rPr>
      </w:pPr>
    </w:p>
    <w:p w:rsidR="00375061" w:rsidRPr="002C75B8" w:rsidRDefault="00375061" w:rsidP="00375061">
      <w:pPr>
        <w:ind w:left="0" w:firstLine="0"/>
        <w:rPr>
          <w:b/>
          <w:sz w:val="22"/>
          <w:lang w:val="en-US"/>
        </w:rPr>
      </w:pPr>
    </w:p>
    <w:p w:rsidR="00375061" w:rsidRDefault="00375061" w:rsidP="00375061">
      <w:pPr>
        <w:ind w:left="0" w:firstLine="0"/>
        <w:rPr>
          <w:b/>
          <w:sz w:val="22"/>
          <w:lang w:val="en-US"/>
        </w:rPr>
      </w:pPr>
      <w:r w:rsidRPr="002C75B8">
        <w:rPr>
          <w:b/>
          <w:sz w:val="22"/>
          <w:lang w:val="en-US"/>
        </w:rPr>
        <w:t>MAPS AND TRENDS</w:t>
      </w:r>
    </w:p>
    <w:p w:rsidR="00375061" w:rsidRPr="002C75B8" w:rsidRDefault="00375061" w:rsidP="00375061">
      <w:pPr>
        <w:ind w:left="0" w:firstLine="0"/>
        <w:rPr>
          <w:b/>
          <w:sz w:val="22"/>
          <w:lang w:val="en-US"/>
        </w:rPr>
      </w:pPr>
    </w:p>
    <w:p w:rsidR="00375061" w:rsidRPr="002C75B8" w:rsidRDefault="00375061" w:rsidP="00375061">
      <w:pPr>
        <w:ind w:left="0" w:firstLine="0"/>
        <w:rPr>
          <w:b/>
          <w:sz w:val="22"/>
          <w:lang w:val="en-US"/>
        </w:rPr>
      </w:pPr>
      <w:r w:rsidRPr="002C75B8">
        <w:rPr>
          <w:b/>
          <w:sz w:val="22"/>
          <w:lang w:val="en-US"/>
        </w:rPr>
        <w:t>Cutaneous leishmaniasis</w:t>
      </w:r>
    </w:p>
    <w:p w:rsidR="00375061" w:rsidRDefault="00375061" w:rsidP="00375061">
      <w:pPr>
        <w:ind w:left="0" w:firstLine="0"/>
        <w:rPr>
          <w:b/>
          <w:sz w:val="22"/>
          <w:lang w:val="en-US"/>
        </w:rPr>
      </w:pPr>
      <w:r w:rsidRPr="002C75B8">
        <w:rPr>
          <w:b/>
          <w:sz w:val="22"/>
          <w:lang w:val="en-US"/>
        </w:rPr>
        <w:t xml:space="preserve">    </w:t>
      </w:r>
      <w:r>
        <w:rPr>
          <w:b/>
          <w:noProof/>
          <w:sz w:val="22"/>
          <w:lang w:val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70485</wp:posOffset>
            </wp:positionV>
            <wp:extent cx="3455670" cy="2443480"/>
            <wp:effectExtent l="19050" t="0" r="0" b="0"/>
            <wp:wrapNone/>
            <wp:docPr id="5" name="Picture 5" descr="OMCLIRm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MCLIRmo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670" cy="2443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sz w:val="22"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67945</wp:posOffset>
            </wp:positionH>
            <wp:positionV relativeFrom="paragraph">
              <wp:posOffset>3810</wp:posOffset>
            </wp:positionV>
            <wp:extent cx="3708400" cy="2622550"/>
            <wp:effectExtent l="19050" t="0" r="6350" b="0"/>
            <wp:wrapNone/>
            <wp:docPr id="4" name="Picture 4" descr="OMCLmo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MCLmod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0" cy="262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5061" w:rsidRDefault="00375061" w:rsidP="00375061">
      <w:pPr>
        <w:ind w:left="0" w:firstLine="0"/>
        <w:rPr>
          <w:b/>
          <w:sz w:val="22"/>
          <w:lang w:val="en-US"/>
        </w:rPr>
      </w:pPr>
    </w:p>
    <w:p w:rsidR="00375061" w:rsidRDefault="00375061" w:rsidP="00375061">
      <w:pPr>
        <w:ind w:left="0" w:firstLine="0"/>
        <w:rPr>
          <w:b/>
          <w:sz w:val="22"/>
          <w:lang w:val="en-US"/>
        </w:rPr>
      </w:pPr>
    </w:p>
    <w:p w:rsidR="00375061" w:rsidRDefault="00375061" w:rsidP="00375061">
      <w:pPr>
        <w:ind w:left="0" w:firstLine="0"/>
        <w:rPr>
          <w:b/>
          <w:sz w:val="22"/>
          <w:lang w:val="en-US"/>
        </w:rPr>
      </w:pPr>
    </w:p>
    <w:p w:rsidR="00375061" w:rsidRDefault="00375061" w:rsidP="00375061">
      <w:pPr>
        <w:ind w:left="0" w:firstLine="0"/>
        <w:rPr>
          <w:b/>
          <w:sz w:val="22"/>
          <w:lang w:val="en-US"/>
        </w:rPr>
      </w:pPr>
    </w:p>
    <w:p w:rsidR="00375061" w:rsidRDefault="00375061" w:rsidP="00375061">
      <w:pPr>
        <w:ind w:left="0" w:firstLine="0"/>
        <w:rPr>
          <w:b/>
          <w:sz w:val="22"/>
          <w:lang w:val="en-US"/>
        </w:rPr>
      </w:pPr>
    </w:p>
    <w:p w:rsidR="00375061" w:rsidRDefault="00375061" w:rsidP="00375061">
      <w:pPr>
        <w:ind w:left="0" w:firstLine="0"/>
        <w:rPr>
          <w:b/>
          <w:sz w:val="22"/>
          <w:lang w:val="en-US"/>
        </w:rPr>
      </w:pPr>
    </w:p>
    <w:p w:rsidR="00375061" w:rsidRDefault="00375061" w:rsidP="00375061">
      <w:pPr>
        <w:ind w:left="0" w:firstLine="0"/>
        <w:rPr>
          <w:b/>
          <w:sz w:val="22"/>
          <w:lang w:val="en-US"/>
        </w:rPr>
      </w:pPr>
    </w:p>
    <w:p w:rsidR="00375061" w:rsidRDefault="00375061" w:rsidP="00375061">
      <w:pPr>
        <w:ind w:left="0" w:firstLine="0"/>
        <w:rPr>
          <w:b/>
          <w:sz w:val="22"/>
          <w:lang w:val="en-US"/>
        </w:rPr>
      </w:pPr>
    </w:p>
    <w:p w:rsidR="00375061" w:rsidRDefault="00375061" w:rsidP="00375061">
      <w:pPr>
        <w:ind w:left="0" w:firstLine="0"/>
        <w:rPr>
          <w:b/>
          <w:sz w:val="22"/>
          <w:lang w:val="en-US"/>
        </w:rPr>
      </w:pPr>
    </w:p>
    <w:p w:rsidR="00375061" w:rsidRDefault="00375061" w:rsidP="00375061">
      <w:pPr>
        <w:ind w:left="0" w:firstLine="0"/>
        <w:rPr>
          <w:b/>
          <w:sz w:val="22"/>
          <w:lang w:val="en-US"/>
        </w:rPr>
      </w:pPr>
    </w:p>
    <w:p w:rsidR="00375061" w:rsidRDefault="00375061" w:rsidP="00375061">
      <w:pPr>
        <w:ind w:left="0" w:firstLine="0"/>
        <w:rPr>
          <w:b/>
          <w:sz w:val="22"/>
          <w:lang w:val="en-US"/>
        </w:rPr>
      </w:pPr>
    </w:p>
    <w:p w:rsidR="00375061" w:rsidRDefault="00375061" w:rsidP="00375061">
      <w:pPr>
        <w:ind w:left="0" w:firstLine="0"/>
        <w:rPr>
          <w:b/>
          <w:sz w:val="22"/>
          <w:lang w:val="en-US"/>
        </w:rPr>
      </w:pPr>
    </w:p>
    <w:p w:rsidR="00375061" w:rsidRDefault="00375061" w:rsidP="00375061">
      <w:pPr>
        <w:ind w:left="0" w:firstLine="0"/>
        <w:rPr>
          <w:b/>
          <w:sz w:val="22"/>
          <w:lang w:val="en-US"/>
        </w:rPr>
      </w:pPr>
    </w:p>
    <w:p w:rsidR="00375061" w:rsidRDefault="00375061" w:rsidP="00375061">
      <w:pPr>
        <w:ind w:left="0" w:firstLine="0"/>
        <w:rPr>
          <w:b/>
          <w:sz w:val="22"/>
          <w:lang w:val="en-US"/>
        </w:rPr>
      </w:pPr>
    </w:p>
    <w:p w:rsidR="00375061" w:rsidRDefault="00375061" w:rsidP="00375061">
      <w:pPr>
        <w:ind w:left="0" w:firstLine="0"/>
        <w:rPr>
          <w:b/>
          <w:sz w:val="22"/>
          <w:lang w:val="en-US"/>
        </w:rPr>
      </w:pPr>
    </w:p>
    <w:p w:rsidR="00375061" w:rsidRDefault="00375061" w:rsidP="00375061">
      <w:pPr>
        <w:ind w:left="0" w:firstLine="0"/>
        <w:rPr>
          <w:b/>
          <w:sz w:val="22"/>
          <w:lang w:val="en-US"/>
        </w:rPr>
      </w:pPr>
    </w:p>
    <w:p w:rsidR="00375061" w:rsidRDefault="00375061" w:rsidP="00375061">
      <w:pPr>
        <w:ind w:left="0" w:firstLine="0"/>
        <w:rPr>
          <w:b/>
          <w:sz w:val="22"/>
          <w:lang w:val="en-US"/>
        </w:rPr>
      </w:pPr>
      <w:r w:rsidRPr="002C75B8">
        <w:rPr>
          <w:b/>
          <w:sz w:val="22"/>
          <w:lang w:val="en-US"/>
        </w:rPr>
        <w:t>Visceral leishmaniasis</w:t>
      </w:r>
      <w:r w:rsidRPr="00443A38">
        <w:rPr>
          <w:b/>
          <w:sz w:val="22"/>
          <w:lang w:val="en-US"/>
        </w:rPr>
        <w:t xml:space="preserve"> </w:t>
      </w:r>
      <w:r>
        <w:rPr>
          <w:b/>
          <w:sz w:val="22"/>
          <w:lang w:val="en-US"/>
        </w:rPr>
        <w:t>t</w:t>
      </w:r>
      <w:r w:rsidRPr="002C75B8">
        <w:rPr>
          <w:b/>
          <w:sz w:val="22"/>
          <w:lang w:val="en-US"/>
        </w:rPr>
        <w:t xml:space="preserve">rend </w:t>
      </w:r>
    </w:p>
    <w:p w:rsidR="00375061" w:rsidRDefault="00375061" w:rsidP="00375061">
      <w:pPr>
        <w:ind w:left="0" w:firstLine="0"/>
        <w:rPr>
          <w:b/>
          <w:sz w:val="22"/>
          <w:lang w:val="en-US"/>
        </w:rPr>
      </w:pPr>
      <w:r>
        <w:rPr>
          <w:b/>
          <w:noProof/>
          <w:sz w:val="22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83185</wp:posOffset>
            </wp:positionV>
            <wp:extent cx="6743700" cy="2464435"/>
            <wp:effectExtent l="0" t="0" r="0" b="0"/>
            <wp:wrapNone/>
            <wp:docPr id="2" name="Objec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375061" w:rsidRDefault="00375061" w:rsidP="00375061">
      <w:pPr>
        <w:ind w:left="0" w:firstLine="0"/>
        <w:rPr>
          <w:b/>
          <w:sz w:val="22"/>
          <w:lang w:val="en-US"/>
        </w:rPr>
      </w:pPr>
    </w:p>
    <w:p w:rsidR="00375061" w:rsidRDefault="00375061" w:rsidP="00375061">
      <w:pPr>
        <w:ind w:left="0" w:firstLine="0"/>
        <w:rPr>
          <w:b/>
          <w:sz w:val="22"/>
          <w:lang w:val="en-US"/>
        </w:rPr>
      </w:pPr>
    </w:p>
    <w:p w:rsidR="00375061" w:rsidRDefault="00375061" w:rsidP="00375061">
      <w:pPr>
        <w:ind w:left="0" w:firstLine="0"/>
        <w:rPr>
          <w:b/>
          <w:sz w:val="22"/>
          <w:lang w:val="en-US"/>
        </w:rPr>
      </w:pPr>
    </w:p>
    <w:p w:rsidR="00375061" w:rsidRDefault="00375061" w:rsidP="00375061">
      <w:pPr>
        <w:ind w:left="0" w:firstLine="0"/>
        <w:rPr>
          <w:b/>
          <w:sz w:val="22"/>
          <w:lang w:val="en-US"/>
        </w:rPr>
      </w:pPr>
    </w:p>
    <w:p w:rsidR="00375061" w:rsidRDefault="00375061" w:rsidP="00375061">
      <w:pPr>
        <w:ind w:left="0" w:firstLine="0"/>
        <w:rPr>
          <w:b/>
          <w:sz w:val="22"/>
          <w:lang w:val="en-US"/>
        </w:rPr>
      </w:pPr>
    </w:p>
    <w:p w:rsidR="00375061" w:rsidRDefault="00375061" w:rsidP="00375061">
      <w:pPr>
        <w:ind w:left="0" w:firstLine="0"/>
        <w:rPr>
          <w:b/>
          <w:sz w:val="22"/>
          <w:lang w:val="en-US"/>
        </w:rPr>
      </w:pPr>
    </w:p>
    <w:p w:rsidR="00375061" w:rsidRDefault="00375061" w:rsidP="00375061">
      <w:pPr>
        <w:ind w:left="0" w:firstLine="0"/>
        <w:rPr>
          <w:b/>
          <w:sz w:val="22"/>
          <w:lang w:val="en-US"/>
        </w:rPr>
      </w:pPr>
    </w:p>
    <w:p w:rsidR="00375061" w:rsidRDefault="00375061" w:rsidP="00375061">
      <w:pPr>
        <w:ind w:left="0" w:firstLine="0"/>
        <w:rPr>
          <w:b/>
          <w:sz w:val="22"/>
          <w:lang w:val="en-US"/>
        </w:rPr>
      </w:pPr>
    </w:p>
    <w:p w:rsidR="00375061" w:rsidRDefault="00375061" w:rsidP="00375061">
      <w:pPr>
        <w:ind w:left="0" w:firstLine="0"/>
        <w:rPr>
          <w:b/>
          <w:sz w:val="22"/>
          <w:lang w:val="en-US"/>
        </w:rPr>
      </w:pPr>
    </w:p>
    <w:p w:rsidR="00375061" w:rsidRDefault="00375061" w:rsidP="00375061">
      <w:pPr>
        <w:ind w:left="0" w:firstLine="0"/>
        <w:rPr>
          <w:b/>
          <w:sz w:val="22"/>
          <w:lang w:val="en-US"/>
        </w:rPr>
      </w:pPr>
    </w:p>
    <w:p w:rsidR="00375061" w:rsidRDefault="00375061" w:rsidP="00375061">
      <w:pPr>
        <w:ind w:left="0" w:firstLine="0"/>
        <w:rPr>
          <w:b/>
          <w:sz w:val="22"/>
          <w:lang w:val="en-US"/>
        </w:rPr>
      </w:pPr>
    </w:p>
    <w:p w:rsidR="00375061" w:rsidRDefault="00375061" w:rsidP="00375061">
      <w:pPr>
        <w:ind w:left="0" w:firstLine="0"/>
        <w:rPr>
          <w:b/>
          <w:sz w:val="22"/>
          <w:lang w:val="en-US"/>
        </w:rPr>
      </w:pPr>
    </w:p>
    <w:p w:rsidR="00375061" w:rsidRPr="002C75B8" w:rsidRDefault="00375061" w:rsidP="00375061">
      <w:pPr>
        <w:ind w:left="0" w:firstLine="0"/>
        <w:rPr>
          <w:b/>
          <w:sz w:val="22"/>
          <w:lang w:val="en-US"/>
        </w:rPr>
      </w:pPr>
    </w:p>
    <w:p w:rsidR="00375061" w:rsidRPr="002C75B8" w:rsidRDefault="00375061" w:rsidP="00375061">
      <w:pPr>
        <w:ind w:left="0" w:firstLine="0"/>
        <w:rPr>
          <w:b/>
          <w:sz w:val="22"/>
          <w:lang w:val="en-US"/>
        </w:rPr>
      </w:pPr>
      <w:r w:rsidRPr="002C75B8">
        <w:rPr>
          <w:b/>
          <w:sz w:val="22"/>
          <w:lang w:val="en-US"/>
        </w:rPr>
        <w:lastRenderedPageBreak/>
        <w:t>Cutaneous leishmaniasis trend</w:t>
      </w:r>
    </w:p>
    <w:p w:rsidR="00375061" w:rsidRDefault="00375061" w:rsidP="00375061">
      <w:pPr>
        <w:ind w:left="0" w:firstLine="0"/>
        <w:rPr>
          <w:b/>
          <w:sz w:val="22"/>
          <w:lang w:val="en-US"/>
        </w:rPr>
      </w:pPr>
      <w:r>
        <w:rPr>
          <w:b/>
          <w:noProof/>
          <w:sz w:val="22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-640080</wp:posOffset>
            </wp:positionH>
            <wp:positionV relativeFrom="paragraph">
              <wp:posOffset>121920</wp:posOffset>
            </wp:positionV>
            <wp:extent cx="6743700" cy="2454275"/>
            <wp:effectExtent l="0" t="0" r="0" b="0"/>
            <wp:wrapNone/>
            <wp:docPr id="3" name="Objec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375061" w:rsidRDefault="00375061" w:rsidP="00375061">
      <w:pPr>
        <w:ind w:left="0" w:firstLine="0"/>
        <w:rPr>
          <w:b/>
          <w:sz w:val="22"/>
          <w:lang w:val="en-US"/>
        </w:rPr>
      </w:pPr>
    </w:p>
    <w:p w:rsidR="00375061" w:rsidRDefault="00375061" w:rsidP="00375061">
      <w:pPr>
        <w:ind w:left="0" w:firstLine="0"/>
        <w:rPr>
          <w:b/>
          <w:sz w:val="22"/>
          <w:lang w:val="en-US"/>
        </w:rPr>
      </w:pPr>
    </w:p>
    <w:p w:rsidR="00375061" w:rsidRDefault="00375061" w:rsidP="00375061">
      <w:pPr>
        <w:ind w:left="0" w:firstLine="0"/>
        <w:rPr>
          <w:b/>
          <w:sz w:val="22"/>
          <w:lang w:val="en-US"/>
        </w:rPr>
      </w:pPr>
    </w:p>
    <w:p w:rsidR="00375061" w:rsidRDefault="00375061" w:rsidP="00375061">
      <w:pPr>
        <w:ind w:left="0" w:firstLine="0"/>
        <w:rPr>
          <w:b/>
          <w:sz w:val="22"/>
          <w:lang w:val="en-US"/>
        </w:rPr>
      </w:pPr>
    </w:p>
    <w:p w:rsidR="00375061" w:rsidRDefault="00375061" w:rsidP="00375061">
      <w:pPr>
        <w:ind w:left="0" w:firstLine="0"/>
        <w:rPr>
          <w:b/>
          <w:sz w:val="22"/>
          <w:lang w:val="en-US"/>
        </w:rPr>
      </w:pPr>
    </w:p>
    <w:p w:rsidR="00375061" w:rsidRDefault="00375061" w:rsidP="00375061">
      <w:pPr>
        <w:ind w:left="0" w:firstLine="0"/>
        <w:rPr>
          <w:b/>
          <w:sz w:val="22"/>
          <w:lang w:val="en-US"/>
        </w:rPr>
      </w:pPr>
    </w:p>
    <w:p w:rsidR="00375061" w:rsidRDefault="00375061" w:rsidP="00375061">
      <w:pPr>
        <w:ind w:left="0" w:firstLine="0"/>
        <w:rPr>
          <w:b/>
          <w:sz w:val="22"/>
          <w:lang w:val="en-US"/>
        </w:rPr>
      </w:pPr>
    </w:p>
    <w:p w:rsidR="00375061" w:rsidRPr="002C75B8" w:rsidRDefault="00375061" w:rsidP="00375061">
      <w:pPr>
        <w:ind w:left="0" w:firstLine="0"/>
        <w:rPr>
          <w:b/>
          <w:sz w:val="22"/>
          <w:lang w:val="en-US"/>
        </w:rPr>
      </w:pPr>
    </w:p>
    <w:p w:rsidR="00375061" w:rsidRDefault="00375061" w:rsidP="00375061">
      <w:pPr>
        <w:ind w:left="0" w:firstLine="0"/>
        <w:rPr>
          <w:b/>
          <w:sz w:val="22"/>
          <w:lang w:val="en-US"/>
        </w:rPr>
      </w:pPr>
    </w:p>
    <w:p w:rsidR="00375061" w:rsidRDefault="00375061" w:rsidP="00375061">
      <w:pPr>
        <w:ind w:left="0" w:firstLine="0"/>
        <w:rPr>
          <w:b/>
          <w:sz w:val="22"/>
          <w:lang w:val="en-US"/>
        </w:rPr>
      </w:pPr>
    </w:p>
    <w:p w:rsidR="00375061" w:rsidRDefault="00375061" w:rsidP="00375061">
      <w:pPr>
        <w:ind w:left="0" w:firstLine="0"/>
        <w:rPr>
          <w:b/>
          <w:sz w:val="22"/>
          <w:lang w:val="en-US"/>
        </w:rPr>
      </w:pPr>
    </w:p>
    <w:p w:rsidR="00375061" w:rsidRDefault="00375061" w:rsidP="00375061">
      <w:pPr>
        <w:ind w:left="0" w:firstLine="0"/>
        <w:rPr>
          <w:b/>
          <w:sz w:val="22"/>
          <w:lang w:val="en-US"/>
        </w:rPr>
      </w:pPr>
    </w:p>
    <w:p w:rsidR="00375061" w:rsidRDefault="00375061" w:rsidP="00375061">
      <w:pPr>
        <w:ind w:left="0" w:firstLine="0"/>
        <w:rPr>
          <w:b/>
          <w:sz w:val="22"/>
          <w:lang w:val="en-US"/>
        </w:rPr>
      </w:pPr>
    </w:p>
    <w:p w:rsidR="00375061" w:rsidRDefault="00375061" w:rsidP="00375061">
      <w:pPr>
        <w:ind w:left="0" w:firstLine="0"/>
        <w:rPr>
          <w:b/>
          <w:sz w:val="22"/>
          <w:lang w:val="en-US"/>
        </w:rPr>
      </w:pPr>
    </w:p>
    <w:p w:rsidR="00375061" w:rsidRPr="002C75B8" w:rsidRDefault="00375061" w:rsidP="00375061">
      <w:pPr>
        <w:ind w:left="0" w:firstLine="0"/>
        <w:rPr>
          <w:b/>
          <w:sz w:val="22"/>
          <w:lang w:val="en-US"/>
        </w:rPr>
      </w:pPr>
    </w:p>
    <w:p w:rsidR="00375061" w:rsidRPr="002C75B8" w:rsidRDefault="00375061" w:rsidP="00375061">
      <w:pPr>
        <w:ind w:left="0" w:firstLine="0"/>
        <w:rPr>
          <w:b/>
          <w:sz w:val="22"/>
          <w:lang w:val="en-US"/>
        </w:rPr>
      </w:pPr>
    </w:p>
    <w:p w:rsidR="00375061" w:rsidRDefault="00375061" w:rsidP="00375061">
      <w:pPr>
        <w:ind w:left="0" w:firstLine="0"/>
        <w:rPr>
          <w:rFonts w:eastAsia="Times New Roman"/>
          <w:b/>
          <w:bCs/>
          <w:sz w:val="22"/>
          <w:lang w:val="en-US" w:eastAsia="es-ES"/>
        </w:rPr>
      </w:pPr>
      <w:r w:rsidRPr="002C75B8">
        <w:rPr>
          <w:rFonts w:eastAsia="Times New Roman"/>
          <w:b/>
          <w:bCs/>
          <w:sz w:val="22"/>
          <w:lang w:val="en-US" w:eastAsia="es-ES"/>
        </w:rPr>
        <w:t>CONTROL</w:t>
      </w:r>
    </w:p>
    <w:p w:rsidR="00375061" w:rsidRPr="002C75B8" w:rsidRDefault="00375061" w:rsidP="00375061">
      <w:pPr>
        <w:ind w:left="0" w:firstLine="0"/>
        <w:rPr>
          <w:rFonts w:eastAsia="Times New Roman"/>
          <w:b/>
          <w:bCs/>
          <w:sz w:val="22"/>
          <w:lang w:val="en-US" w:eastAsia="es-ES"/>
        </w:rPr>
      </w:pPr>
    </w:p>
    <w:p w:rsidR="00375061" w:rsidRPr="002C75B8" w:rsidRDefault="00375061" w:rsidP="00375061">
      <w:pPr>
        <w:ind w:left="0" w:firstLine="0"/>
        <w:rPr>
          <w:rFonts w:eastAsia="Times New Roman"/>
          <w:sz w:val="22"/>
          <w:lang w:val="en-US" w:eastAsia="es-ES"/>
        </w:rPr>
      </w:pPr>
      <w:r w:rsidRPr="002C75B8">
        <w:rPr>
          <w:rFonts w:eastAsia="Times New Roman"/>
          <w:sz w:val="22"/>
          <w:lang w:val="en-US" w:eastAsia="es-ES"/>
        </w:rPr>
        <w:t xml:space="preserve">The notification of leishmaniasis is mandatory. There is no national </w:t>
      </w:r>
      <w:r>
        <w:rPr>
          <w:rFonts w:eastAsia="Times New Roman"/>
          <w:sz w:val="22"/>
          <w:lang w:val="en-US" w:eastAsia="es-ES"/>
        </w:rPr>
        <w:t>l</w:t>
      </w:r>
      <w:r w:rsidRPr="002C75B8">
        <w:rPr>
          <w:rFonts w:eastAsia="Times New Roman"/>
          <w:sz w:val="22"/>
          <w:lang w:val="en-US" w:eastAsia="es-ES"/>
        </w:rPr>
        <w:t xml:space="preserve">eishmaniasis </w:t>
      </w:r>
      <w:r>
        <w:rPr>
          <w:rFonts w:eastAsia="Times New Roman"/>
          <w:sz w:val="22"/>
          <w:lang w:val="en-US" w:eastAsia="es-ES"/>
        </w:rPr>
        <w:t>c</w:t>
      </w:r>
      <w:r w:rsidRPr="002C75B8">
        <w:rPr>
          <w:rFonts w:eastAsia="Times New Roman"/>
          <w:sz w:val="22"/>
          <w:lang w:val="en-US" w:eastAsia="es-ES"/>
        </w:rPr>
        <w:t xml:space="preserve">ontrol </w:t>
      </w:r>
      <w:r>
        <w:rPr>
          <w:rFonts w:eastAsia="Times New Roman"/>
          <w:sz w:val="22"/>
          <w:lang w:val="en-US" w:eastAsia="es-ES"/>
        </w:rPr>
        <w:t>p</w:t>
      </w:r>
      <w:r w:rsidRPr="002C75B8">
        <w:rPr>
          <w:rFonts w:eastAsia="Times New Roman"/>
          <w:sz w:val="22"/>
          <w:lang w:val="en-US" w:eastAsia="es-ES"/>
        </w:rPr>
        <w:t>rogram</w:t>
      </w:r>
      <w:r>
        <w:rPr>
          <w:rFonts w:eastAsia="Times New Roman"/>
          <w:sz w:val="22"/>
          <w:lang w:val="en-US" w:eastAsia="es-ES"/>
        </w:rPr>
        <w:t>,</w:t>
      </w:r>
      <w:r w:rsidRPr="002C75B8">
        <w:rPr>
          <w:rFonts w:eastAsia="Times New Roman"/>
          <w:sz w:val="22"/>
          <w:lang w:val="en-US" w:eastAsia="es-ES"/>
        </w:rPr>
        <w:t xml:space="preserve"> but since 1991</w:t>
      </w:r>
      <w:r>
        <w:rPr>
          <w:rFonts w:eastAsia="Times New Roman"/>
          <w:sz w:val="22"/>
          <w:lang w:val="en-US" w:eastAsia="es-ES"/>
        </w:rPr>
        <w:t>,</w:t>
      </w:r>
      <w:r w:rsidRPr="002C75B8">
        <w:rPr>
          <w:rFonts w:eastAsia="Times New Roman"/>
          <w:sz w:val="22"/>
          <w:lang w:val="en-US" w:eastAsia="es-ES"/>
        </w:rPr>
        <w:t xml:space="preserve"> leishmaniasis </w:t>
      </w:r>
      <w:r>
        <w:rPr>
          <w:rFonts w:eastAsia="Times New Roman"/>
          <w:sz w:val="22"/>
          <w:lang w:val="en-US" w:eastAsia="es-ES"/>
        </w:rPr>
        <w:t>has been</w:t>
      </w:r>
      <w:r w:rsidRPr="002C75B8">
        <w:rPr>
          <w:rFonts w:eastAsia="Times New Roman"/>
          <w:sz w:val="22"/>
          <w:lang w:val="en-US" w:eastAsia="es-ES"/>
        </w:rPr>
        <w:t xml:space="preserve"> integrated in the Communicable Disease Surveillance &amp; Control. Case detection is passive. There is no leishmaniasis vector </w:t>
      </w:r>
      <w:r>
        <w:rPr>
          <w:rFonts w:eastAsia="Times New Roman"/>
          <w:sz w:val="22"/>
          <w:lang w:val="en-US" w:eastAsia="es-ES"/>
        </w:rPr>
        <w:t>or</w:t>
      </w:r>
      <w:r w:rsidRPr="002C75B8">
        <w:rPr>
          <w:rFonts w:eastAsia="Times New Roman"/>
          <w:sz w:val="22"/>
          <w:lang w:val="en-US" w:eastAsia="es-ES"/>
        </w:rPr>
        <w:t xml:space="preserve"> reservoir control program. </w:t>
      </w:r>
    </w:p>
    <w:p w:rsidR="00375061" w:rsidRDefault="00375061" w:rsidP="00375061">
      <w:pPr>
        <w:ind w:left="0" w:firstLine="0"/>
        <w:rPr>
          <w:rFonts w:eastAsia="Times New Roman"/>
          <w:sz w:val="22"/>
          <w:lang w:val="en-US" w:eastAsia="es-ES"/>
        </w:rPr>
      </w:pPr>
    </w:p>
    <w:p w:rsidR="00375061" w:rsidRPr="002C75B8" w:rsidRDefault="00375061" w:rsidP="00375061">
      <w:pPr>
        <w:ind w:left="0" w:firstLine="0"/>
        <w:rPr>
          <w:rFonts w:eastAsia="Times New Roman"/>
          <w:sz w:val="22"/>
          <w:lang w:val="en-US" w:eastAsia="es-ES"/>
        </w:rPr>
      </w:pPr>
    </w:p>
    <w:p w:rsidR="00375061" w:rsidRDefault="00375061" w:rsidP="00375061">
      <w:pPr>
        <w:ind w:left="0" w:firstLine="0"/>
        <w:rPr>
          <w:b/>
          <w:sz w:val="22"/>
          <w:lang w:val="en-US"/>
        </w:rPr>
      </w:pPr>
      <w:r w:rsidRPr="002C75B8">
        <w:rPr>
          <w:b/>
          <w:sz w:val="22"/>
          <w:lang w:val="en-US"/>
        </w:rPr>
        <w:t xml:space="preserve">DIAGNOSIS, TREATMENT </w:t>
      </w:r>
    </w:p>
    <w:p w:rsidR="00375061" w:rsidRPr="002C75B8" w:rsidRDefault="00375061" w:rsidP="00375061">
      <w:pPr>
        <w:ind w:left="0" w:firstLine="0"/>
        <w:rPr>
          <w:b/>
          <w:sz w:val="22"/>
          <w:lang w:val="en-US"/>
        </w:rPr>
      </w:pPr>
    </w:p>
    <w:p w:rsidR="00375061" w:rsidRPr="002C75B8" w:rsidRDefault="00375061" w:rsidP="00375061">
      <w:pPr>
        <w:ind w:left="0" w:firstLine="0"/>
        <w:rPr>
          <w:b/>
          <w:bCs/>
          <w:sz w:val="22"/>
          <w:lang w:val="en-US"/>
        </w:rPr>
      </w:pPr>
      <w:r w:rsidRPr="002C75B8">
        <w:rPr>
          <w:b/>
          <w:bCs/>
          <w:sz w:val="22"/>
          <w:lang w:val="en-US"/>
        </w:rPr>
        <w:t>Diagnosis</w:t>
      </w:r>
    </w:p>
    <w:p w:rsidR="00375061" w:rsidRPr="00562689" w:rsidRDefault="00375061" w:rsidP="00375061">
      <w:pPr>
        <w:ind w:left="0" w:firstLine="0"/>
        <w:rPr>
          <w:sz w:val="22"/>
        </w:rPr>
      </w:pPr>
      <w:r w:rsidRPr="00562689">
        <w:rPr>
          <w:sz w:val="22"/>
        </w:rPr>
        <w:t xml:space="preserve">VL: </w:t>
      </w:r>
      <w:proofErr w:type="spellStart"/>
      <w:r w:rsidRPr="00562689">
        <w:rPr>
          <w:sz w:val="22"/>
        </w:rPr>
        <w:t>confirmation</w:t>
      </w:r>
      <w:proofErr w:type="spellEnd"/>
      <w:r w:rsidRPr="00562689">
        <w:rPr>
          <w:sz w:val="22"/>
        </w:rPr>
        <w:t xml:space="preserve"> </w:t>
      </w:r>
      <w:proofErr w:type="spellStart"/>
      <w:r w:rsidRPr="00562689">
        <w:rPr>
          <w:sz w:val="22"/>
        </w:rPr>
        <w:t>by</w:t>
      </w:r>
      <w:proofErr w:type="spellEnd"/>
      <w:r w:rsidRPr="00562689">
        <w:rPr>
          <w:sz w:val="22"/>
        </w:rPr>
        <w:t xml:space="preserve"> </w:t>
      </w:r>
      <w:proofErr w:type="spellStart"/>
      <w:r w:rsidRPr="00562689">
        <w:rPr>
          <w:sz w:val="22"/>
        </w:rPr>
        <w:t>microscopic</w:t>
      </w:r>
      <w:proofErr w:type="spellEnd"/>
      <w:r w:rsidRPr="00562689">
        <w:rPr>
          <w:sz w:val="22"/>
        </w:rPr>
        <w:t xml:space="preserve"> </w:t>
      </w:r>
      <w:proofErr w:type="spellStart"/>
      <w:r w:rsidRPr="00562689">
        <w:rPr>
          <w:sz w:val="22"/>
        </w:rPr>
        <w:t>examination</w:t>
      </w:r>
      <w:proofErr w:type="spellEnd"/>
      <w:r w:rsidRPr="00562689">
        <w:rPr>
          <w:sz w:val="22"/>
        </w:rPr>
        <w:t xml:space="preserve"> of </w:t>
      </w:r>
      <w:proofErr w:type="spellStart"/>
      <w:r w:rsidRPr="00562689">
        <w:rPr>
          <w:sz w:val="22"/>
        </w:rPr>
        <w:t>bone</w:t>
      </w:r>
      <w:proofErr w:type="spellEnd"/>
      <w:r w:rsidRPr="00562689">
        <w:rPr>
          <w:sz w:val="22"/>
        </w:rPr>
        <w:t xml:space="preserve"> </w:t>
      </w:r>
      <w:proofErr w:type="spellStart"/>
      <w:r w:rsidRPr="00562689">
        <w:rPr>
          <w:sz w:val="22"/>
        </w:rPr>
        <w:t>marrow</w:t>
      </w:r>
      <w:proofErr w:type="spellEnd"/>
      <w:r w:rsidRPr="00562689">
        <w:rPr>
          <w:sz w:val="22"/>
        </w:rPr>
        <w:t xml:space="preserve"> </w:t>
      </w:r>
      <w:proofErr w:type="spellStart"/>
      <w:r w:rsidRPr="00562689">
        <w:rPr>
          <w:sz w:val="22"/>
        </w:rPr>
        <w:t>aspirate</w:t>
      </w:r>
      <w:proofErr w:type="spellEnd"/>
      <w:r w:rsidRPr="00562689">
        <w:rPr>
          <w:sz w:val="22"/>
        </w:rPr>
        <w:t xml:space="preserve"> </w:t>
      </w:r>
      <w:proofErr w:type="spellStart"/>
      <w:r w:rsidRPr="00562689">
        <w:rPr>
          <w:sz w:val="22"/>
        </w:rPr>
        <w:t>or</w:t>
      </w:r>
      <w:proofErr w:type="spellEnd"/>
      <w:r w:rsidRPr="00562689">
        <w:rPr>
          <w:sz w:val="22"/>
        </w:rPr>
        <w:t xml:space="preserve"> a </w:t>
      </w:r>
      <w:proofErr w:type="spellStart"/>
      <w:r w:rsidRPr="00562689">
        <w:rPr>
          <w:sz w:val="22"/>
        </w:rPr>
        <w:t>serological</w:t>
      </w:r>
      <w:proofErr w:type="spellEnd"/>
      <w:r w:rsidRPr="00562689">
        <w:rPr>
          <w:sz w:val="22"/>
        </w:rPr>
        <w:t xml:space="preserve"> </w:t>
      </w:r>
      <w:proofErr w:type="spellStart"/>
      <w:r w:rsidRPr="00562689">
        <w:rPr>
          <w:sz w:val="22"/>
        </w:rPr>
        <w:t>method</w:t>
      </w:r>
      <w:proofErr w:type="spellEnd"/>
      <w:r w:rsidRPr="00562689">
        <w:rPr>
          <w:sz w:val="22"/>
        </w:rPr>
        <w:t xml:space="preserve"> (IFAT, ELISA, DAT). </w:t>
      </w:r>
    </w:p>
    <w:p w:rsidR="00375061" w:rsidRPr="00562689" w:rsidRDefault="00375061" w:rsidP="00375061">
      <w:pPr>
        <w:ind w:left="0" w:firstLine="0"/>
        <w:rPr>
          <w:sz w:val="22"/>
        </w:rPr>
      </w:pPr>
      <w:r w:rsidRPr="00562689">
        <w:rPr>
          <w:sz w:val="22"/>
        </w:rPr>
        <w:t xml:space="preserve">CL: </w:t>
      </w:r>
      <w:proofErr w:type="spellStart"/>
      <w:r w:rsidRPr="00562689">
        <w:rPr>
          <w:sz w:val="22"/>
        </w:rPr>
        <w:t>on</w:t>
      </w:r>
      <w:proofErr w:type="spellEnd"/>
      <w:r w:rsidRPr="00562689">
        <w:rPr>
          <w:sz w:val="22"/>
        </w:rPr>
        <w:t xml:space="preserve"> </w:t>
      </w:r>
      <w:proofErr w:type="spellStart"/>
      <w:r w:rsidRPr="00562689">
        <w:rPr>
          <w:sz w:val="22"/>
        </w:rPr>
        <w:t>clinical</w:t>
      </w:r>
      <w:proofErr w:type="spellEnd"/>
      <w:r w:rsidRPr="00562689">
        <w:rPr>
          <w:sz w:val="22"/>
        </w:rPr>
        <w:t xml:space="preserve"> </w:t>
      </w:r>
      <w:proofErr w:type="spellStart"/>
      <w:r w:rsidRPr="00562689">
        <w:rPr>
          <w:sz w:val="22"/>
        </w:rPr>
        <w:t>grounds</w:t>
      </w:r>
      <w:proofErr w:type="spellEnd"/>
      <w:r w:rsidRPr="00562689">
        <w:rPr>
          <w:sz w:val="22"/>
        </w:rPr>
        <w:t xml:space="preserve"> and </w:t>
      </w:r>
      <w:proofErr w:type="spellStart"/>
      <w:r w:rsidRPr="00562689">
        <w:rPr>
          <w:sz w:val="22"/>
        </w:rPr>
        <w:t>confirmation</w:t>
      </w:r>
      <w:proofErr w:type="spellEnd"/>
      <w:r w:rsidRPr="00562689">
        <w:rPr>
          <w:sz w:val="22"/>
        </w:rPr>
        <w:t xml:space="preserve"> </w:t>
      </w:r>
      <w:proofErr w:type="spellStart"/>
      <w:r w:rsidRPr="00562689">
        <w:rPr>
          <w:sz w:val="22"/>
        </w:rPr>
        <w:t>by</w:t>
      </w:r>
      <w:proofErr w:type="spellEnd"/>
      <w:r w:rsidRPr="00562689">
        <w:rPr>
          <w:sz w:val="22"/>
        </w:rPr>
        <w:t xml:space="preserve"> </w:t>
      </w:r>
      <w:proofErr w:type="spellStart"/>
      <w:r w:rsidRPr="00562689">
        <w:rPr>
          <w:sz w:val="22"/>
        </w:rPr>
        <w:t>microscopic</w:t>
      </w:r>
      <w:proofErr w:type="spellEnd"/>
      <w:r w:rsidRPr="00562689">
        <w:rPr>
          <w:sz w:val="22"/>
        </w:rPr>
        <w:t xml:space="preserve"> </w:t>
      </w:r>
      <w:proofErr w:type="spellStart"/>
      <w:r w:rsidRPr="00562689">
        <w:rPr>
          <w:sz w:val="22"/>
        </w:rPr>
        <w:t>examination</w:t>
      </w:r>
      <w:proofErr w:type="spellEnd"/>
      <w:r w:rsidRPr="00562689">
        <w:rPr>
          <w:sz w:val="22"/>
        </w:rPr>
        <w:t xml:space="preserve"> of </w:t>
      </w:r>
      <w:proofErr w:type="spellStart"/>
      <w:r w:rsidRPr="00562689">
        <w:rPr>
          <w:sz w:val="22"/>
        </w:rPr>
        <w:t>skin</w:t>
      </w:r>
      <w:proofErr w:type="spellEnd"/>
      <w:r w:rsidRPr="00562689">
        <w:rPr>
          <w:sz w:val="22"/>
        </w:rPr>
        <w:t xml:space="preserve"> </w:t>
      </w:r>
      <w:proofErr w:type="spellStart"/>
      <w:r w:rsidRPr="00562689">
        <w:rPr>
          <w:sz w:val="22"/>
        </w:rPr>
        <w:t>lesion</w:t>
      </w:r>
      <w:proofErr w:type="spellEnd"/>
      <w:r w:rsidRPr="00562689">
        <w:rPr>
          <w:sz w:val="22"/>
        </w:rPr>
        <w:t xml:space="preserve"> </w:t>
      </w:r>
      <w:proofErr w:type="spellStart"/>
      <w:r w:rsidRPr="00562689">
        <w:rPr>
          <w:sz w:val="22"/>
        </w:rPr>
        <w:t>sample</w:t>
      </w:r>
      <w:proofErr w:type="spellEnd"/>
      <w:r w:rsidRPr="00562689">
        <w:rPr>
          <w:sz w:val="22"/>
        </w:rPr>
        <w:t xml:space="preserve">. </w:t>
      </w:r>
    </w:p>
    <w:p w:rsidR="00375061" w:rsidRDefault="00375061" w:rsidP="00375061">
      <w:pPr>
        <w:ind w:left="0" w:firstLine="0"/>
        <w:rPr>
          <w:b/>
          <w:bCs/>
          <w:sz w:val="22"/>
          <w:lang w:val="en-US"/>
        </w:rPr>
      </w:pPr>
    </w:p>
    <w:p w:rsidR="00375061" w:rsidRPr="002C75B8" w:rsidRDefault="00375061" w:rsidP="00375061">
      <w:pPr>
        <w:ind w:left="0" w:firstLine="0"/>
        <w:rPr>
          <w:b/>
          <w:bCs/>
          <w:sz w:val="22"/>
          <w:lang w:val="en-US"/>
        </w:rPr>
      </w:pPr>
      <w:r w:rsidRPr="002C75B8">
        <w:rPr>
          <w:b/>
          <w:bCs/>
          <w:sz w:val="22"/>
          <w:lang w:val="en-US"/>
        </w:rPr>
        <w:t>Treatment</w:t>
      </w:r>
    </w:p>
    <w:p w:rsidR="00375061" w:rsidRPr="00562689" w:rsidRDefault="00375061" w:rsidP="00375061">
      <w:pPr>
        <w:ind w:left="0" w:firstLine="0"/>
        <w:rPr>
          <w:bCs/>
          <w:sz w:val="22"/>
          <w:lang w:val="en-US"/>
        </w:rPr>
      </w:pPr>
      <w:r w:rsidRPr="00562689">
        <w:rPr>
          <w:sz w:val="22"/>
          <w:lang w:val="en-US"/>
        </w:rPr>
        <w:t>VL</w:t>
      </w:r>
      <w:r w:rsidRPr="00562689">
        <w:rPr>
          <w:bCs/>
          <w:sz w:val="22"/>
          <w:lang w:val="en-US"/>
        </w:rPr>
        <w:t xml:space="preserve">: antimonials, 20 mg </w:t>
      </w:r>
      <w:proofErr w:type="spellStart"/>
      <w:r w:rsidRPr="00562689">
        <w:rPr>
          <w:bCs/>
          <w:sz w:val="22"/>
          <w:lang w:val="en-US"/>
        </w:rPr>
        <w:t>Sb</w:t>
      </w:r>
      <w:r w:rsidRPr="00562689">
        <w:rPr>
          <w:bCs/>
          <w:sz w:val="22"/>
          <w:vertAlign w:val="superscript"/>
          <w:lang w:val="en-US"/>
        </w:rPr>
        <w:t>v</w:t>
      </w:r>
      <w:proofErr w:type="spellEnd"/>
      <w:r w:rsidRPr="00562689">
        <w:rPr>
          <w:bCs/>
          <w:sz w:val="22"/>
          <w:lang w:val="en-US"/>
        </w:rPr>
        <w:t xml:space="preserve">/kg/day for 30 days. Cure rate is 100%. </w:t>
      </w:r>
    </w:p>
    <w:p w:rsidR="00375061" w:rsidRPr="002C75B8" w:rsidRDefault="00375061" w:rsidP="00375061">
      <w:pPr>
        <w:ind w:left="0" w:firstLine="0"/>
        <w:rPr>
          <w:bCs/>
          <w:sz w:val="22"/>
          <w:lang w:val="en-US"/>
        </w:rPr>
      </w:pPr>
      <w:r w:rsidRPr="00562689">
        <w:rPr>
          <w:sz w:val="22"/>
          <w:lang w:val="en-US"/>
        </w:rPr>
        <w:t>CL</w:t>
      </w:r>
      <w:r w:rsidRPr="00562689">
        <w:rPr>
          <w:bCs/>
          <w:sz w:val="22"/>
          <w:lang w:val="en-US"/>
        </w:rPr>
        <w:t>: antimonials</w:t>
      </w:r>
      <w:r w:rsidRPr="002C75B8">
        <w:rPr>
          <w:bCs/>
          <w:sz w:val="22"/>
          <w:lang w:val="en-US"/>
        </w:rPr>
        <w:t>, intralesional or systemic. Cure rate is 100%.</w:t>
      </w:r>
    </w:p>
    <w:p w:rsidR="00375061" w:rsidRDefault="00375061" w:rsidP="00375061">
      <w:pPr>
        <w:ind w:left="0" w:firstLine="0"/>
        <w:rPr>
          <w:b/>
          <w:bCs/>
          <w:sz w:val="22"/>
          <w:lang w:val="en-US"/>
        </w:rPr>
      </w:pPr>
    </w:p>
    <w:p w:rsidR="00375061" w:rsidRPr="002C75B8" w:rsidRDefault="00375061" w:rsidP="00375061">
      <w:pPr>
        <w:ind w:left="0" w:firstLine="0"/>
        <w:rPr>
          <w:b/>
          <w:bCs/>
          <w:sz w:val="22"/>
          <w:lang w:val="en-US"/>
        </w:rPr>
      </w:pPr>
    </w:p>
    <w:p w:rsidR="00375061" w:rsidRDefault="00375061" w:rsidP="00375061">
      <w:pPr>
        <w:ind w:left="0" w:firstLine="0"/>
        <w:rPr>
          <w:b/>
          <w:bCs/>
          <w:sz w:val="22"/>
          <w:lang w:val="en-US"/>
        </w:rPr>
      </w:pPr>
      <w:r w:rsidRPr="002C75B8">
        <w:rPr>
          <w:b/>
          <w:bCs/>
          <w:sz w:val="22"/>
          <w:lang w:val="en-US"/>
        </w:rPr>
        <w:t xml:space="preserve">ACCESS TO CARE </w:t>
      </w:r>
    </w:p>
    <w:p w:rsidR="00375061" w:rsidRPr="002C75B8" w:rsidRDefault="00375061" w:rsidP="00375061">
      <w:pPr>
        <w:ind w:left="0" w:firstLine="0"/>
        <w:rPr>
          <w:sz w:val="22"/>
          <w:lang w:val="en-US"/>
        </w:rPr>
      </w:pPr>
    </w:p>
    <w:p w:rsidR="00375061" w:rsidRPr="002C75B8" w:rsidRDefault="00375061" w:rsidP="00375061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 xml:space="preserve">Medical care is officially provided for free in </w:t>
      </w:r>
      <w:smartTag w:uri="urn:schemas-microsoft-com:office:smarttags" w:element="place">
        <w:smartTag w:uri="urn:schemas-microsoft-com:office:smarttags" w:element="country-region">
          <w:r w:rsidRPr="002C75B8">
            <w:rPr>
              <w:sz w:val="22"/>
              <w:lang w:val="en-US"/>
            </w:rPr>
            <w:t>Oman</w:t>
          </w:r>
        </w:smartTag>
      </w:smartTag>
      <w:r w:rsidRPr="002C75B8">
        <w:rPr>
          <w:sz w:val="22"/>
          <w:lang w:val="en-US"/>
        </w:rPr>
        <w:t xml:space="preserve">, which includes care for leishmaniasis. Treatment by antimonials (Pentostam, GSK) is available in all referral hospitals. All patients are thought to have access to care. </w:t>
      </w:r>
    </w:p>
    <w:p w:rsidR="00375061" w:rsidRDefault="00375061" w:rsidP="00375061">
      <w:pPr>
        <w:ind w:left="0" w:firstLine="0"/>
        <w:rPr>
          <w:color w:val="FF0000"/>
          <w:sz w:val="22"/>
          <w:lang w:val="en-US"/>
        </w:rPr>
      </w:pPr>
    </w:p>
    <w:p w:rsidR="00375061" w:rsidRDefault="00375061" w:rsidP="00375061">
      <w:pPr>
        <w:ind w:left="0" w:firstLine="0"/>
        <w:rPr>
          <w:color w:val="FF0000"/>
          <w:sz w:val="22"/>
          <w:lang w:val="en-US"/>
        </w:rPr>
      </w:pPr>
    </w:p>
    <w:p w:rsidR="00375061" w:rsidRDefault="00375061" w:rsidP="00375061">
      <w:pPr>
        <w:ind w:left="0" w:firstLine="0"/>
        <w:rPr>
          <w:sz w:val="22"/>
          <w:lang w:val="en-US"/>
        </w:rPr>
      </w:pPr>
      <w:r w:rsidRPr="002C75B8">
        <w:rPr>
          <w:b/>
          <w:sz w:val="22"/>
          <w:lang w:val="en-US"/>
        </w:rPr>
        <w:t>ACCESS TO DRUGS</w:t>
      </w:r>
    </w:p>
    <w:p w:rsidR="00375061" w:rsidRPr="002C75B8" w:rsidRDefault="00375061" w:rsidP="00375061">
      <w:pPr>
        <w:ind w:left="0" w:firstLine="0"/>
        <w:rPr>
          <w:sz w:val="22"/>
          <w:lang w:val="en-US"/>
        </w:rPr>
      </w:pPr>
    </w:p>
    <w:p w:rsidR="00375061" w:rsidRPr="002C75B8" w:rsidRDefault="00375061" w:rsidP="00375061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 xml:space="preserve">Sodium stibogluconate (Pentostam) is registered and included in the National Essential Drug List for leishmaniasis. Pentostam (GSK) is the only </w:t>
      </w:r>
      <w:proofErr w:type="spellStart"/>
      <w:r w:rsidRPr="002C75B8">
        <w:rPr>
          <w:sz w:val="22"/>
          <w:lang w:val="en-US"/>
        </w:rPr>
        <w:t>antimonial</w:t>
      </w:r>
      <w:proofErr w:type="spellEnd"/>
      <w:r w:rsidRPr="002C75B8">
        <w:rPr>
          <w:sz w:val="22"/>
          <w:lang w:val="en-US"/>
        </w:rPr>
        <w:t xml:space="preserve"> registered in </w:t>
      </w:r>
      <w:smartTag w:uri="urn:schemas-microsoft-com:office:smarttags" w:element="place">
        <w:smartTag w:uri="urn:schemas-microsoft-com:office:smarttags" w:element="country-region">
          <w:r w:rsidRPr="002C75B8">
            <w:rPr>
              <w:sz w:val="22"/>
              <w:lang w:val="en-US"/>
            </w:rPr>
            <w:t>Oman</w:t>
          </w:r>
        </w:smartTag>
      </w:smartTag>
      <w:r w:rsidRPr="002C75B8">
        <w:rPr>
          <w:sz w:val="22"/>
          <w:lang w:val="en-US"/>
        </w:rPr>
        <w:t xml:space="preserve">. </w:t>
      </w:r>
    </w:p>
    <w:p w:rsidR="00375061" w:rsidRDefault="00375061" w:rsidP="00375061">
      <w:pPr>
        <w:ind w:left="0" w:firstLine="0"/>
        <w:rPr>
          <w:b/>
          <w:sz w:val="22"/>
          <w:lang w:val="en-US"/>
        </w:rPr>
      </w:pPr>
    </w:p>
    <w:p w:rsidR="00375061" w:rsidRPr="002C75B8" w:rsidRDefault="00375061" w:rsidP="00375061">
      <w:pPr>
        <w:ind w:left="0" w:firstLine="0"/>
        <w:rPr>
          <w:b/>
          <w:sz w:val="22"/>
          <w:lang w:val="en-US"/>
        </w:rPr>
      </w:pPr>
    </w:p>
    <w:p w:rsidR="00375061" w:rsidRDefault="00375061" w:rsidP="00375061">
      <w:pPr>
        <w:ind w:left="0" w:firstLine="0"/>
        <w:rPr>
          <w:b/>
          <w:sz w:val="22"/>
          <w:lang w:val="en-US"/>
        </w:rPr>
      </w:pPr>
      <w:r w:rsidRPr="002C75B8">
        <w:rPr>
          <w:b/>
          <w:sz w:val="22"/>
          <w:lang w:val="en-US"/>
        </w:rPr>
        <w:lastRenderedPageBreak/>
        <w:t>SOURCES OF INFORMATION</w:t>
      </w:r>
    </w:p>
    <w:p w:rsidR="00375061" w:rsidRPr="002C75B8" w:rsidRDefault="00375061" w:rsidP="00375061">
      <w:pPr>
        <w:ind w:left="0" w:firstLine="0"/>
        <w:rPr>
          <w:b/>
          <w:sz w:val="22"/>
          <w:u w:val="single"/>
          <w:lang w:val="en-US"/>
        </w:rPr>
      </w:pPr>
    </w:p>
    <w:p w:rsidR="00375061" w:rsidRDefault="00375061" w:rsidP="00375061">
      <w:pPr>
        <w:numPr>
          <w:ilvl w:val="0"/>
          <w:numId w:val="5"/>
        </w:numPr>
        <w:rPr>
          <w:sz w:val="22"/>
          <w:lang w:val="en-US"/>
        </w:rPr>
      </w:pPr>
      <w:r w:rsidRPr="002C75B8">
        <w:rPr>
          <w:sz w:val="22"/>
          <w:lang w:val="en-US"/>
        </w:rPr>
        <w:t xml:space="preserve">Dr </w:t>
      </w:r>
      <w:proofErr w:type="spellStart"/>
      <w:r w:rsidRPr="002C75B8">
        <w:rPr>
          <w:sz w:val="22"/>
          <w:lang w:val="en-US"/>
        </w:rPr>
        <w:t>Idris</w:t>
      </w:r>
      <w:proofErr w:type="spellEnd"/>
      <w:r w:rsidRPr="002C75B8">
        <w:rPr>
          <w:sz w:val="22"/>
          <w:lang w:val="en-US"/>
        </w:rPr>
        <w:t xml:space="preserve"> Al-</w:t>
      </w:r>
      <w:proofErr w:type="spellStart"/>
      <w:r w:rsidRPr="002C75B8">
        <w:rPr>
          <w:sz w:val="22"/>
          <w:lang w:val="en-US"/>
        </w:rPr>
        <w:t>Abaidani</w:t>
      </w:r>
      <w:proofErr w:type="spellEnd"/>
      <w:r w:rsidRPr="002C75B8">
        <w:rPr>
          <w:sz w:val="22"/>
          <w:lang w:val="en-US"/>
        </w:rPr>
        <w:t>, Department of Communicable Disease Surveillance &amp; Control</w:t>
      </w:r>
      <w:r>
        <w:rPr>
          <w:sz w:val="22"/>
          <w:lang w:val="en-US"/>
        </w:rPr>
        <w:t xml:space="preserve"> </w:t>
      </w:r>
      <w:r w:rsidRPr="002C75B8">
        <w:rPr>
          <w:sz w:val="22"/>
          <w:lang w:val="en-US"/>
        </w:rPr>
        <w:t xml:space="preserve">Leishmaniasis in </w:t>
      </w:r>
      <w:smartTag w:uri="urn:schemas-microsoft-com:office:smarttags" w:element="place">
        <w:smartTag w:uri="urn:schemas-microsoft-com:office:smarttags" w:element="country-region">
          <w:r w:rsidRPr="002C75B8">
            <w:rPr>
              <w:sz w:val="22"/>
              <w:lang w:val="en-US"/>
            </w:rPr>
            <w:t>Oman</w:t>
          </w:r>
        </w:smartTag>
      </w:smartTag>
      <w:r w:rsidRPr="002C75B8">
        <w:rPr>
          <w:sz w:val="22"/>
          <w:lang w:val="en-US"/>
        </w:rPr>
        <w:t xml:space="preserve">, 2009. Directorate General of Health Affairs, Ministry of </w:t>
      </w:r>
      <w:smartTag w:uri="urn:schemas-microsoft-com:office:smarttags" w:element="place">
        <w:smartTag w:uri="urn:schemas-microsoft-com:office:smarttags" w:element="City">
          <w:r w:rsidRPr="002C75B8">
            <w:rPr>
              <w:sz w:val="22"/>
              <w:lang w:val="en-US"/>
            </w:rPr>
            <w:t>Health</w:t>
          </w:r>
        </w:smartTag>
        <w:r w:rsidRPr="002C75B8">
          <w:rPr>
            <w:sz w:val="22"/>
            <w:lang w:val="en-US"/>
          </w:rPr>
          <w:t xml:space="preserve">, </w:t>
        </w:r>
        <w:smartTag w:uri="urn:schemas-microsoft-com:office:smarttags" w:element="country-region">
          <w:r w:rsidRPr="002C75B8">
            <w:rPr>
              <w:sz w:val="22"/>
              <w:lang w:val="en-US"/>
            </w:rPr>
            <w:t>Oman</w:t>
          </w:r>
        </w:smartTag>
      </w:smartTag>
      <w:r>
        <w:rPr>
          <w:sz w:val="22"/>
          <w:lang w:val="en-US"/>
        </w:rPr>
        <w:t>.</w:t>
      </w:r>
    </w:p>
    <w:p w:rsidR="00375061" w:rsidRPr="002C75B8" w:rsidRDefault="00375061" w:rsidP="00375061">
      <w:pPr>
        <w:ind w:left="0" w:firstLine="0"/>
        <w:rPr>
          <w:sz w:val="22"/>
          <w:lang w:val="en-US"/>
        </w:rPr>
      </w:pPr>
    </w:p>
    <w:p w:rsidR="00375061" w:rsidRDefault="00375061" w:rsidP="00375061">
      <w:pPr>
        <w:ind w:left="0" w:firstLine="0"/>
        <w:rPr>
          <w:color w:val="000000"/>
          <w:sz w:val="22"/>
          <w:lang w:val="en-GB"/>
        </w:rPr>
      </w:pPr>
    </w:p>
    <w:p w:rsidR="00375061" w:rsidRDefault="00375061" w:rsidP="00375061">
      <w:pPr>
        <w:ind w:left="0" w:firstLine="0"/>
        <w:rPr>
          <w:color w:val="000000"/>
          <w:sz w:val="22"/>
          <w:lang w:val="en-GB"/>
        </w:rPr>
      </w:pPr>
    </w:p>
    <w:p w:rsidR="00375061" w:rsidRPr="005432FB" w:rsidRDefault="00375061" w:rsidP="00375061">
      <w:pPr>
        <w:pStyle w:val="title1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432FB">
        <w:rPr>
          <w:rFonts w:ascii="Arial" w:hAnsi="Arial" w:cs="Arial"/>
          <w:color w:val="000000"/>
          <w:sz w:val="22"/>
          <w:szCs w:val="22"/>
        </w:rPr>
        <w:t xml:space="preserve">1. </w:t>
      </w:r>
      <w:proofErr w:type="spellStart"/>
      <w:r w:rsidRPr="005432FB">
        <w:rPr>
          <w:rFonts w:ascii="Arial" w:hAnsi="Arial" w:cs="Arial"/>
          <w:color w:val="000000"/>
          <w:sz w:val="22"/>
          <w:szCs w:val="22"/>
        </w:rPr>
        <w:t>Elnour</w:t>
      </w:r>
      <w:proofErr w:type="spellEnd"/>
      <w:r w:rsidRPr="005432FB">
        <w:rPr>
          <w:rFonts w:ascii="Arial" w:hAnsi="Arial" w:cs="Arial"/>
          <w:color w:val="000000"/>
          <w:sz w:val="22"/>
          <w:szCs w:val="22"/>
        </w:rPr>
        <w:t xml:space="preserve"> IB, </w:t>
      </w:r>
      <w:proofErr w:type="spellStart"/>
      <w:r w:rsidRPr="005432FB">
        <w:rPr>
          <w:rFonts w:ascii="Arial" w:hAnsi="Arial" w:cs="Arial"/>
          <w:color w:val="000000"/>
          <w:sz w:val="22"/>
          <w:szCs w:val="22"/>
        </w:rPr>
        <w:t>Akinbami</w:t>
      </w:r>
      <w:proofErr w:type="spellEnd"/>
      <w:r w:rsidRPr="005432FB">
        <w:rPr>
          <w:rFonts w:ascii="Arial" w:hAnsi="Arial" w:cs="Arial"/>
          <w:color w:val="000000"/>
          <w:sz w:val="22"/>
          <w:szCs w:val="22"/>
        </w:rPr>
        <w:t xml:space="preserve"> FO, </w:t>
      </w:r>
      <w:proofErr w:type="spellStart"/>
      <w:r w:rsidRPr="005432FB">
        <w:rPr>
          <w:rFonts w:ascii="Arial" w:hAnsi="Arial" w:cs="Arial"/>
          <w:color w:val="000000"/>
          <w:sz w:val="22"/>
          <w:szCs w:val="22"/>
        </w:rPr>
        <w:t>Shakeel</w:t>
      </w:r>
      <w:proofErr w:type="spellEnd"/>
      <w:r w:rsidRPr="005432FB">
        <w:rPr>
          <w:rFonts w:ascii="Arial" w:hAnsi="Arial" w:cs="Arial"/>
          <w:color w:val="000000"/>
          <w:sz w:val="22"/>
          <w:szCs w:val="22"/>
        </w:rPr>
        <w:t xml:space="preserve"> A, </w:t>
      </w:r>
      <w:proofErr w:type="spellStart"/>
      <w:r w:rsidRPr="005432FB">
        <w:rPr>
          <w:rFonts w:ascii="Arial" w:hAnsi="Arial" w:cs="Arial"/>
          <w:color w:val="000000"/>
          <w:sz w:val="22"/>
          <w:szCs w:val="22"/>
        </w:rPr>
        <w:t>Venugopalan</w:t>
      </w:r>
      <w:proofErr w:type="spellEnd"/>
      <w:r w:rsidRPr="005432FB">
        <w:rPr>
          <w:rFonts w:ascii="Arial" w:hAnsi="Arial" w:cs="Arial"/>
          <w:color w:val="000000"/>
          <w:sz w:val="22"/>
          <w:szCs w:val="22"/>
        </w:rPr>
        <w:t xml:space="preserve"> P</w:t>
      </w:r>
      <w:r>
        <w:rPr>
          <w:rFonts w:ascii="Arial" w:hAnsi="Arial" w:cs="Arial"/>
          <w:color w:val="000000"/>
          <w:sz w:val="22"/>
          <w:szCs w:val="22"/>
        </w:rPr>
        <w:t xml:space="preserve"> (2001)</w:t>
      </w:r>
      <w:r w:rsidRPr="005432FB">
        <w:rPr>
          <w:rFonts w:ascii="Arial" w:hAnsi="Arial" w:cs="Arial"/>
          <w:color w:val="000000"/>
          <w:sz w:val="22"/>
          <w:szCs w:val="22"/>
        </w:rPr>
        <w:t xml:space="preserve">. </w:t>
      </w:r>
      <w:hyperlink r:id="rId10" w:history="1">
        <w:r w:rsidRPr="005432FB">
          <w:rPr>
            <w:rFonts w:ascii="Arial" w:hAnsi="Arial" w:cs="Arial"/>
            <w:color w:val="000000"/>
            <w:sz w:val="22"/>
            <w:szCs w:val="22"/>
          </w:rPr>
          <w:t>Visceral leishmaniasis in Omani children: a review.</w:t>
        </w:r>
      </w:hyperlink>
      <w:r w:rsidRPr="005432FB">
        <w:rPr>
          <w:rFonts w:ascii="Arial" w:hAnsi="Arial" w:cs="Arial"/>
          <w:color w:val="000000"/>
          <w:sz w:val="22"/>
          <w:szCs w:val="22"/>
        </w:rPr>
        <w:t xml:space="preserve"> Ann </w:t>
      </w:r>
      <w:proofErr w:type="spellStart"/>
      <w:r w:rsidRPr="005432FB">
        <w:rPr>
          <w:rFonts w:ascii="Arial" w:hAnsi="Arial" w:cs="Arial"/>
          <w:color w:val="000000"/>
          <w:sz w:val="22"/>
          <w:szCs w:val="22"/>
        </w:rPr>
        <w:t>Trop</w:t>
      </w:r>
      <w:proofErr w:type="spellEnd"/>
      <w:r w:rsidRPr="005432F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432FB">
        <w:rPr>
          <w:rFonts w:ascii="Arial" w:hAnsi="Arial" w:cs="Arial"/>
          <w:color w:val="000000"/>
          <w:sz w:val="22"/>
          <w:szCs w:val="22"/>
        </w:rPr>
        <w:t>Paediatr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432FB">
        <w:rPr>
          <w:rFonts w:ascii="Arial" w:hAnsi="Arial" w:cs="Arial"/>
          <w:color w:val="000000"/>
          <w:sz w:val="22"/>
          <w:szCs w:val="22"/>
        </w:rPr>
        <w:t>21(2):159-63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375061" w:rsidRPr="005432FB" w:rsidRDefault="00375061" w:rsidP="00375061">
      <w:pPr>
        <w:pStyle w:val="title1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375061" w:rsidRPr="005432FB" w:rsidRDefault="00375061" w:rsidP="00375061">
      <w:pPr>
        <w:shd w:val="clear" w:color="auto" w:fill="FFFFFF"/>
        <w:ind w:left="0" w:firstLine="0"/>
        <w:rPr>
          <w:rFonts w:eastAsia="SimSun"/>
          <w:color w:val="000000"/>
          <w:sz w:val="22"/>
          <w:lang w:val="en-GB" w:eastAsia="zh-CN"/>
        </w:rPr>
      </w:pPr>
      <w:r w:rsidRPr="008666E4">
        <w:rPr>
          <w:rFonts w:eastAsia="SimSun"/>
          <w:color w:val="000000"/>
          <w:sz w:val="22"/>
          <w:lang w:val="en-GB" w:eastAsia="zh-CN"/>
        </w:rPr>
        <w:t xml:space="preserve">2. </w:t>
      </w:r>
      <w:proofErr w:type="spellStart"/>
      <w:r w:rsidRPr="008666E4">
        <w:rPr>
          <w:rFonts w:eastAsia="SimSun"/>
          <w:color w:val="000000"/>
          <w:sz w:val="22"/>
          <w:lang w:val="en-GB" w:eastAsia="zh-CN"/>
        </w:rPr>
        <w:t>Scrimgeour</w:t>
      </w:r>
      <w:proofErr w:type="spellEnd"/>
      <w:r w:rsidRPr="008666E4">
        <w:rPr>
          <w:rFonts w:eastAsia="SimSun"/>
          <w:color w:val="000000"/>
          <w:sz w:val="22"/>
          <w:lang w:val="en-GB" w:eastAsia="zh-CN"/>
        </w:rPr>
        <w:t xml:space="preserve"> EM, Mehta FR, Suleiman AJ</w:t>
      </w:r>
      <w:r>
        <w:rPr>
          <w:rFonts w:eastAsia="SimSun"/>
          <w:color w:val="000000"/>
          <w:sz w:val="22"/>
          <w:lang w:val="en-GB" w:eastAsia="zh-CN"/>
        </w:rPr>
        <w:t xml:space="preserve"> (1991)</w:t>
      </w:r>
      <w:r w:rsidRPr="008666E4">
        <w:rPr>
          <w:rFonts w:eastAsia="SimSun"/>
          <w:color w:val="000000"/>
          <w:sz w:val="22"/>
          <w:lang w:val="en-GB" w:eastAsia="zh-CN"/>
        </w:rPr>
        <w:t xml:space="preserve">. </w:t>
      </w:r>
      <w:hyperlink r:id="rId11" w:history="1">
        <w:r w:rsidRPr="005432FB">
          <w:rPr>
            <w:rFonts w:eastAsia="SimSun"/>
            <w:color w:val="000000"/>
            <w:sz w:val="22"/>
            <w:lang w:val="en-GB" w:eastAsia="zh-CN"/>
          </w:rPr>
          <w:t>Infectious and tropical diseases in Oman: a review.</w:t>
        </w:r>
      </w:hyperlink>
      <w:r w:rsidRPr="005432FB">
        <w:rPr>
          <w:rFonts w:eastAsia="SimSun"/>
          <w:color w:val="000000"/>
          <w:sz w:val="22"/>
          <w:lang w:val="en-GB" w:eastAsia="zh-CN"/>
        </w:rPr>
        <w:t xml:space="preserve"> Am J </w:t>
      </w:r>
      <w:proofErr w:type="spellStart"/>
      <w:r w:rsidRPr="005432FB">
        <w:rPr>
          <w:rFonts w:eastAsia="SimSun"/>
          <w:color w:val="000000"/>
          <w:sz w:val="22"/>
          <w:lang w:val="en-GB" w:eastAsia="zh-CN"/>
        </w:rPr>
        <w:t>Trop</w:t>
      </w:r>
      <w:proofErr w:type="spellEnd"/>
      <w:r w:rsidRPr="005432FB">
        <w:rPr>
          <w:rFonts w:eastAsia="SimSun"/>
          <w:color w:val="000000"/>
          <w:sz w:val="22"/>
          <w:lang w:val="en-GB" w:eastAsia="zh-CN"/>
        </w:rPr>
        <w:t xml:space="preserve"> Med </w:t>
      </w:r>
      <w:proofErr w:type="spellStart"/>
      <w:r w:rsidRPr="005432FB">
        <w:rPr>
          <w:rFonts w:eastAsia="SimSun"/>
          <w:color w:val="000000"/>
          <w:sz w:val="22"/>
          <w:lang w:val="en-GB" w:eastAsia="zh-CN"/>
        </w:rPr>
        <w:t>Hyg</w:t>
      </w:r>
      <w:proofErr w:type="spellEnd"/>
      <w:r>
        <w:rPr>
          <w:rFonts w:eastAsia="SimSun"/>
          <w:color w:val="000000"/>
          <w:sz w:val="22"/>
          <w:lang w:val="en-GB" w:eastAsia="zh-CN"/>
        </w:rPr>
        <w:t xml:space="preserve"> </w:t>
      </w:r>
      <w:r w:rsidRPr="005432FB">
        <w:rPr>
          <w:rFonts w:eastAsia="SimSun"/>
          <w:color w:val="000000"/>
          <w:sz w:val="22"/>
          <w:lang w:val="en-GB" w:eastAsia="zh-CN"/>
        </w:rPr>
        <w:t>61(6):920-</w:t>
      </w:r>
      <w:proofErr w:type="gramStart"/>
      <w:r w:rsidRPr="005432FB">
        <w:rPr>
          <w:rFonts w:eastAsia="SimSun"/>
          <w:color w:val="000000"/>
          <w:sz w:val="22"/>
          <w:lang w:val="en-GB" w:eastAsia="zh-CN"/>
        </w:rPr>
        <w:t>5</w:t>
      </w:r>
      <w:r>
        <w:rPr>
          <w:rFonts w:eastAsia="SimSun"/>
          <w:color w:val="000000"/>
          <w:sz w:val="22"/>
          <w:lang w:val="en-GB" w:eastAsia="zh-CN"/>
        </w:rPr>
        <w:t>.</w:t>
      </w:r>
      <w:proofErr w:type="gramEnd"/>
    </w:p>
    <w:p w:rsidR="00375061" w:rsidRPr="005432FB" w:rsidRDefault="00375061" w:rsidP="00375061">
      <w:pPr>
        <w:shd w:val="clear" w:color="auto" w:fill="FFFFFF"/>
        <w:ind w:left="0" w:firstLine="0"/>
        <w:rPr>
          <w:rFonts w:eastAsia="SimSun"/>
          <w:color w:val="000000"/>
          <w:sz w:val="22"/>
          <w:lang w:val="en-GB" w:eastAsia="zh-CN"/>
        </w:rPr>
      </w:pPr>
    </w:p>
    <w:p w:rsidR="00375061" w:rsidRPr="008666E4" w:rsidRDefault="00375061" w:rsidP="00375061">
      <w:pPr>
        <w:shd w:val="clear" w:color="auto" w:fill="FFFFFF"/>
        <w:ind w:left="0" w:firstLine="0"/>
        <w:rPr>
          <w:rFonts w:eastAsia="SimSun"/>
          <w:color w:val="000000"/>
          <w:sz w:val="22"/>
          <w:lang w:val="en-GB" w:eastAsia="zh-CN"/>
        </w:rPr>
      </w:pPr>
      <w:r>
        <w:rPr>
          <w:rFonts w:eastAsia="SimSun"/>
          <w:color w:val="000000"/>
          <w:sz w:val="22"/>
          <w:lang w:val="en-GB" w:eastAsia="zh-CN"/>
        </w:rPr>
        <w:t xml:space="preserve">3. </w:t>
      </w:r>
      <w:proofErr w:type="spellStart"/>
      <w:r w:rsidRPr="005432FB">
        <w:rPr>
          <w:rFonts w:eastAsia="SimSun"/>
          <w:color w:val="000000"/>
          <w:sz w:val="22"/>
          <w:lang w:val="en-GB" w:eastAsia="zh-CN"/>
        </w:rPr>
        <w:t>Scrimgeour</w:t>
      </w:r>
      <w:proofErr w:type="spellEnd"/>
      <w:r w:rsidRPr="005432FB">
        <w:rPr>
          <w:rFonts w:eastAsia="SimSun"/>
          <w:color w:val="000000"/>
          <w:sz w:val="22"/>
          <w:lang w:val="en-GB" w:eastAsia="zh-CN"/>
        </w:rPr>
        <w:t xml:space="preserve"> EM, Windsor JJ, </w:t>
      </w:r>
      <w:proofErr w:type="spellStart"/>
      <w:r w:rsidRPr="005432FB">
        <w:rPr>
          <w:rFonts w:eastAsia="SimSun"/>
          <w:color w:val="000000"/>
          <w:sz w:val="22"/>
          <w:lang w:val="en-GB" w:eastAsia="zh-CN"/>
        </w:rPr>
        <w:t>Shetty</w:t>
      </w:r>
      <w:proofErr w:type="spellEnd"/>
      <w:r w:rsidRPr="005432FB">
        <w:rPr>
          <w:rFonts w:eastAsia="SimSun"/>
          <w:color w:val="000000"/>
          <w:sz w:val="22"/>
          <w:lang w:val="en-GB" w:eastAsia="zh-CN"/>
        </w:rPr>
        <w:t xml:space="preserve"> MK, </w:t>
      </w:r>
      <w:proofErr w:type="spellStart"/>
      <w:r w:rsidRPr="005432FB">
        <w:rPr>
          <w:rFonts w:eastAsia="SimSun"/>
          <w:color w:val="000000"/>
          <w:sz w:val="22"/>
          <w:lang w:val="en-GB" w:eastAsia="zh-CN"/>
        </w:rPr>
        <w:t>Banodkar</w:t>
      </w:r>
      <w:proofErr w:type="spellEnd"/>
      <w:r w:rsidRPr="005432FB">
        <w:rPr>
          <w:rFonts w:eastAsia="SimSun"/>
          <w:color w:val="000000"/>
          <w:sz w:val="22"/>
          <w:lang w:val="en-GB" w:eastAsia="zh-CN"/>
        </w:rPr>
        <w:t xml:space="preserve"> DD, </w:t>
      </w:r>
      <w:proofErr w:type="spellStart"/>
      <w:r w:rsidRPr="005432FB">
        <w:rPr>
          <w:rFonts w:eastAsia="SimSun"/>
          <w:color w:val="000000"/>
          <w:sz w:val="22"/>
          <w:lang w:val="en-GB" w:eastAsia="zh-CN"/>
        </w:rPr>
        <w:t>Lambson</w:t>
      </w:r>
      <w:proofErr w:type="spellEnd"/>
      <w:r w:rsidRPr="005432FB">
        <w:rPr>
          <w:rFonts w:eastAsia="SimSun"/>
          <w:color w:val="000000"/>
          <w:sz w:val="22"/>
          <w:lang w:val="en-GB" w:eastAsia="zh-CN"/>
        </w:rPr>
        <w:t xml:space="preserve"> B, </w:t>
      </w:r>
      <w:r>
        <w:rPr>
          <w:rFonts w:eastAsia="SimSun"/>
          <w:color w:val="000000"/>
          <w:sz w:val="22"/>
          <w:lang w:val="en-GB" w:eastAsia="zh-CN"/>
        </w:rPr>
        <w:t>et al (1999)</w:t>
      </w:r>
      <w:r w:rsidRPr="005432FB">
        <w:rPr>
          <w:rFonts w:eastAsia="SimSun"/>
          <w:color w:val="000000"/>
          <w:sz w:val="22"/>
          <w:lang w:val="en-GB" w:eastAsia="zh-CN"/>
        </w:rPr>
        <w:t xml:space="preserve">. </w:t>
      </w:r>
      <w:hyperlink r:id="rId12" w:history="1">
        <w:r w:rsidRPr="005432FB">
          <w:rPr>
            <w:rFonts w:eastAsia="SimSun"/>
            <w:color w:val="000000"/>
            <w:sz w:val="22"/>
            <w:lang w:val="en-GB" w:eastAsia="zh-CN"/>
          </w:rPr>
          <w:t>Leishmania tropica is a probable cause of cutaneous leishmaniasis in the Sultanate of Oman: case report in a Pakistani resident.</w:t>
        </w:r>
      </w:hyperlink>
      <w:r w:rsidRPr="005432FB">
        <w:rPr>
          <w:rFonts w:eastAsia="SimSun"/>
          <w:color w:val="000000"/>
          <w:sz w:val="22"/>
          <w:lang w:val="en-GB" w:eastAsia="zh-CN"/>
        </w:rPr>
        <w:t xml:space="preserve"> </w:t>
      </w:r>
      <w:r w:rsidRPr="008666E4">
        <w:rPr>
          <w:rFonts w:eastAsia="SimSun"/>
          <w:color w:val="000000"/>
          <w:sz w:val="22"/>
          <w:lang w:val="en-GB" w:eastAsia="zh-CN"/>
        </w:rPr>
        <w:t xml:space="preserve">Trans R Soc </w:t>
      </w:r>
      <w:proofErr w:type="spellStart"/>
      <w:r w:rsidRPr="008666E4">
        <w:rPr>
          <w:rFonts w:eastAsia="SimSun"/>
          <w:color w:val="000000"/>
          <w:sz w:val="22"/>
          <w:lang w:val="en-GB" w:eastAsia="zh-CN"/>
        </w:rPr>
        <w:t>Trop</w:t>
      </w:r>
      <w:proofErr w:type="spellEnd"/>
      <w:r w:rsidRPr="008666E4">
        <w:rPr>
          <w:rFonts w:eastAsia="SimSun"/>
          <w:color w:val="000000"/>
          <w:sz w:val="22"/>
          <w:lang w:val="en-GB" w:eastAsia="zh-CN"/>
        </w:rPr>
        <w:t xml:space="preserve"> Med </w:t>
      </w:r>
      <w:proofErr w:type="spellStart"/>
      <w:r w:rsidRPr="008666E4">
        <w:rPr>
          <w:rFonts w:eastAsia="SimSun"/>
          <w:color w:val="000000"/>
          <w:sz w:val="22"/>
          <w:lang w:val="en-GB" w:eastAsia="zh-CN"/>
        </w:rPr>
        <w:t>Hyg</w:t>
      </w:r>
      <w:proofErr w:type="spellEnd"/>
      <w:r>
        <w:rPr>
          <w:rFonts w:eastAsia="SimSun"/>
          <w:color w:val="000000"/>
          <w:sz w:val="22"/>
          <w:lang w:val="en-GB" w:eastAsia="zh-CN"/>
        </w:rPr>
        <w:t xml:space="preserve"> </w:t>
      </w:r>
      <w:r w:rsidRPr="008666E4">
        <w:rPr>
          <w:rFonts w:eastAsia="SimSun"/>
          <w:color w:val="000000"/>
          <w:sz w:val="22"/>
          <w:lang w:val="en-GB" w:eastAsia="zh-CN"/>
        </w:rPr>
        <w:t>93(3):233-4</w:t>
      </w:r>
      <w:r>
        <w:rPr>
          <w:rFonts w:eastAsia="SimSun"/>
          <w:color w:val="000000"/>
          <w:sz w:val="22"/>
          <w:lang w:val="en-GB" w:eastAsia="zh-CN"/>
        </w:rPr>
        <w:t>.</w:t>
      </w:r>
    </w:p>
    <w:p w:rsidR="00375061" w:rsidRPr="008666E4" w:rsidRDefault="00375061" w:rsidP="00375061">
      <w:pPr>
        <w:shd w:val="clear" w:color="auto" w:fill="FFFFFF"/>
        <w:ind w:left="0" w:firstLine="0"/>
        <w:rPr>
          <w:rFonts w:eastAsia="SimSun"/>
          <w:color w:val="000000"/>
          <w:sz w:val="22"/>
          <w:lang w:val="en-GB" w:eastAsia="zh-CN"/>
        </w:rPr>
      </w:pPr>
    </w:p>
    <w:p w:rsidR="00375061" w:rsidRPr="00375061" w:rsidRDefault="00375061" w:rsidP="00375061">
      <w:pPr>
        <w:shd w:val="clear" w:color="auto" w:fill="FFFFFF"/>
        <w:ind w:left="0" w:firstLine="0"/>
        <w:rPr>
          <w:color w:val="000000"/>
          <w:sz w:val="22"/>
          <w:lang w:val="en-GB"/>
        </w:rPr>
      </w:pPr>
      <w:r w:rsidRPr="00375061">
        <w:rPr>
          <w:rFonts w:eastAsia="SimSun"/>
          <w:color w:val="000000"/>
          <w:sz w:val="22"/>
          <w:lang w:val="en-GB" w:eastAsia="zh-CN"/>
        </w:rPr>
        <w:t xml:space="preserve">4. </w:t>
      </w:r>
      <w:proofErr w:type="spellStart"/>
      <w:r w:rsidRPr="00375061">
        <w:rPr>
          <w:color w:val="000000"/>
          <w:sz w:val="22"/>
          <w:lang w:val="en-GB"/>
        </w:rPr>
        <w:t>Balkhair</w:t>
      </w:r>
      <w:proofErr w:type="spellEnd"/>
      <w:r w:rsidRPr="00375061">
        <w:rPr>
          <w:color w:val="000000"/>
          <w:sz w:val="22"/>
          <w:lang w:val="en-GB"/>
        </w:rPr>
        <w:t xml:space="preserve"> A, Ben </w:t>
      </w:r>
      <w:proofErr w:type="spellStart"/>
      <w:r w:rsidRPr="00375061">
        <w:rPr>
          <w:color w:val="000000"/>
          <w:sz w:val="22"/>
          <w:lang w:val="en-GB"/>
        </w:rPr>
        <w:t>Abid</w:t>
      </w:r>
      <w:proofErr w:type="spellEnd"/>
      <w:r w:rsidRPr="00375061">
        <w:rPr>
          <w:color w:val="000000"/>
          <w:sz w:val="22"/>
          <w:lang w:val="en-GB"/>
        </w:rPr>
        <w:t xml:space="preserve"> F (2008). </w:t>
      </w:r>
      <w:hyperlink r:id="rId13" w:history="1">
        <w:r w:rsidRPr="00375061">
          <w:rPr>
            <w:rStyle w:val="Hyperlink"/>
            <w:color w:val="000000"/>
            <w:sz w:val="22"/>
            <w:u w:val="none"/>
            <w:lang w:val="en-GB"/>
          </w:rPr>
          <w:t>Gastric and cutaneous dissemination of visceral leishmaniasis in a patient with advanced HIV.</w:t>
        </w:r>
      </w:hyperlink>
      <w:r w:rsidRPr="00375061">
        <w:rPr>
          <w:color w:val="000000"/>
          <w:sz w:val="22"/>
          <w:lang w:val="en-GB"/>
        </w:rPr>
        <w:t xml:space="preserve"> </w:t>
      </w:r>
      <w:proofErr w:type="spellStart"/>
      <w:r w:rsidRPr="00375061">
        <w:rPr>
          <w:color w:val="000000"/>
          <w:sz w:val="22"/>
          <w:lang w:val="en-GB"/>
        </w:rPr>
        <w:t>Int</w:t>
      </w:r>
      <w:proofErr w:type="spellEnd"/>
      <w:r w:rsidRPr="00375061">
        <w:rPr>
          <w:color w:val="000000"/>
          <w:sz w:val="22"/>
          <w:lang w:val="en-GB"/>
        </w:rPr>
        <w:t xml:space="preserve"> J Infect </w:t>
      </w:r>
      <w:proofErr w:type="spellStart"/>
      <w:r w:rsidRPr="00375061">
        <w:rPr>
          <w:color w:val="000000"/>
          <w:sz w:val="22"/>
          <w:lang w:val="en-GB"/>
        </w:rPr>
        <w:t>Dis</w:t>
      </w:r>
      <w:proofErr w:type="spellEnd"/>
      <w:r w:rsidRPr="00375061">
        <w:rPr>
          <w:color w:val="000000"/>
          <w:sz w:val="22"/>
          <w:lang w:val="en-GB"/>
        </w:rPr>
        <w:t xml:space="preserve"> 12(1):111-3. </w:t>
      </w:r>
    </w:p>
    <w:p w:rsidR="002F7C1A" w:rsidRPr="00375061" w:rsidRDefault="002F7C1A" w:rsidP="00375061"/>
    <w:sectPr w:rsidR="002F7C1A" w:rsidRPr="00375061" w:rsidSect="002F7C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31912"/>
    <w:multiLevelType w:val="multilevel"/>
    <w:tmpl w:val="9F3EB04A"/>
    <w:lvl w:ilvl="0">
      <w:start w:val="1"/>
      <w:numFmt w:val="decimal"/>
      <w:pStyle w:val="Heading1"/>
      <w:isLgl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32"/>
        <w:szCs w:val="32"/>
        <w:u w:color="000000"/>
      </w:rPr>
    </w:lvl>
    <w:lvl w:ilvl="1">
      <w:start w:val="1"/>
      <w:numFmt w:val="decimal"/>
      <w:pStyle w:val="Heading2"/>
      <w:isLgl/>
      <w:lvlText w:val="%1.%2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8"/>
        <w:szCs w:val="28"/>
      </w:rPr>
    </w:lvl>
    <w:lvl w:ilvl="2">
      <w:start w:val="1"/>
      <w:numFmt w:val="decimal"/>
      <w:pStyle w:val="Heading3"/>
      <w:isLgl/>
      <w:lvlText w:val="%1.%2.%3."/>
      <w:lvlJc w:val="left"/>
      <w:pPr>
        <w:tabs>
          <w:tab w:val="num" w:pos="0"/>
        </w:tabs>
        <w:ind w:left="1134" w:hanging="1134"/>
      </w:pPr>
      <w:rPr>
        <w:rFonts w:ascii="Arial" w:hAnsi="Arial" w:hint="default"/>
        <w:b w:val="0"/>
        <w:i/>
        <w:color w:val="000000"/>
        <w:sz w:val="27"/>
        <w:szCs w:val="27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color w:val="000000"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1402"/>
        </w:tabs>
        <w:ind w:left="1402" w:hanging="1402"/>
      </w:pPr>
      <w:rPr>
        <w:rFonts w:ascii="Arial" w:hAnsi="Arial" w:hint="default"/>
        <w:b/>
        <w:i w:val="0"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5C72441F"/>
    <w:multiLevelType w:val="hybridMultilevel"/>
    <w:tmpl w:val="B9929AD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75061"/>
    <w:rsid w:val="000028F1"/>
    <w:rsid w:val="00010242"/>
    <w:rsid w:val="00046B72"/>
    <w:rsid w:val="00052A25"/>
    <w:rsid w:val="0005677D"/>
    <w:rsid w:val="000578BC"/>
    <w:rsid w:val="000848FF"/>
    <w:rsid w:val="000B48D7"/>
    <w:rsid w:val="000E5115"/>
    <w:rsid w:val="000F0175"/>
    <w:rsid w:val="000F1E62"/>
    <w:rsid w:val="001168B6"/>
    <w:rsid w:val="00134E9F"/>
    <w:rsid w:val="00141FD2"/>
    <w:rsid w:val="0016660D"/>
    <w:rsid w:val="00194CED"/>
    <w:rsid w:val="001B2C47"/>
    <w:rsid w:val="001E4D96"/>
    <w:rsid w:val="002000DA"/>
    <w:rsid w:val="00215613"/>
    <w:rsid w:val="00220DFD"/>
    <w:rsid w:val="0024005B"/>
    <w:rsid w:val="00245DB8"/>
    <w:rsid w:val="00252F0C"/>
    <w:rsid w:val="00270F6A"/>
    <w:rsid w:val="00272C75"/>
    <w:rsid w:val="00272E09"/>
    <w:rsid w:val="0027629F"/>
    <w:rsid w:val="00280D78"/>
    <w:rsid w:val="002C258B"/>
    <w:rsid w:val="002F4248"/>
    <w:rsid w:val="002F6463"/>
    <w:rsid w:val="002F7C1A"/>
    <w:rsid w:val="00315ECC"/>
    <w:rsid w:val="003229A6"/>
    <w:rsid w:val="003310F3"/>
    <w:rsid w:val="00333A3A"/>
    <w:rsid w:val="0034701D"/>
    <w:rsid w:val="0036003C"/>
    <w:rsid w:val="00363320"/>
    <w:rsid w:val="00374366"/>
    <w:rsid w:val="00375061"/>
    <w:rsid w:val="003A44B4"/>
    <w:rsid w:val="003B3568"/>
    <w:rsid w:val="003B73ED"/>
    <w:rsid w:val="003D1FFD"/>
    <w:rsid w:val="003E1DA2"/>
    <w:rsid w:val="003F1346"/>
    <w:rsid w:val="00412019"/>
    <w:rsid w:val="00412575"/>
    <w:rsid w:val="00420168"/>
    <w:rsid w:val="004264FD"/>
    <w:rsid w:val="00491E29"/>
    <w:rsid w:val="004A37D9"/>
    <w:rsid w:val="004A5A5B"/>
    <w:rsid w:val="004C53F0"/>
    <w:rsid w:val="004D15B3"/>
    <w:rsid w:val="005100AA"/>
    <w:rsid w:val="00570157"/>
    <w:rsid w:val="0057148C"/>
    <w:rsid w:val="005724D3"/>
    <w:rsid w:val="00581469"/>
    <w:rsid w:val="00593992"/>
    <w:rsid w:val="005C6498"/>
    <w:rsid w:val="005F2E6A"/>
    <w:rsid w:val="005F4AD0"/>
    <w:rsid w:val="0062498A"/>
    <w:rsid w:val="00626A99"/>
    <w:rsid w:val="006272A7"/>
    <w:rsid w:val="00641A14"/>
    <w:rsid w:val="00653580"/>
    <w:rsid w:val="00661504"/>
    <w:rsid w:val="00690048"/>
    <w:rsid w:val="006C198E"/>
    <w:rsid w:val="006E008C"/>
    <w:rsid w:val="006E2CDF"/>
    <w:rsid w:val="006E718B"/>
    <w:rsid w:val="0071174C"/>
    <w:rsid w:val="00740C76"/>
    <w:rsid w:val="0075377D"/>
    <w:rsid w:val="007A78DF"/>
    <w:rsid w:val="007C7FD3"/>
    <w:rsid w:val="007D3253"/>
    <w:rsid w:val="007E18CB"/>
    <w:rsid w:val="007E4A87"/>
    <w:rsid w:val="008006B5"/>
    <w:rsid w:val="008016D2"/>
    <w:rsid w:val="00832051"/>
    <w:rsid w:val="00837717"/>
    <w:rsid w:val="008403F6"/>
    <w:rsid w:val="00847BE4"/>
    <w:rsid w:val="00851DE1"/>
    <w:rsid w:val="0086504E"/>
    <w:rsid w:val="00895527"/>
    <w:rsid w:val="00896966"/>
    <w:rsid w:val="008B250E"/>
    <w:rsid w:val="008D3496"/>
    <w:rsid w:val="008F2D26"/>
    <w:rsid w:val="009511C6"/>
    <w:rsid w:val="009B22FB"/>
    <w:rsid w:val="009C14CB"/>
    <w:rsid w:val="009C200B"/>
    <w:rsid w:val="009C319F"/>
    <w:rsid w:val="009C624C"/>
    <w:rsid w:val="009D1B5E"/>
    <w:rsid w:val="009F64EB"/>
    <w:rsid w:val="009F775A"/>
    <w:rsid w:val="00A45DA3"/>
    <w:rsid w:val="00A5035E"/>
    <w:rsid w:val="00A51FC3"/>
    <w:rsid w:val="00A5411A"/>
    <w:rsid w:val="00A541A7"/>
    <w:rsid w:val="00A629D5"/>
    <w:rsid w:val="00A85111"/>
    <w:rsid w:val="00AD2F5D"/>
    <w:rsid w:val="00B15964"/>
    <w:rsid w:val="00B16204"/>
    <w:rsid w:val="00B433DC"/>
    <w:rsid w:val="00B476C3"/>
    <w:rsid w:val="00B96E52"/>
    <w:rsid w:val="00BA6E8F"/>
    <w:rsid w:val="00BB2383"/>
    <w:rsid w:val="00BE00C5"/>
    <w:rsid w:val="00C12906"/>
    <w:rsid w:val="00C1518C"/>
    <w:rsid w:val="00C236BD"/>
    <w:rsid w:val="00C244F5"/>
    <w:rsid w:val="00C264F2"/>
    <w:rsid w:val="00C47B72"/>
    <w:rsid w:val="00C7126E"/>
    <w:rsid w:val="00C75CF6"/>
    <w:rsid w:val="00C87D01"/>
    <w:rsid w:val="00C91A71"/>
    <w:rsid w:val="00CA637B"/>
    <w:rsid w:val="00CA71FE"/>
    <w:rsid w:val="00CF5DD0"/>
    <w:rsid w:val="00D05103"/>
    <w:rsid w:val="00D17D57"/>
    <w:rsid w:val="00D36E3A"/>
    <w:rsid w:val="00D5084A"/>
    <w:rsid w:val="00D513BD"/>
    <w:rsid w:val="00D541EC"/>
    <w:rsid w:val="00D6288C"/>
    <w:rsid w:val="00D83F8A"/>
    <w:rsid w:val="00D92869"/>
    <w:rsid w:val="00D95254"/>
    <w:rsid w:val="00DA0AB5"/>
    <w:rsid w:val="00DA14E3"/>
    <w:rsid w:val="00DB6D7C"/>
    <w:rsid w:val="00DD1ADE"/>
    <w:rsid w:val="00DF5A78"/>
    <w:rsid w:val="00DF6C46"/>
    <w:rsid w:val="00E147C3"/>
    <w:rsid w:val="00E17729"/>
    <w:rsid w:val="00E21063"/>
    <w:rsid w:val="00E370A8"/>
    <w:rsid w:val="00E474BF"/>
    <w:rsid w:val="00E47A87"/>
    <w:rsid w:val="00E65F1E"/>
    <w:rsid w:val="00E7082F"/>
    <w:rsid w:val="00E828CE"/>
    <w:rsid w:val="00E87373"/>
    <w:rsid w:val="00EB1F13"/>
    <w:rsid w:val="00EF27B3"/>
    <w:rsid w:val="00F03A91"/>
    <w:rsid w:val="00F14B40"/>
    <w:rsid w:val="00F16575"/>
    <w:rsid w:val="00F25542"/>
    <w:rsid w:val="00F87752"/>
    <w:rsid w:val="00F94E78"/>
    <w:rsid w:val="00FB0CFB"/>
    <w:rsid w:val="00FB6AA1"/>
    <w:rsid w:val="00FC58EE"/>
    <w:rsid w:val="00FD22F3"/>
    <w:rsid w:val="00FD59CB"/>
    <w:rsid w:val="00FE1BC6"/>
    <w:rsid w:val="00FE26F4"/>
    <w:rsid w:val="00FE575B"/>
    <w:rsid w:val="00FE79B4"/>
    <w:rsid w:val="00FF1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061"/>
    <w:pPr>
      <w:spacing w:after="0" w:line="240" w:lineRule="auto"/>
      <w:ind w:left="720" w:hanging="720"/>
      <w:jc w:val="both"/>
    </w:pPr>
    <w:rPr>
      <w:rFonts w:ascii="Arial" w:eastAsia="Calibri" w:hAnsi="Arial" w:cs="Arial"/>
      <w:sz w:val="24"/>
      <w:lang w:val="es-CO"/>
    </w:rPr>
  </w:style>
  <w:style w:type="paragraph" w:styleId="Heading1">
    <w:name w:val="heading 1"/>
    <w:next w:val="Normal"/>
    <w:link w:val="Heading1Char"/>
    <w:qFormat/>
    <w:rsid w:val="00F14B40"/>
    <w:pPr>
      <w:keepNext/>
      <w:numPr>
        <w:numId w:val="4"/>
      </w:numPr>
      <w:spacing w:before="480" w:after="24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de-AT" w:eastAsia="de-AT"/>
    </w:rPr>
  </w:style>
  <w:style w:type="paragraph" w:styleId="Heading2">
    <w:name w:val="heading 2"/>
    <w:next w:val="Normal"/>
    <w:link w:val="Heading2Char"/>
    <w:qFormat/>
    <w:rsid w:val="00F14B40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  <w:lang w:val="de-AT" w:eastAsia="de-AT"/>
    </w:rPr>
  </w:style>
  <w:style w:type="paragraph" w:styleId="Heading3">
    <w:name w:val="heading 3"/>
    <w:next w:val="Normal"/>
    <w:link w:val="Heading3Char"/>
    <w:qFormat/>
    <w:rsid w:val="00F14B40"/>
    <w:pPr>
      <w:keepNext/>
      <w:numPr>
        <w:ilvl w:val="2"/>
        <w:numId w:val="4"/>
      </w:numPr>
      <w:spacing w:before="240" w:after="60" w:line="240" w:lineRule="auto"/>
      <w:outlineLvl w:val="2"/>
    </w:pPr>
    <w:rPr>
      <w:rFonts w:ascii="Arial" w:eastAsia="Times New Roman" w:hAnsi="Arial" w:cs="Arial"/>
      <w:bCs/>
      <w:i/>
      <w:sz w:val="27"/>
      <w:szCs w:val="26"/>
      <w:lang w:val="de-AT" w:eastAsia="de-AT"/>
    </w:rPr>
  </w:style>
  <w:style w:type="paragraph" w:styleId="Heading4">
    <w:name w:val="heading 4"/>
    <w:next w:val="Normal"/>
    <w:link w:val="Heading4Char"/>
    <w:qFormat/>
    <w:rsid w:val="00F14B40"/>
    <w:pPr>
      <w:keepNext/>
      <w:numPr>
        <w:ilvl w:val="3"/>
        <w:numId w:val="4"/>
      </w:numPr>
      <w:spacing w:before="240" w:after="120" w:line="240" w:lineRule="auto"/>
      <w:outlineLvl w:val="3"/>
    </w:pPr>
    <w:rPr>
      <w:rFonts w:ascii="Arial" w:eastAsia="Times New Roman" w:hAnsi="Arial" w:cs="Times New Roman"/>
      <w:bCs/>
      <w:sz w:val="26"/>
      <w:szCs w:val="28"/>
      <w:lang w:val="de-AT" w:eastAsia="de-AT"/>
    </w:rPr>
  </w:style>
  <w:style w:type="paragraph" w:styleId="Heading5">
    <w:name w:val="heading 5"/>
    <w:basedOn w:val="Normal"/>
    <w:next w:val="Normal"/>
    <w:link w:val="Heading5Char"/>
    <w:qFormat/>
    <w:rsid w:val="00F14B40"/>
    <w:pPr>
      <w:spacing w:before="200"/>
      <w:ind w:left="1008" w:hanging="1008"/>
      <w:outlineLvl w:val="4"/>
    </w:pPr>
    <w:rPr>
      <w:rFonts w:ascii="Cambria" w:eastAsia="Times New Roman" w:hAnsi="Cambria" w:cs="Times New Roman"/>
      <w:b/>
      <w:bCs/>
      <w:color w:val="7F7F7F"/>
      <w:lang w:bidi="en-US"/>
    </w:rPr>
  </w:style>
  <w:style w:type="paragraph" w:styleId="Heading6">
    <w:name w:val="heading 6"/>
    <w:basedOn w:val="Normal"/>
    <w:next w:val="Normal"/>
    <w:link w:val="Heading6Char"/>
    <w:qFormat/>
    <w:rsid w:val="00F14B40"/>
    <w:pPr>
      <w:spacing w:line="271" w:lineRule="auto"/>
      <w:ind w:left="1152" w:hanging="1152"/>
      <w:outlineLvl w:val="5"/>
    </w:pPr>
    <w:rPr>
      <w:rFonts w:ascii="Cambria" w:eastAsia="Times New Roman" w:hAnsi="Cambria" w:cs="Times New Roman"/>
      <w:b/>
      <w:bCs/>
      <w:i/>
      <w:iCs/>
      <w:color w:val="7F7F7F"/>
      <w:lang w:bidi="en-US"/>
    </w:rPr>
  </w:style>
  <w:style w:type="paragraph" w:styleId="Heading7">
    <w:name w:val="heading 7"/>
    <w:basedOn w:val="Normal"/>
    <w:next w:val="Normal"/>
    <w:link w:val="Heading7Char"/>
    <w:qFormat/>
    <w:rsid w:val="00F14B40"/>
    <w:pPr>
      <w:ind w:left="1296" w:hanging="1296"/>
      <w:outlineLvl w:val="6"/>
    </w:pPr>
    <w:rPr>
      <w:rFonts w:ascii="Cambria" w:eastAsia="Times New Roman" w:hAnsi="Cambria" w:cs="Times New Roman"/>
      <w:i/>
      <w:iCs/>
      <w:lang w:bidi="en-US"/>
    </w:rPr>
  </w:style>
  <w:style w:type="paragraph" w:styleId="Heading8">
    <w:name w:val="heading 8"/>
    <w:basedOn w:val="Normal"/>
    <w:next w:val="Normal"/>
    <w:link w:val="Heading8Char"/>
    <w:qFormat/>
    <w:rsid w:val="00F14B40"/>
    <w:pPr>
      <w:ind w:left="1440" w:hanging="1440"/>
      <w:outlineLvl w:val="7"/>
    </w:pPr>
    <w:rPr>
      <w:rFonts w:ascii="Cambria" w:eastAsia="Times New Roman" w:hAnsi="Cambria" w:cs="Times New Roman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qFormat/>
    <w:rsid w:val="00F14B40"/>
    <w:pPr>
      <w:ind w:left="1584" w:hanging="1584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4B40"/>
    <w:rPr>
      <w:rFonts w:ascii="Arial" w:eastAsia="Times New Roman" w:hAnsi="Arial" w:cs="Arial"/>
      <w:b/>
      <w:bCs/>
      <w:kern w:val="32"/>
      <w:sz w:val="32"/>
      <w:szCs w:val="32"/>
      <w:lang w:val="de-AT" w:eastAsia="de-AT"/>
    </w:rPr>
  </w:style>
  <w:style w:type="character" w:customStyle="1" w:styleId="Heading2Char">
    <w:name w:val="Heading 2 Char"/>
    <w:basedOn w:val="DefaultParagraphFont"/>
    <w:link w:val="Heading2"/>
    <w:rsid w:val="00F14B40"/>
    <w:rPr>
      <w:rFonts w:ascii="Arial" w:eastAsia="Times New Roman" w:hAnsi="Arial" w:cs="Arial"/>
      <w:b/>
      <w:bCs/>
      <w:iCs/>
      <w:sz w:val="28"/>
      <w:szCs w:val="28"/>
      <w:lang w:val="de-AT" w:eastAsia="de-AT"/>
    </w:rPr>
  </w:style>
  <w:style w:type="character" w:customStyle="1" w:styleId="Heading3Char">
    <w:name w:val="Heading 3 Char"/>
    <w:basedOn w:val="DefaultParagraphFont"/>
    <w:link w:val="Heading3"/>
    <w:rsid w:val="00F14B40"/>
    <w:rPr>
      <w:rFonts w:ascii="Arial" w:eastAsia="Times New Roman" w:hAnsi="Arial" w:cs="Arial"/>
      <w:bCs/>
      <w:i/>
      <w:sz w:val="27"/>
      <w:szCs w:val="26"/>
      <w:lang w:val="de-AT" w:eastAsia="de-AT"/>
    </w:rPr>
  </w:style>
  <w:style w:type="character" w:customStyle="1" w:styleId="Heading4Char">
    <w:name w:val="Heading 4 Char"/>
    <w:basedOn w:val="DefaultParagraphFont"/>
    <w:link w:val="Heading4"/>
    <w:rsid w:val="00F14B40"/>
    <w:rPr>
      <w:rFonts w:ascii="Arial" w:eastAsia="Times New Roman" w:hAnsi="Arial" w:cs="Times New Roman"/>
      <w:bCs/>
      <w:sz w:val="26"/>
      <w:szCs w:val="28"/>
      <w:lang w:val="de-AT" w:eastAsia="de-AT"/>
    </w:rPr>
  </w:style>
  <w:style w:type="character" w:customStyle="1" w:styleId="Heading5Char">
    <w:name w:val="Heading 5 Char"/>
    <w:basedOn w:val="DefaultParagraphFont"/>
    <w:link w:val="Heading5"/>
    <w:rsid w:val="00F14B40"/>
    <w:rPr>
      <w:rFonts w:ascii="Cambria" w:eastAsia="Times New Roman" w:hAnsi="Cambria" w:cs="Times New Roman"/>
      <w:b/>
      <w:bCs/>
      <w:color w:val="7F7F7F"/>
      <w:lang w:bidi="en-US"/>
    </w:rPr>
  </w:style>
  <w:style w:type="character" w:customStyle="1" w:styleId="Heading6Char">
    <w:name w:val="Heading 6 Char"/>
    <w:basedOn w:val="DefaultParagraphFont"/>
    <w:link w:val="Heading6"/>
    <w:rsid w:val="00F14B40"/>
    <w:rPr>
      <w:rFonts w:ascii="Cambria" w:eastAsia="Times New Roman" w:hAnsi="Cambria" w:cs="Times New Roman"/>
      <w:b/>
      <w:bCs/>
      <w:i/>
      <w:iCs/>
      <w:color w:val="7F7F7F"/>
      <w:lang w:bidi="en-US"/>
    </w:rPr>
  </w:style>
  <w:style w:type="character" w:customStyle="1" w:styleId="Heading7Char">
    <w:name w:val="Heading 7 Char"/>
    <w:basedOn w:val="DefaultParagraphFont"/>
    <w:link w:val="Heading7"/>
    <w:rsid w:val="00F14B40"/>
    <w:rPr>
      <w:rFonts w:ascii="Cambria" w:eastAsia="Times New Roman" w:hAnsi="Cambria" w:cs="Times New Roman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rsid w:val="00F14B40"/>
    <w:rPr>
      <w:rFonts w:ascii="Cambria" w:eastAsia="Times New Roman" w:hAnsi="Cambria" w:cs="Times New Roman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rsid w:val="00F14B40"/>
    <w:rPr>
      <w:rFonts w:ascii="Cambria" w:eastAsia="Times New Roman" w:hAnsi="Cambria" w:cs="Times New Roman"/>
      <w:i/>
      <w:iCs/>
      <w:spacing w:val="5"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F14B40"/>
    <w:pPr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4B40"/>
    <w:pPr>
      <w:keepLines/>
      <w:numPr>
        <w:numId w:val="0"/>
      </w:numPr>
      <w:spacing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/>
    </w:rPr>
  </w:style>
  <w:style w:type="paragraph" w:styleId="NormalWeb">
    <w:name w:val="Normal (Web)"/>
    <w:basedOn w:val="Normal"/>
    <w:unhideWhenUsed/>
    <w:rsid w:val="00375061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Cs w:val="24"/>
      <w:lang w:val="en-US"/>
    </w:rPr>
  </w:style>
  <w:style w:type="character" w:styleId="Hyperlink">
    <w:name w:val="Hyperlink"/>
    <w:basedOn w:val="DefaultParagraphFont"/>
    <w:unhideWhenUsed/>
    <w:rsid w:val="00375061"/>
    <w:rPr>
      <w:color w:val="0000FF"/>
      <w:u w:val="single"/>
    </w:rPr>
  </w:style>
  <w:style w:type="paragraph" w:customStyle="1" w:styleId="title1">
    <w:name w:val="title1"/>
    <w:basedOn w:val="Normal"/>
    <w:rsid w:val="00375061"/>
    <w:pPr>
      <w:ind w:left="0" w:firstLine="0"/>
      <w:jc w:val="left"/>
    </w:pPr>
    <w:rPr>
      <w:rFonts w:ascii="Times New Roman" w:eastAsia="SimSun" w:hAnsi="Times New Roman" w:cs="Times New Roman"/>
      <w:sz w:val="29"/>
      <w:szCs w:val="29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0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061"/>
    <w:rPr>
      <w:rFonts w:ascii="Tahoma" w:eastAsia="Calibri" w:hAnsi="Tahoma" w:cs="Tahoma"/>
      <w:sz w:val="16"/>
      <w:szCs w:val="16"/>
      <w:lang w:val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://www.ncbi.nlm.nih.gov/pubmed/1764333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ncbi.nlm.nih.gov/pubmed/1049274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ncbi.nlm.nih.gov/pubmed/10674671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ncbi.nlm.nih.gov/pubmed/11471261" TargetMode="Externa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rotX val="25"/>
      <c:hPercent val="3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1661891117478555E-2"/>
          <c:y val="5.6224899598393552E-2"/>
          <c:w val="0.90401146131805155"/>
          <c:h val="0.7389558232931733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cases</c:v>
                </c:pt>
              </c:strCache>
            </c:strRef>
          </c:tx>
          <c:spPr>
            <a:solidFill>
              <a:srgbClr val="4F81BD"/>
            </a:solidFill>
            <a:ln w="12686">
              <a:solidFill>
                <a:srgbClr val="000000"/>
              </a:solidFill>
              <a:prstDash val="solid"/>
            </a:ln>
          </c:spPr>
          <c:cat>
            <c:numRef>
              <c:f>Sheet1!$B$1:$R$1</c:f>
              <c:numCache>
                <c:formatCode>General</c:formatCode>
                <c:ptCount val="17"/>
                <c:pt idx="0">
                  <c:v>1994</c:v>
                </c:pt>
                <c:pt idx="1">
                  <c:v>1995</c:v>
                </c:pt>
                <c:pt idx="2">
                  <c:v>1996</c:v>
                </c:pt>
                <c:pt idx="3">
                  <c:v>1997</c:v>
                </c:pt>
                <c:pt idx="4">
                  <c:v>1998</c:v>
                </c:pt>
                <c:pt idx="5">
                  <c:v>1999</c:v>
                </c:pt>
                <c:pt idx="6">
                  <c:v>2000</c:v>
                </c:pt>
                <c:pt idx="7">
                  <c:v>2001</c:v>
                </c:pt>
                <c:pt idx="8">
                  <c:v>2002</c:v>
                </c:pt>
                <c:pt idx="9">
                  <c:v>2003</c:v>
                </c:pt>
                <c:pt idx="10">
                  <c:v>2004</c:v>
                </c:pt>
                <c:pt idx="11">
                  <c:v>2005</c:v>
                </c:pt>
                <c:pt idx="12">
                  <c:v>2006</c:v>
                </c:pt>
                <c:pt idx="13">
                  <c:v>2007</c:v>
                </c:pt>
                <c:pt idx="14">
                  <c:v>2008</c:v>
                </c:pt>
                <c:pt idx="15">
                  <c:v>2009</c:v>
                </c:pt>
                <c:pt idx="16">
                  <c:v>2010</c:v>
                </c:pt>
              </c:numCache>
            </c:numRef>
          </c:cat>
          <c:val>
            <c:numRef>
              <c:f>Sheet1!$B$2:$R$2</c:f>
              <c:numCache>
                <c:formatCode>General</c:formatCode>
                <c:ptCount val="17"/>
                <c:pt idx="0">
                  <c:v>18</c:v>
                </c:pt>
                <c:pt idx="1">
                  <c:v>13</c:v>
                </c:pt>
                <c:pt idx="2">
                  <c:v>25</c:v>
                </c:pt>
                <c:pt idx="3">
                  <c:v>6</c:v>
                </c:pt>
                <c:pt idx="4">
                  <c:v>5</c:v>
                </c:pt>
                <c:pt idx="5">
                  <c:v>2</c:v>
                </c:pt>
                <c:pt idx="6">
                  <c:v>3</c:v>
                </c:pt>
                <c:pt idx="7">
                  <c:v>2</c:v>
                </c:pt>
                <c:pt idx="8">
                  <c:v>1</c:v>
                </c:pt>
                <c:pt idx="9">
                  <c:v>0</c:v>
                </c:pt>
                <c:pt idx="10">
                  <c:v>2</c:v>
                </c:pt>
                <c:pt idx="11">
                  <c:v>2</c:v>
                </c:pt>
                <c:pt idx="12">
                  <c:v>0</c:v>
                </c:pt>
                <c:pt idx="13">
                  <c:v>1</c:v>
                </c:pt>
                <c:pt idx="14">
                  <c:v>0</c:v>
                </c:pt>
                <c:pt idx="15">
                  <c:v>4</c:v>
                </c:pt>
                <c:pt idx="16">
                  <c:v>3</c:v>
                </c:pt>
              </c:numCache>
            </c:numRef>
          </c:val>
        </c:ser>
        <c:gapDepth val="0"/>
        <c:shape val="box"/>
        <c:axId val="571615488"/>
        <c:axId val="571667200"/>
        <c:axId val="0"/>
      </c:bar3DChart>
      <c:catAx>
        <c:axId val="571615488"/>
        <c:scaling>
          <c:orientation val="minMax"/>
        </c:scaling>
        <c:axPos val="b"/>
        <c:numFmt formatCode="General" sourceLinked="1"/>
        <c:tickLblPos val="low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571667200"/>
        <c:crosses val="autoZero"/>
        <c:auto val="1"/>
        <c:lblAlgn val="ctr"/>
        <c:lblOffset val="100"/>
        <c:tickLblSkip val="1"/>
        <c:tickMarkSkip val="1"/>
      </c:catAx>
      <c:valAx>
        <c:axId val="571667200"/>
        <c:scaling>
          <c:orientation val="minMax"/>
        </c:scaling>
        <c:axPos val="l"/>
        <c:numFmt formatCode="General" sourceLinked="1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57161548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3172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79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</c:dTable>
      <c:spPr>
        <a:noFill/>
        <a:ln w="25373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autoTitleDeleted val="1"/>
    <c:view3D>
      <c:rotX val="25"/>
      <c:hPercent val="3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1661891117478555E-2"/>
          <c:y val="5.6451612903225826E-2"/>
          <c:w val="0.90401146131805155"/>
          <c:h val="0.7379032258064515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cases</c:v>
                </c:pt>
              </c:strCache>
            </c:strRef>
          </c:tx>
          <c:spPr>
            <a:solidFill>
              <a:srgbClr val="4F81BD"/>
            </a:solidFill>
            <a:ln w="12684">
              <a:solidFill>
                <a:srgbClr val="000000"/>
              </a:solidFill>
              <a:prstDash val="solid"/>
            </a:ln>
          </c:spPr>
          <c:cat>
            <c:numRef>
              <c:f>Sheet1!$B$1:$P$1</c:f>
              <c:numCache>
                <c:formatCode>General</c:formatCode>
                <c:ptCount val="15"/>
                <c:pt idx="0">
                  <c:v>1994</c:v>
                </c:pt>
                <c:pt idx="1">
                  <c:v>1995</c:v>
                </c:pt>
                <c:pt idx="2">
                  <c:v>1996</c:v>
                </c:pt>
                <c:pt idx="3">
                  <c:v>1997</c:v>
                </c:pt>
                <c:pt idx="4">
                  <c:v>1998</c:v>
                </c:pt>
                <c:pt idx="5">
                  <c:v>1999</c:v>
                </c:pt>
                <c:pt idx="6">
                  <c:v>2000</c:v>
                </c:pt>
                <c:pt idx="7">
                  <c:v>2001</c:v>
                </c:pt>
                <c:pt idx="8">
                  <c:v>2002</c:v>
                </c:pt>
                <c:pt idx="9">
                  <c:v>2003</c:v>
                </c:pt>
                <c:pt idx="10">
                  <c:v>2004</c:v>
                </c:pt>
                <c:pt idx="11">
                  <c:v>2005</c:v>
                </c:pt>
                <c:pt idx="12">
                  <c:v>2006</c:v>
                </c:pt>
                <c:pt idx="13">
                  <c:v>2007</c:v>
                </c:pt>
                <c:pt idx="14">
                  <c:v>2008</c:v>
                </c:pt>
              </c:numCache>
            </c:numRef>
          </c:cat>
          <c:val>
            <c:numRef>
              <c:f>Sheet1!$B$2:$P$2</c:f>
              <c:numCache>
                <c:formatCode>General</c:formatCode>
                <c:ptCount val="15"/>
                <c:pt idx="0">
                  <c:v>11</c:v>
                </c:pt>
                <c:pt idx="1">
                  <c:v>14</c:v>
                </c:pt>
                <c:pt idx="2">
                  <c:v>24</c:v>
                </c:pt>
                <c:pt idx="3">
                  <c:v>25</c:v>
                </c:pt>
                <c:pt idx="4">
                  <c:v>25</c:v>
                </c:pt>
                <c:pt idx="5">
                  <c:v>20</c:v>
                </c:pt>
                <c:pt idx="6">
                  <c:v>14</c:v>
                </c:pt>
                <c:pt idx="7">
                  <c:v>9</c:v>
                </c:pt>
                <c:pt idx="8">
                  <c:v>12</c:v>
                </c:pt>
                <c:pt idx="9">
                  <c:v>13</c:v>
                </c:pt>
                <c:pt idx="10">
                  <c:v>1</c:v>
                </c:pt>
                <c:pt idx="11">
                  <c:v>8</c:v>
                </c:pt>
                <c:pt idx="12">
                  <c:v>4</c:v>
                </c:pt>
                <c:pt idx="13">
                  <c:v>6</c:v>
                </c:pt>
                <c:pt idx="14">
                  <c:v>7</c:v>
                </c:pt>
              </c:numCache>
            </c:numRef>
          </c:val>
        </c:ser>
        <c:gapDepth val="0"/>
        <c:shape val="box"/>
        <c:axId val="572948864"/>
        <c:axId val="572950400"/>
        <c:axId val="0"/>
      </c:bar3DChart>
      <c:catAx>
        <c:axId val="572948864"/>
        <c:scaling>
          <c:orientation val="minMax"/>
        </c:scaling>
        <c:axPos val="b"/>
        <c:numFmt formatCode="General" sourceLinked="1"/>
        <c:tickLblPos val="low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572950400"/>
        <c:crosses val="autoZero"/>
        <c:auto val="1"/>
        <c:lblAlgn val="ctr"/>
        <c:lblOffset val="100"/>
        <c:tickLblSkip val="1"/>
        <c:tickMarkSkip val="1"/>
      </c:catAx>
      <c:valAx>
        <c:axId val="572950400"/>
        <c:scaling>
          <c:orientation val="minMax"/>
        </c:scaling>
        <c:axPos val="l"/>
        <c:numFmt formatCode="General" sourceLinked="1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57294886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3171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79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</c:dTable>
      <c:spPr>
        <a:noFill/>
        <a:ln w="25368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740</Words>
  <Characters>4218</Characters>
  <Application>Microsoft Office Word</Application>
  <DocSecurity>0</DocSecurity>
  <Lines>35</Lines>
  <Paragraphs>9</Paragraphs>
  <ScaleCrop>false</ScaleCrop>
  <Company/>
  <LinksUpToDate>false</LinksUpToDate>
  <CharactersWithSpaces>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2012-04-02T12:39:00Z</dcterms:created>
  <dcterms:modified xsi:type="dcterms:W3CDTF">2012-04-02T12:42:00Z</dcterms:modified>
</cp:coreProperties>
</file>