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C" w:rsidRPr="002C75B8" w:rsidRDefault="005B014C" w:rsidP="005B014C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MONTENEGRO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5B014C" w:rsidRPr="00673AD4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857500" cy="1913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4C" w:rsidRPr="002C75B8" w:rsidRDefault="005B014C" w:rsidP="005B014C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6</w:t>
      </w:r>
      <w:r>
        <w:rPr>
          <w:sz w:val="22"/>
          <w:lang w:val="en-US"/>
        </w:rPr>
        <w:t>31,490</w:t>
      </w:r>
      <w:r w:rsidRPr="002C75B8">
        <w:rPr>
          <w:sz w:val="22"/>
          <w:lang w:val="en-US"/>
        </w:rPr>
        <w:t xml:space="preserve">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19%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41</w:t>
      </w:r>
      <w:r w:rsidRPr="002C75B8">
        <w:rPr>
          <w:sz w:val="22"/>
          <w:lang w:val="en-US"/>
        </w:rPr>
        <w:t xml:space="preserve">%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25 a day: no data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4.9%</w:t>
      </w:r>
      <w:r w:rsidRPr="002C75B8">
        <w:rPr>
          <w:sz w:val="22"/>
          <w:lang w:val="en-US"/>
        </w:rPr>
        <w:t xml:space="preserve">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</w:t>
      </w:r>
      <w:r>
        <w:rPr>
          <w:sz w:val="22"/>
          <w:lang w:val="en-US"/>
        </w:rPr>
        <w:t>economy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 High human development (ranking 5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>)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617</w:t>
      </w:r>
      <w:r w:rsidRPr="002C75B8">
        <w:rPr>
          <w:sz w:val="22"/>
          <w:lang w:val="en-US"/>
        </w:rPr>
        <w:t xml:space="preserve">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74 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</w:p>
    <w:p w:rsidR="005B014C" w:rsidRPr="002C75B8" w:rsidRDefault="005B014C" w:rsidP="005B014C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5B014C" w:rsidRDefault="005B014C" w:rsidP="005B014C">
      <w:pPr>
        <w:ind w:left="0" w:firstLine="0"/>
        <w:rPr>
          <w:bCs/>
          <w:sz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Cs/>
              <w:sz w:val="22"/>
              <w:lang w:val="en-US"/>
            </w:rPr>
            <w:t>Montenegro</w:t>
          </w:r>
        </w:smartTag>
      </w:smartTag>
      <w:r w:rsidRPr="002C75B8">
        <w:rPr>
          <w:bCs/>
          <w:sz w:val="22"/>
          <w:lang w:val="en-US"/>
        </w:rPr>
        <w:t xml:space="preserve"> is endemic for leishmaniasis. From 1992</w:t>
      </w:r>
      <w:r>
        <w:rPr>
          <w:bCs/>
          <w:sz w:val="22"/>
          <w:lang w:val="en-US"/>
        </w:rPr>
        <w:t xml:space="preserve"> to </w:t>
      </w:r>
      <w:r w:rsidRPr="002C75B8">
        <w:rPr>
          <w:bCs/>
          <w:sz w:val="22"/>
          <w:lang w:val="en-US"/>
        </w:rPr>
        <w:t>2009, 55 cases</w:t>
      </w:r>
      <w:r>
        <w:rPr>
          <w:bCs/>
          <w:sz w:val="22"/>
          <w:lang w:val="en-US"/>
        </w:rPr>
        <w:t xml:space="preserve"> of VL</w:t>
      </w:r>
      <w:r w:rsidRPr="002C75B8">
        <w:rPr>
          <w:bCs/>
          <w:sz w:val="22"/>
          <w:lang w:val="en-US"/>
        </w:rPr>
        <w:t xml:space="preserve"> were reported, and one case of CL. Underreporting is common; </w:t>
      </w:r>
      <w:r>
        <w:rPr>
          <w:bCs/>
          <w:sz w:val="22"/>
          <w:lang w:val="en-US"/>
        </w:rPr>
        <w:t xml:space="preserve">a survey </w:t>
      </w:r>
      <w:proofErr w:type="gramStart"/>
      <w:r w:rsidRPr="002C75B8">
        <w:rPr>
          <w:bCs/>
          <w:sz w:val="22"/>
          <w:lang w:val="en-US"/>
        </w:rPr>
        <w:t>between 1992-1995</w:t>
      </w:r>
      <w:proofErr w:type="gramEnd"/>
      <w:r>
        <w:rPr>
          <w:bCs/>
          <w:sz w:val="22"/>
          <w:lang w:val="en-US"/>
        </w:rPr>
        <w:t xml:space="preserve"> showed that </w:t>
      </w:r>
      <w:r>
        <w:rPr>
          <w:bCs/>
          <w:sz w:val="22"/>
          <w:lang w:val="en-US"/>
        </w:rPr>
        <w:t xml:space="preserve">out </w:t>
      </w:r>
      <w:r w:rsidRPr="002C75B8">
        <w:rPr>
          <w:bCs/>
          <w:sz w:val="22"/>
          <w:lang w:val="en-US"/>
        </w:rPr>
        <w:t xml:space="preserve">of 19 children treated, only 8 were </w:t>
      </w:r>
      <w:r>
        <w:rPr>
          <w:bCs/>
          <w:sz w:val="22"/>
          <w:lang w:val="en-US"/>
        </w:rPr>
        <w:t xml:space="preserve">officially </w:t>
      </w:r>
      <w:r w:rsidRPr="002C75B8">
        <w:rPr>
          <w:bCs/>
          <w:sz w:val="22"/>
          <w:lang w:val="en-US"/>
        </w:rPr>
        <w:t xml:space="preserve">reported. 40% of cases occur in children </w:t>
      </w:r>
      <w:r>
        <w:rPr>
          <w:bCs/>
          <w:sz w:val="22"/>
          <w:lang w:val="en-US"/>
        </w:rPr>
        <w:t>under</w:t>
      </w:r>
      <w:r w:rsidRPr="002C75B8">
        <w:rPr>
          <w:bCs/>
          <w:sz w:val="22"/>
          <w:lang w:val="en-US"/>
        </w:rPr>
        <w:t xml:space="preserve"> 5, and 67% in children between 0 and 15 years old. 62% of cases are male. </w:t>
      </w: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</w:p>
    <w:p w:rsidR="005B014C" w:rsidRDefault="005B014C" w:rsidP="005B014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From 2006-2009</w:t>
      </w:r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serological surveys of clinically suspect dogs coming from VL endemic areas found a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58% average rate of infection.  </w:t>
      </w: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There are no reported cases of HIV/</w:t>
      </w:r>
      <w:r w:rsidRPr="002C75B8">
        <w:rPr>
          <w:bCs/>
          <w:i/>
          <w:iCs/>
          <w:sz w:val="22"/>
          <w:lang w:val="en-US"/>
        </w:rPr>
        <w:t xml:space="preserve">Leishmania </w:t>
      </w:r>
      <w:r w:rsidRPr="002C75B8">
        <w:rPr>
          <w:bCs/>
          <w:sz w:val="22"/>
          <w:lang w:val="en-US"/>
        </w:rPr>
        <w:t>co</w:t>
      </w:r>
      <w:r>
        <w:rPr>
          <w:bCs/>
          <w:sz w:val="22"/>
          <w:lang w:val="en-US"/>
        </w:rPr>
        <w:t>-</w:t>
      </w:r>
      <w:r w:rsidRPr="002C75B8">
        <w:rPr>
          <w:bCs/>
          <w:sz w:val="22"/>
          <w:lang w:val="en-US"/>
        </w:rPr>
        <w:t xml:space="preserve">infection. </w:t>
      </w: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 </w:t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US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2253"/>
        <w:gridCol w:w="2261"/>
        <w:gridCol w:w="2269"/>
      </w:tblGrid>
      <w:tr w:rsidR="005B014C" w:rsidRPr="002C75B8" w:rsidTr="00A7768B">
        <w:tc>
          <w:tcPr>
            <w:tcW w:w="2271" w:type="dxa"/>
            <w:vAlign w:val="center"/>
          </w:tcPr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53" w:type="dxa"/>
            <w:vAlign w:val="center"/>
          </w:tcPr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261" w:type="dxa"/>
            <w:vAlign w:val="center"/>
          </w:tcPr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69" w:type="dxa"/>
            <w:vAlign w:val="center"/>
          </w:tcPr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5B014C" w:rsidRPr="002C75B8" w:rsidRDefault="005B014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5B014C" w:rsidRPr="002C75B8" w:rsidTr="00A7768B">
        <w:tc>
          <w:tcPr>
            <w:tcW w:w="2271" w:type="dxa"/>
            <w:vAlign w:val="center"/>
          </w:tcPr>
          <w:p w:rsidR="005B014C" w:rsidRPr="00CD6770" w:rsidRDefault="005B014C" w:rsidP="00A7768B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6770">
              <w:rPr>
                <w:rFonts w:ascii="Arial" w:hAnsi="Arial" w:cs="Arial"/>
                <w:i/>
                <w:sz w:val="22"/>
                <w:szCs w:val="22"/>
              </w:rPr>
              <w:t>L. infantum</w:t>
            </w:r>
          </w:p>
        </w:tc>
        <w:tc>
          <w:tcPr>
            <w:tcW w:w="2253" w:type="dxa"/>
            <w:vAlign w:val="center"/>
          </w:tcPr>
          <w:p w:rsidR="005B014C" w:rsidRPr="00CD6770" w:rsidRDefault="005B014C" w:rsidP="00A7768B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770">
              <w:rPr>
                <w:rFonts w:ascii="Arial" w:hAnsi="Arial" w:cs="Arial"/>
                <w:sz w:val="22"/>
                <w:szCs w:val="22"/>
              </w:rPr>
              <w:t>ZVL</w:t>
            </w:r>
          </w:p>
        </w:tc>
        <w:tc>
          <w:tcPr>
            <w:tcW w:w="2261" w:type="dxa"/>
            <w:vAlign w:val="center"/>
          </w:tcPr>
          <w:p w:rsidR="005B014C" w:rsidRPr="00CD6770" w:rsidRDefault="005B014C" w:rsidP="00A7768B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6770">
              <w:rPr>
                <w:rFonts w:ascii="Arial" w:hAnsi="Arial" w:cs="Arial"/>
                <w:i/>
                <w:sz w:val="22"/>
                <w:szCs w:val="22"/>
              </w:rPr>
              <w:t xml:space="preserve">P. </w:t>
            </w:r>
            <w:proofErr w:type="spellStart"/>
            <w:r w:rsidRPr="00CD6770">
              <w:rPr>
                <w:rFonts w:ascii="Arial" w:hAnsi="Arial" w:cs="Arial"/>
                <w:i/>
                <w:sz w:val="22"/>
                <w:szCs w:val="22"/>
              </w:rPr>
              <w:t>neglectus</w:t>
            </w:r>
            <w:proofErr w:type="spellEnd"/>
          </w:p>
        </w:tc>
        <w:tc>
          <w:tcPr>
            <w:tcW w:w="2269" w:type="dxa"/>
            <w:vAlign w:val="center"/>
          </w:tcPr>
          <w:p w:rsidR="005B014C" w:rsidRPr="00CD6770" w:rsidRDefault="005B014C" w:rsidP="00A7768B">
            <w:pPr>
              <w:pStyle w:val="NormalWeb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D6770">
              <w:rPr>
                <w:rFonts w:ascii="Arial" w:hAnsi="Arial" w:cs="Arial"/>
                <w:i/>
                <w:iCs/>
                <w:sz w:val="22"/>
                <w:szCs w:val="22"/>
              </w:rPr>
              <w:t>Canis</w:t>
            </w:r>
            <w:proofErr w:type="spellEnd"/>
            <w:r w:rsidRPr="00CD67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6770">
              <w:rPr>
                <w:rFonts w:ascii="Arial" w:hAnsi="Arial" w:cs="Arial"/>
                <w:i/>
                <w:iCs/>
                <w:sz w:val="22"/>
                <w:szCs w:val="22"/>
              </w:rPr>
              <w:t>familiaris</w:t>
            </w:r>
            <w:proofErr w:type="spellEnd"/>
          </w:p>
        </w:tc>
      </w:tr>
    </w:tbl>
    <w:p w:rsidR="005B014C" w:rsidRPr="002C75B8" w:rsidRDefault="005B014C" w:rsidP="005B014C">
      <w:pPr>
        <w:ind w:left="0" w:firstLine="0"/>
        <w:rPr>
          <w:b/>
          <w:bCs/>
          <w:sz w:val="22"/>
          <w:lang w:val="pt-BR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pt-BR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pt-BR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pt-BR"/>
        </w:rPr>
      </w:pPr>
    </w:p>
    <w:p w:rsidR="005B014C" w:rsidRDefault="005B014C" w:rsidP="005B014C">
      <w:pPr>
        <w:ind w:left="0" w:firstLine="0"/>
        <w:rPr>
          <w:b/>
          <w:bCs/>
          <w:sz w:val="22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MAPS AND TRENDS</w:t>
      </w: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Visceral leishmaniasis</w:t>
      </w:r>
    </w:p>
    <w:p w:rsidR="005B014C" w:rsidRPr="002C75B8" w:rsidRDefault="005B014C" w:rsidP="005B014C">
      <w:pPr>
        <w:ind w:left="0" w:firstLine="0"/>
        <w:rPr>
          <w:bCs/>
          <w:sz w:val="22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639695" cy="2218690"/>
            <wp:effectExtent l="19050" t="0" r="8255" b="0"/>
            <wp:docPr id="2" name="Imagen 2" descr="ME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V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lang w:val="en-US"/>
        </w:rPr>
        <w:drawing>
          <wp:inline distT="0" distB="0" distL="0" distR="0">
            <wp:extent cx="2663825" cy="2258060"/>
            <wp:effectExtent l="19050" t="0" r="3175" b="0"/>
            <wp:docPr id="3" name="Imagen 3" descr="MEV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VL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Cutaneous leishmaniasis</w:t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GB"/>
        </w:rPr>
        <w:t>No information available</w:t>
      </w:r>
      <w:r>
        <w:rPr>
          <w:bCs/>
          <w:sz w:val="22"/>
          <w:lang w:val="en-GB"/>
        </w:rPr>
        <w:t>.</w:t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 </w:t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V</w:t>
      </w:r>
      <w:r w:rsidRPr="002C75B8">
        <w:rPr>
          <w:b/>
          <w:bCs/>
          <w:sz w:val="22"/>
          <w:lang w:val="en-GB"/>
        </w:rPr>
        <w:t>isceral leishmaniasis</w:t>
      </w:r>
      <w:r>
        <w:rPr>
          <w:b/>
          <w:bCs/>
          <w:sz w:val="22"/>
          <w:lang w:val="en-GB"/>
        </w:rPr>
        <w:t xml:space="preserve"> trend</w:t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116205</wp:posOffset>
            </wp:positionV>
            <wp:extent cx="7089775" cy="2858770"/>
            <wp:effectExtent l="0" t="0" r="0" b="0"/>
            <wp:wrapTight wrapText="bothSides">
              <wp:wrapPolygon edited="0">
                <wp:start x="3567" y="1583"/>
                <wp:lineTo x="3567" y="2015"/>
                <wp:lineTo x="3800" y="2735"/>
                <wp:lineTo x="3954" y="2735"/>
                <wp:lineTo x="3567" y="3239"/>
                <wp:lineTo x="3567" y="3742"/>
                <wp:lineTo x="3954" y="3886"/>
                <wp:lineTo x="3529" y="4966"/>
                <wp:lineTo x="3606" y="5326"/>
                <wp:lineTo x="3879" y="6194"/>
                <wp:lineTo x="3567" y="6410"/>
                <wp:lineTo x="3567" y="6914"/>
                <wp:lineTo x="3954" y="7346"/>
                <wp:lineTo x="3684" y="7921"/>
                <wp:lineTo x="3529" y="8281"/>
                <wp:lineTo x="3567" y="9936"/>
                <wp:lineTo x="3684" y="10368"/>
                <wp:lineTo x="3954" y="10800"/>
                <wp:lineTo x="3567" y="11232"/>
                <wp:lineTo x="3567" y="11736"/>
                <wp:lineTo x="3954" y="11951"/>
                <wp:lineTo x="3529" y="13031"/>
                <wp:lineTo x="3567" y="13319"/>
                <wp:lineTo x="3800" y="14039"/>
                <wp:lineTo x="3567" y="14398"/>
                <wp:lineTo x="3567" y="14758"/>
                <wp:lineTo x="3954" y="15406"/>
                <wp:lineTo x="3567" y="16054"/>
                <wp:lineTo x="3567" y="16562"/>
                <wp:lineTo x="3954" y="16562"/>
                <wp:lineTo x="3954" y="17714"/>
                <wp:lineTo x="2093" y="18865"/>
                <wp:lineTo x="2093" y="20305"/>
                <wp:lineTo x="19350" y="20305"/>
                <wp:lineTo x="19507" y="15406"/>
                <wp:lineTo x="19582" y="1583"/>
                <wp:lineTo x="3800" y="1583"/>
                <wp:lineTo x="3567" y="1583"/>
              </wp:wrapPolygon>
            </wp:wrapTight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/>
          <w:bCs/>
          <w:sz w:val="22"/>
          <w:lang w:val="en-GB"/>
        </w:rPr>
      </w:pPr>
    </w:p>
    <w:p w:rsidR="005B014C" w:rsidRPr="002C75B8" w:rsidRDefault="005B014C" w:rsidP="005B014C">
      <w:pPr>
        <w:ind w:left="0" w:firstLine="0"/>
        <w:rPr>
          <w:bCs/>
          <w:sz w:val="22"/>
          <w:lang w:val="en-GB"/>
        </w:rPr>
      </w:pPr>
    </w:p>
    <w:p w:rsidR="005B014C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</w:p>
    <w:p w:rsidR="005B014C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</w:p>
    <w:p w:rsidR="005B014C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</w:p>
    <w:p w:rsidR="005B014C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</w:p>
    <w:p w:rsidR="005B014C" w:rsidRPr="002C75B8" w:rsidRDefault="005B014C" w:rsidP="005B014C">
      <w:pPr>
        <w:spacing w:line="480" w:lineRule="auto"/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CONTROL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notification of leishmaniasis is mandatory in the country. There is no national </w:t>
      </w:r>
      <w:r>
        <w:rPr>
          <w:sz w:val="22"/>
          <w:lang w:val="en-US"/>
        </w:rPr>
        <w:t>l</w:t>
      </w:r>
      <w:r w:rsidRPr="002C75B8">
        <w:rPr>
          <w:sz w:val="22"/>
          <w:lang w:val="en-US"/>
        </w:rPr>
        <w:t>eishmaniasis control program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no leishmaniasis vector control program and no leishmaniasis reservoir control program. </w:t>
      </w:r>
    </w:p>
    <w:p w:rsidR="005B014C" w:rsidRPr="002C75B8" w:rsidRDefault="005B014C" w:rsidP="005B014C">
      <w:pPr>
        <w:spacing w:line="480" w:lineRule="auto"/>
        <w:ind w:left="0" w:firstLine="0"/>
        <w:rPr>
          <w:b/>
          <w:sz w:val="22"/>
          <w:lang w:val="en-US"/>
        </w:rPr>
      </w:pPr>
    </w:p>
    <w:p w:rsidR="005B014C" w:rsidRPr="002C75B8" w:rsidRDefault="005B014C" w:rsidP="005B014C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Diagnosis:</w:t>
      </w:r>
      <w:r w:rsidRPr="002C75B8">
        <w:rPr>
          <w:sz w:val="22"/>
          <w:lang w:val="en-US"/>
        </w:rPr>
        <w:t xml:space="preserve"> </w:t>
      </w:r>
    </w:p>
    <w:p w:rsidR="005B014C" w:rsidRPr="00562689" w:rsidRDefault="005B014C" w:rsidP="005B014C">
      <w:pPr>
        <w:spacing w:line="360" w:lineRule="auto"/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>: microscopic examination of bone marrow aspirate, IFAT and ELISA.</w:t>
      </w: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Treatment: </w:t>
      </w: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>: antimonials</w:t>
      </w:r>
      <w:r w:rsidRPr="002C75B8">
        <w:rPr>
          <w:sz w:val="22"/>
          <w:lang w:val="en-US"/>
        </w:rPr>
        <w:t xml:space="preserve">, 20 mg </w:t>
      </w:r>
      <w:proofErr w:type="spellStart"/>
      <w:r w:rsidRPr="002C75B8">
        <w:rPr>
          <w:sz w:val="22"/>
          <w:lang w:val="en-US"/>
        </w:rPr>
        <w:t>Sb</w:t>
      </w:r>
      <w:r>
        <w:rPr>
          <w:sz w:val="22"/>
          <w:vertAlign w:val="superscript"/>
          <w:lang w:val="en-US"/>
        </w:rPr>
        <w:t>v</w:t>
      </w:r>
      <w:proofErr w:type="spellEnd"/>
      <w:r w:rsidRPr="002C75B8">
        <w:rPr>
          <w:sz w:val="22"/>
          <w:lang w:val="en-US"/>
        </w:rPr>
        <w:t xml:space="preserve">/kg/day. </w:t>
      </w:r>
      <w:proofErr w:type="gramStart"/>
      <w:r w:rsidRPr="002C75B8">
        <w:rPr>
          <w:sz w:val="22"/>
          <w:lang w:val="en-US"/>
        </w:rPr>
        <w:t>Mortality rate 0%.</w:t>
      </w:r>
      <w:proofErr w:type="gramEnd"/>
      <w:r w:rsidRPr="002C75B8">
        <w:rPr>
          <w:sz w:val="22"/>
          <w:lang w:val="en-US"/>
        </w:rPr>
        <w:t xml:space="preserve"> </w:t>
      </w: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5B014C" w:rsidRPr="002C75B8" w:rsidRDefault="005B014C" w:rsidP="005B014C">
      <w:pPr>
        <w:pStyle w:val="NoSpacing1"/>
        <w:jc w:val="both"/>
        <w:rPr>
          <w:rFonts w:ascii="Arial" w:hAnsi="Arial" w:cs="Arial"/>
        </w:rPr>
      </w:pPr>
    </w:p>
    <w:p w:rsidR="005B014C" w:rsidRPr="002C75B8" w:rsidRDefault="005B014C" w:rsidP="005B014C">
      <w:pPr>
        <w:pStyle w:val="NoSpacing1"/>
        <w:rPr>
          <w:rFonts w:ascii="Arial" w:hAnsi="Arial" w:cs="Arial"/>
          <w:lang w:val="en-US"/>
        </w:rPr>
      </w:pPr>
      <w:r w:rsidRPr="002C75B8">
        <w:rPr>
          <w:rFonts w:ascii="Arial" w:hAnsi="Arial" w:cs="Arial"/>
          <w:lang w:val="en-US"/>
        </w:rPr>
        <w:t>No information</w:t>
      </w:r>
      <w:r>
        <w:rPr>
          <w:rFonts w:ascii="Arial" w:hAnsi="Arial" w:cs="Arial"/>
          <w:lang w:val="en-US"/>
        </w:rPr>
        <w:t>.</w:t>
      </w:r>
    </w:p>
    <w:p w:rsidR="005B014C" w:rsidRPr="002C75B8" w:rsidRDefault="005B014C" w:rsidP="005B014C">
      <w:pPr>
        <w:pStyle w:val="NoSpacing1"/>
        <w:jc w:val="both"/>
        <w:rPr>
          <w:rFonts w:ascii="Arial" w:hAnsi="Arial" w:cs="Arial"/>
        </w:rPr>
      </w:pPr>
    </w:p>
    <w:p w:rsidR="005B014C" w:rsidRPr="002C75B8" w:rsidRDefault="005B014C" w:rsidP="005B014C">
      <w:pPr>
        <w:pStyle w:val="NoSpacing1"/>
        <w:jc w:val="both"/>
        <w:rPr>
          <w:rFonts w:ascii="Arial" w:hAnsi="Arial" w:cs="Arial"/>
        </w:rPr>
      </w:pPr>
    </w:p>
    <w:p w:rsidR="005B014C" w:rsidRPr="002C75B8" w:rsidRDefault="005B014C" w:rsidP="005B014C">
      <w:pPr>
        <w:pStyle w:val="NoSpacing1"/>
        <w:jc w:val="both"/>
        <w:rPr>
          <w:rFonts w:ascii="Arial" w:hAnsi="Arial" w:cs="Arial"/>
          <w:b/>
        </w:rPr>
      </w:pPr>
      <w:r w:rsidRPr="002C75B8">
        <w:rPr>
          <w:rFonts w:ascii="Arial" w:hAnsi="Arial" w:cs="Arial"/>
          <w:b/>
        </w:rPr>
        <w:t>ACCESS TO DRUGS</w:t>
      </w:r>
    </w:p>
    <w:p w:rsidR="005B014C" w:rsidRPr="002C75B8" w:rsidRDefault="005B014C" w:rsidP="005B014C">
      <w:pPr>
        <w:pStyle w:val="NoSpacing1"/>
        <w:jc w:val="both"/>
        <w:rPr>
          <w:rFonts w:ascii="Arial" w:hAnsi="Arial" w:cs="Arial"/>
          <w:b/>
        </w:rPr>
      </w:pPr>
      <w:r w:rsidRPr="002C75B8">
        <w:rPr>
          <w:rFonts w:ascii="Arial" w:hAnsi="Arial" w:cs="Arial"/>
          <w:b/>
        </w:rPr>
        <w:t xml:space="preserve"> </w:t>
      </w: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Antimonials are not registered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bCs/>
              <w:sz w:val="22"/>
              <w:lang w:val="en-US"/>
            </w:rPr>
            <w:t>Montenegro</w:t>
          </w:r>
        </w:smartTag>
      </w:smartTag>
      <w:r w:rsidRPr="002C75B8">
        <w:rPr>
          <w:bCs/>
          <w:sz w:val="22"/>
          <w:lang w:val="en-US"/>
        </w:rPr>
        <w:t xml:space="preserve"> and no drugs for leishmaniasis </w:t>
      </w:r>
      <w:r>
        <w:rPr>
          <w:bCs/>
          <w:sz w:val="22"/>
          <w:lang w:val="en-US"/>
        </w:rPr>
        <w:t xml:space="preserve">are </w:t>
      </w:r>
      <w:r w:rsidRPr="002C75B8">
        <w:rPr>
          <w:bCs/>
          <w:sz w:val="22"/>
          <w:lang w:val="en-US"/>
        </w:rPr>
        <w:t>included in the essential drug</w:t>
      </w:r>
      <w:r>
        <w:rPr>
          <w:bCs/>
          <w:sz w:val="22"/>
          <w:lang w:val="en-US"/>
        </w:rPr>
        <w:t>s</w:t>
      </w:r>
      <w:r w:rsidRPr="002C75B8">
        <w:rPr>
          <w:bCs/>
          <w:sz w:val="22"/>
          <w:lang w:val="en-US"/>
        </w:rPr>
        <w:t xml:space="preserve"> list. Patients are known to privately purchase antimonials (Glucantime, </w:t>
      </w:r>
      <w:proofErr w:type="spellStart"/>
      <w:r>
        <w:rPr>
          <w:bCs/>
          <w:sz w:val="22"/>
          <w:lang w:val="en-US"/>
        </w:rPr>
        <w:t>Sanofi</w:t>
      </w:r>
      <w:proofErr w:type="spellEnd"/>
      <w:r w:rsidRPr="002C75B8">
        <w:rPr>
          <w:bCs/>
          <w:sz w:val="22"/>
          <w:lang w:val="en-US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bCs/>
              <w:sz w:val="22"/>
              <w:lang w:val="en-US"/>
            </w:rPr>
            <w:t>Italy</w:t>
          </w:r>
        </w:smartTag>
      </w:smartTag>
      <w:r w:rsidRPr="002C75B8">
        <w:rPr>
          <w:bCs/>
          <w:sz w:val="22"/>
          <w:lang w:val="en-US"/>
        </w:rPr>
        <w:t>. Antimonials are not included in the list of drugs that are reimbursed by the National Health Insurance.</w:t>
      </w:r>
    </w:p>
    <w:p w:rsidR="005B014C" w:rsidRDefault="005B014C" w:rsidP="005B014C">
      <w:pPr>
        <w:ind w:left="0" w:firstLine="0"/>
        <w:rPr>
          <w:bCs/>
          <w:sz w:val="22"/>
          <w:lang w:val="en-US"/>
        </w:rPr>
      </w:pPr>
    </w:p>
    <w:p w:rsidR="005B014C" w:rsidRPr="002C75B8" w:rsidRDefault="005B014C" w:rsidP="005B014C">
      <w:pPr>
        <w:ind w:left="0" w:firstLine="0"/>
        <w:rPr>
          <w:bCs/>
          <w:sz w:val="22"/>
          <w:lang w:val="en-US"/>
        </w:rPr>
      </w:pPr>
    </w:p>
    <w:p w:rsidR="005B014C" w:rsidRDefault="005B014C" w:rsidP="005B014C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5B014C" w:rsidRPr="002C75B8" w:rsidRDefault="005B014C" w:rsidP="005B014C">
      <w:pPr>
        <w:ind w:left="0" w:firstLine="0"/>
        <w:rPr>
          <w:b/>
          <w:sz w:val="22"/>
          <w:lang w:val="en-US"/>
        </w:rPr>
      </w:pPr>
    </w:p>
    <w:p w:rsidR="005B014C" w:rsidRPr="005A6C3C" w:rsidRDefault="005B014C" w:rsidP="005B014C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 w:rsidRPr="002C75B8">
        <w:rPr>
          <w:sz w:val="22"/>
          <w:lang w:val="en-US"/>
        </w:rPr>
        <w:t xml:space="preserve">Dr </w:t>
      </w:r>
      <w:proofErr w:type="spellStart"/>
      <w:r w:rsidRPr="002C75B8">
        <w:rPr>
          <w:sz w:val="22"/>
          <w:lang w:val="en-US"/>
        </w:rPr>
        <w:t>Veseselinka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Beatović</w:t>
      </w:r>
      <w:proofErr w:type="spellEnd"/>
      <w:r w:rsidRPr="002C75B8">
        <w:rPr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C75B8">
            <w:rPr>
              <w:sz w:val="22"/>
              <w:lang w:val="en-US"/>
            </w:rPr>
            <w:t>Institute</w:t>
          </w:r>
        </w:smartTag>
        <w:r w:rsidRPr="002C75B8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2C75B8">
            <w:rPr>
              <w:sz w:val="22"/>
              <w:lang w:val="en-US"/>
            </w:rPr>
            <w:t>Public Health</w:t>
          </w:r>
        </w:smartTag>
      </w:smartTag>
      <w:r>
        <w:rPr>
          <w:sz w:val="22"/>
          <w:lang w:val="en-US"/>
        </w:rPr>
        <w:t xml:space="preserve">, Ministry of Health. </w:t>
      </w:r>
      <w:r w:rsidRPr="005A6C3C">
        <w:rPr>
          <w:i/>
          <w:iCs/>
          <w:sz w:val="22"/>
          <w:lang w:val="en-GB"/>
        </w:rPr>
        <w:t xml:space="preserve">WHO exploratory meeting on Leishmaniasis in the Balkan Countries. </w:t>
      </w:r>
      <w:smartTag w:uri="urn:schemas-microsoft-com:office:smarttags" w:element="place">
        <w:smartTag w:uri="urn:schemas-microsoft-com:office:smarttags" w:element="City">
          <w:r w:rsidRPr="005A6C3C">
            <w:rPr>
              <w:i/>
              <w:iCs/>
              <w:sz w:val="22"/>
              <w:lang w:val="en-GB"/>
            </w:rPr>
            <w:t>Dubrovnik</w:t>
          </w:r>
        </w:smartTag>
        <w:r w:rsidRPr="005A6C3C">
          <w:rPr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5A6C3C">
            <w:rPr>
              <w:i/>
              <w:iCs/>
              <w:sz w:val="22"/>
              <w:lang w:val="en-GB"/>
            </w:rPr>
            <w:t>Croatia</w:t>
          </w:r>
        </w:smartTag>
      </w:smartTag>
      <w:r w:rsidRPr="005A6C3C">
        <w:rPr>
          <w:i/>
          <w:iCs/>
          <w:sz w:val="22"/>
          <w:lang w:val="en-GB"/>
        </w:rPr>
        <w:t>, 10-12 February 2010</w:t>
      </w:r>
      <w:r>
        <w:rPr>
          <w:i/>
          <w:iCs/>
          <w:sz w:val="22"/>
          <w:lang w:val="en-GB"/>
        </w:rPr>
        <w:t>.</w:t>
      </w:r>
    </w:p>
    <w:p w:rsidR="005B014C" w:rsidRPr="002C75B8" w:rsidRDefault="005B014C" w:rsidP="005B014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5B014C" w:rsidRPr="002C75B8" w:rsidRDefault="005B014C" w:rsidP="005B014C">
      <w:pPr>
        <w:spacing w:line="360" w:lineRule="auto"/>
        <w:ind w:left="0" w:firstLine="0"/>
        <w:rPr>
          <w:sz w:val="22"/>
          <w:lang w:val="en-US"/>
        </w:rPr>
      </w:pPr>
    </w:p>
    <w:sectPr w:rsidR="005B014C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72441F"/>
    <w:multiLevelType w:val="hybridMultilevel"/>
    <w:tmpl w:val="B9929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14C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B014C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05707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C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5B014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Spacing1">
    <w:name w:val="No Spacing1"/>
    <w:qFormat/>
    <w:rsid w:val="005B014C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4C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656675749318824E-2"/>
          <c:y val="4.8275862068965475E-2"/>
          <c:w val="0.90871934604904658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Sheet1!$B$1:$S$1</c:f>
              <c:numCache>
                <c:formatCode>General</c:formatCode>
                <c:ptCount val="18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  <c:pt idx="12">
                  <c:v>7</c:v>
                </c:pt>
                <c:pt idx="13">
                  <c:v>2</c:v>
                </c:pt>
                <c:pt idx="14">
                  <c:v>4</c:v>
                </c:pt>
                <c:pt idx="15">
                  <c:v>1</c:v>
                </c:pt>
                <c:pt idx="16">
                  <c:v>3</c:v>
                </c:pt>
                <c:pt idx="17">
                  <c:v>3</c:v>
                </c:pt>
              </c:numCache>
            </c:numRef>
          </c:val>
        </c:ser>
        <c:gapDepth val="0"/>
        <c:shape val="box"/>
        <c:axId val="279502208"/>
        <c:axId val="285526272"/>
        <c:axId val="0"/>
      </c:bar3DChart>
      <c:catAx>
        <c:axId val="27950220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6272"/>
        <c:crosses val="autoZero"/>
        <c:auto val="1"/>
        <c:lblAlgn val="ctr"/>
        <c:lblOffset val="100"/>
        <c:tickLblSkip val="1"/>
        <c:tickMarkSkip val="1"/>
      </c:catAx>
      <c:valAx>
        <c:axId val="285526272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9502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1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2012-04-02T10:26:00Z</dcterms:created>
  <dcterms:modified xsi:type="dcterms:W3CDTF">2012-04-02T10:28:00Z</dcterms:modified>
</cp:coreProperties>
</file>