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FB" w:rsidRPr="002C75B8" w:rsidRDefault="000C02FB" w:rsidP="000C02FB">
      <w:pPr>
        <w:spacing w:line="480" w:lineRule="auto"/>
        <w:ind w:left="0" w:firstLine="0"/>
        <w:rPr>
          <w:bCs/>
          <w:sz w:val="22"/>
          <w:u w:val="single"/>
          <w:lang w:val="en-US"/>
        </w:rPr>
      </w:pPr>
      <w:smartTag w:uri="urn:schemas-microsoft-com:office:smarttags" w:element="place">
        <w:smartTag w:uri="urn:schemas-microsoft-com:office:smarttags" w:element="country-region">
          <w:r w:rsidRPr="002C75B8">
            <w:rPr>
              <w:b/>
              <w:sz w:val="22"/>
              <w:u w:val="single"/>
              <w:lang w:val="en-US"/>
            </w:rPr>
            <w:t>LIBYA</w:t>
          </w:r>
        </w:smartTag>
      </w:smartTag>
      <w:r w:rsidRPr="002C75B8">
        <w:rPr>
          <w:b/>
          <w:sz w:val="22"/>
          <w:u w:val="single"/>
          <w:lang w:val="en-US"/>
        </w:rPr>
        <w:t xml:space="preserve"> </w:t>
      </w:r>
    </w:p>
    <w:p w:rsidR="000C02FB" w:rsidRPr="002C75B8" w:rsidRDefault="000C02FB" w:rsidP="000C02FB">
      <w:pPr>
        <w:spacing w:line="480" w:lineRule="auto"/>
        <w:ind w:left="0" w:firstLine="0"/>
        <w:rPr>
          <w:bCs/>
          <w:sz w:val="22"/>
          <w:lang w:val="en-US"/>
        </w:rPr>
      </w:pPr>
      <w:r>
        <w:rPr>
          <w:bCs/>
          <w:noProof/>
          <w:sz w:val="22"/>
          <w:lang w:val="en-US"/>
        </w:rPr>
        <w:drawing>
          <wp:inline distT="0" distB="0" distL="0" distR="0">
            <wp:extent cx="2514600" cy="168465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8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2FB" w:rsidRDefault="000C02FB" w:rsidP="000C02FB">
      <w:pPr>
        <w:spacing w:line="480" w:lineRule="auto"/>
        <w:ind w:left="0" w:firstLine="0"/>
        <w:rPr>
          <w:b/>
          <w:sz w:val="22"/>
          <w:lang w:val="en-US"/>
        </w:rPr>
      </w:pPr>
    </w:p>
    <w:p w:rsidR="000C02FB" w:rsidRPr="002C75B8" w:rsidRDefault="000C02FB" w:rsidP="000C02FB">
      <w:pPr>
        <w:spacing w:line="480" w:lineRule="auto"/>
        <w:ind w:left="0" w:firstLine="0"/>
        <w:rPr>
          <w:bCs/>
          <w:sz w:val="22"/>
          <w:lang w:val="en-US"/>
        </w:rPr>
      </w:pPr>
      <w:r w:rsidRPr="002C75B8">
        <w:rPr>
          <w:b/>
          <w:sz w:val="22"/>
          <w:lang w:val="en-US"/>
        </w:rPr>
        <w:t>BASIC COUNTRY DATA</w:t>
      </w:r>
    </w:p>
    <w:p w:rsidR="000C02FB" w:rsidRPr="002C75B8" w:rsidRDefault="000C02FB" w:rsidP="000C02FB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Total Population: 6</w:t>
      </w:r>
      <w:r>
        <w:rPr>
          <w:bCs/>
          <w:sz w:val="22"/>
          <w:lang w:val="en-US"/>
        </w:rPr>
        <w:t>,355,112</w:t>
      </w:r>
      <w:r w:rsidRPr="002C75B8">
        <w:rPr>
          <w:bCs/>
          <w:sz w:val="22"/>
          <w:lang w:val="en-US"/>
        </w:rPr>
        <w:t xml:space="preserve"> </w:t>
      </w:r>
    </w:p>
    <w:p w:rsidR="000C02FB" w:rsidRPr="002C75B8" w:rsidRDefault="000C02FB" w:rsidP="000C02FB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 xml:space="preserve">Population 0-14 years: 30% </w:t>
      </w:r>
    </w:p>
    <w:p w:rsidR="000C02FB" w:rsidRPr="002C75B8" w:rsidRDefault="000C02FB" w:rsidP="000C02FB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 xml:space="preserve">Rural population: </w:t>
      </w:r>
      <w:r>
        <w:rPr>
          <w:bCs/>
          <w:sz w:val="22"/>
          <w:lang w:val="en-US"/>
        </w:rPr>
        <w:t>22</w:t>
      </w:r>
      <w:r w:rsidRPr="002C75B8">
        <w:rPr>
          <w:bCs/>
          <w:sz w:val="22"/>
          <w:lang w:val="en-US"/>
        </w:rPr>
        <w:t xml:space="preserve">% </w:t>
      </w:r>
    </w:p>
    <w:p w:rsidR="000C02FB" w:rsidRPr="002C75B8" w:rsidRDefault="000C02FB" w:rsidP="000C02FB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Population living under USD 1</w:t>
      </w:r>
      <w:r>
        <w:rPr>
          <w:bCs/>
          <w:sz w:val="22"/>
          <w:lang w:val="en-US"/>
        </w:rPr>
        <w:t>.</w:t>
      </w:r>
      <w:r w:rsidRPr="002C75B8">
        <w:rPr>
          <w:bCs/>
          <w:sz w:val="22"/>
          <w:lang w:val="en-US"/>
        </w:rPr>
        <w:t xml:space="preserve">25 a day: </w:t>
      </w:r>
      <w:r>
        <w:rPr>
          <w:bCs/>
          <w:sz w:val="22"/>
          <w:lang w:val="en-US"/>
        </w:rPr>
        <w:t>no data</w:t>
      </w:r>
    </w:p>
    <w:p w:rsidR="000C02FB" w:rsidRPr="002C75B8" w:rsidRDefault="000C02FB" w:rsidP="000C02FB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Population living under the national poverty line: no data</w:t>
      </w:r>
    </w:p>
    <w:p w:rsidR="000C02FB" w:rsidRPr="002C75B8" w:rsidRDefault="000C02FB" w:rsidP="000C02FB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 xml:space="preserve">Income status: Upper middle income economy </w:t>
      </w:r>
    </w:p>
    <w:p w:rsidR="000C02FB" w:rsidRPr="002C75B8" w:rsidRDefault="000C02FB" w:rsidP="000C02FB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 xml:space="preserve">Ranking: High human development </w:t>
      </w:r>
      <w:r>
        <w:rPr>
          <w:bCs/>
          <w:sz w:val="22"/>
          <w:lang w:val="en-US"/>
        </w:rPr>
        <w:t>(ranking 64)</w:t>
      </w:r>
    </w:p>
    <w:p w:rsidR="000C02FB" w:rsidRPr="002C75B8" w:rsidRDefault="000C02FB" w:rsidP="000C02FB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 xml:space="preserve">Per capita total expenditure on health at average exchange rate (US dollar): </w:t>
      </w:r>
      <w:r>
        <w:rPr>
          <w:bCs/>
          <w:sz w:val="22"/>
          <w:lang w:val="en-US"/>
        </w:rPr>
        <w:t>417</w:t>
      </w:r>
    </w:p>
    <w:p w:rsidR="000C02FB" w:rsidRPr="002C75B8" w:rsidRDefault="000C02FB" w:rsidP="000C02FB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Life expectancy at birth (years): 7</w:t>
      </w:r>
      <w:r>
        <w:rPr>
          <w:bCs/>
          <w:sz w:val="22"/>
          <w:lang w:val="en-US"/>
        </w:rPr>
        <w:t>5</w:t>
      </w:r>
    </w:p>
    <w:p w:rsidR="000C02FB" w:rsidRPr="002C75B8" w:rsidRDefault="000C02FB" w:rsidP="000C02FB">
      <w:pPr>
        <w:ind w:left="0" w:firstLine="0"/>
        <w:rPr>
          <w:bCs/>
          <w:sz w:val="22"/>
          <w:lang w:val="en-GB"/>
        </w:rPr>
      </w:pPr>
      <w:r w:rsidRPr="002C75B8">
        <w:rPr>
          <w:bCs/>
          <w:sz w:val="22"/>
          <w:lang w:val="en-US"/>
        </w:rPr>
        <w:t>Health</w:t>
      </w:r>
      <w:r>
        <w:rPr>
          <w:bCs/>
          <w:sz w:val="22"/>
          <w:lang w:val="en-US"/>
        </w:rPr>
        <w:t>y</w:t>
      </w:r>
      <w:r w:rsidRPr="002C75B8">
        <w:rPr>
          <w:bCs/>
          <w:sz w:val="22"/>
          <w:lang w:val="en-US"/>
        </w:rPr>
        <w:t xml:space="preserve"> life expectancy at birth (years): 64 </w:t>
      </w:r>
    </w:p>
    <w:p w:rsidR="000C02FB" w:rsidRDefault="000C02FB" w:rsidP="000C02FB">
      <w:pPr>
        <w:ind w:left="0" w:firstLine="0"/>
        <w:rPr>
          <w:bCs/>
          <w:sz w:val="22"/>
          <w:lang w:val="en-GB"/>
        </w:rPr>
      </w:pPr>
    </w:p>
    <w:p w:rsidR="000C02FB" w:rsidRPr="002C75B8" w:rsidRDefault="000C02FB" w:rsidP="000C02FB">
      <w:pPr>
        <w:ind w:left="0" w:firstLine="0"/>
        <w:rPr>
          <w:bCs/>
          <w:sz w:val="22"/>
          <w:lang w:val="en-GB"/>
        </w:rPr>
      </w:pPr>
    </w:p>
    <w:p w:rsidR="000C02FB" w:rsidRPr="002C75B8" w:rsidRDefault="000C02FB" w:rsidP="000C02FB">
      <w:pPr>
        <w:spacing w:line="480" w:lineRule="auto"/>
        <w:ind w:left="0" w:firstLine="0"/>
        <w:rPr>
          <w:sz w:val="22"/>
          <w:lang w:val="en-GB"/>
        </w:rPr>
      </w:pPr>
      <w:r w:rsidRPr="002C75B8">
        <w:rPr>
          <w:b/>
          <w:sz w:val="22"/>
          <w:lang w:val="en-US"/>
        </w:rPr>
        <w:t xml:space="preserve">BACKGROUND INFORMATION </w:t>
      </w:r>
    </w:p>
    <w:p w:rsidR="000C02FB" w:rsidRPr="002C75B8" w:rsidRDefault="000C02FB" w:rsidP="000C02FB">
      <w:pPr>
        <w:ind w:left="0" w:firstLine="0"/>
        <w:rPr>
          <w:sz w:val="22"/>
          <w:lang w:val="en-US"/>
        </w:rPr>
      </w:pPr>
      <w:r w:rsidRPr="002C75B8">
        <w:rPr>
          <w:i/>
          <w:iCs/>
          <w:sz w:val="22"/>
          <w:lang w:val="en-US"/>
        </w:rPr>
        <w:t>L</w:t>
      </w:r>
      <w:r>
        <w:rPr>
          <w:i/>
          <w:iCs/>
          <w:sz w:val="22"/>
          <w:lang w:val="en-US"/>
        </w:rPr>
        <w:t>eishmania</w:t>
      </w:r>
      <w:r w:rsidRPr="002C75B8">
        <w:rPr>
          <w:i/>
          <w:iCs/>
          <w:sz w:val="22"/>
          <w:lang w:val="en-US"/>
        </w:rPr>
        <w:t xml:space="preserve"> infantum</w:t>
      </w:r>
      <w:r w:rsidRPr="002C75B8">
        <w:rPr>
          <w:sz w:val="22"/>
          <w:lang w:val="en-US"/>
        </w:rPr>
        <w:t xml:space="preserve"> VL has been known since 1910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with a few sporadic cases from the southern and </w:t>
      </w:r>
      <w:r>
        <w:rPr>
          <w:sz w:val="22"/>
          <w:lang w:val="en-US"/>
        </w:rPr>
        <w:t>n</w:t>
      </w:r>
      <w:r w:rsidRPr="002C75B8">
        <w:rPr>
          <w:sz w:val="22"/>
          <w:lang w:val="en-US"/>
        </w:rPr>
        <w:t>orth</w:t>
      </w:r>
      <w:r>
        <w:rPr>
          <w:sz w:val="22"/>
          <w:lang w:val="en-US"/>
        </w:rPr>
        <w:t>e</w:t>
      </w:r>
      <w:r w:rsidRPr="002C75B8">
        <w:rPr>
          <w:sz w:val="22"/>
          <w:lang w:val="en-US"/>
        </w:rPr>
        <w:t xml:space="preserve">astern regions of the country. </w:t>
      </w:r>
      <w:r>
        <w:rPr>
          <w:sz w:val="22"/>
          <w:lang w:val="en-US"/>
        </w:rPr>
        <w:t xml:space="preserve">A total of </w:t>
      </w:r>
      <w:r w:rsidRPr="002C75B8">
        <w:rPr>
          <w:sz w:val="22"/>
          <w:lang w:val="en-US"/>
        </w:rPr>
        <w:t xml:space="preserve">153 cases have been recorded in the last 4 decades. There is little information about the epidemiology of VL in </w:t>
      </w:r>
      <w:smartTag w:uri="urn:schemas-microsoft-com:office:smarttags" w:element="country-region">
        <w:smartTag w:uri="urn:schemas-microsoft-com:office:smarttags" w:element="place">
          <w:r w:rsidRPr="002C75B8">
            <w:rPr>
              <w:sz w:val="22"/>
              <w:lang w:val="en-US"/>
            </w:rPr>
            <w:t>Libya</w:t>
          </w:r>
        </w:smartTag>
      </w:smartTag>
      <w:r w:rsidRPr="002C75B8">
        <w:rPr>
          <w:sz w:val="22"/>
          <w:lang w:val="en-US"/>
        </w:rPr>
        <w:t xml:space="preserve"> </w:t>
      </w:r>
      <w:r>
        <w:rPr>
          <w:sz w:val="22"/>
          <w:lang w:val="en-US"/>
        </w:rPr>
        <w:t>[1]</w:t>
      </w:r>
      <w:r w:rsidRPr="002C75B8">
        <w:rPr>
          <w:sz w:val="22"/>
          <w:lang w:val="en-US"/>
        </w:rPr>
        <w:t xml:space="preserve">. </w:t>
      </w:r>
    </w:p>
    <w:p w:rsidR="000C02FB" w:rsidRPr="002C75B8" w:rsidRDefault="000C02FB" w:rsidP="000C02FB">
      <w:pPr>
        <w:ind w:left="0" w:firstLine="0"/>
        <w:rPr>
          <w:sz w:val="22"/>
          <w:lang w:val="en-US"/>
        </w:rPr>
      </w:pPr>
    </w:p>
    <w:p w:rsidR="000C02FB" w:rsidRPr="002C75B8" w:rsidRDefault="000C02FB" w:rsidP="000C02FB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ZCL is endemic with occasional outbreaks. The estimated total number of cases between 1971 and 2009 was over 55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>000. In 2006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over 7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>000 cases were recorded in 8 districts, with an outbreak of 3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961 cases in </w:t>
      </w:r>
      <w:proofErr w:type="spellStart"/>
      <w:r w:rsidRPr="002C75B8">
        <w:rPr>
          <w:sz w:val="22"/>
          <w:lang w:val="en-US"/>
        </w:rPr>
        <w:t>Musrata</w:t>
      </w:r>
      <w:proofErr w:type="spellEnd"/>
      <w:r>
        <w:rPr>
          <w:sz w:val="22"/>
          <w:lang w:val="en-US"/>
        </w:rPr>
        <w:t xml:space="preserve"> and the disease </w:t>
      </w:r>
      <w:r w:rsidRPr="002C75B8">
        <w:rPr>
          <w:sz w:val="22"/>
          <w:lang w:val="en-US"/>
        </w:rPr>
        <w:t>spread to non endemic areas</w:t>
      </w:r>
      <w:r>
        <w:rPr>
          <w:sz w:val="22"/>
          <w:lang w:val="en-US"/>
        </w:rPr>
        <w:t xml:space="preserve"> [2]</w:t>
      </w:r>
      <w:r w:rsidRPr="004C1148">
        <w:rPr>
          <w:sz w:val="22"/>
          <w:lang w:val="en-US"/>
        </w:rPr>
        <w:t>.</w:t>
      </w:r>
      <w:r w:rsidRPr="002C75B8">
        <w:rPr>
          <w:sz w:val="22"/>
          <w:lang w:val="en-US"/>
        </w:rPr>
        <w:t xml:space="preserve"> </w:t>
      </w:r>
      <w:r>
        <w:rPr>
          <w:sz w:val="22"/>
          <w:lang w:val="en-US"/>
        </w:rPr>
        <w:t>That</w:t>
      </w:r>
      <w:r w:rsidRPr="002C75B8">
        <w:rPr>
          <w:sz w:val="22"/>
          <w:lang w:val="en-US"/>
        </w:rPr>
        <w:t xml:space="preserve"> same year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a control program was started and the number of cases decreased to </w:t>
      </w:r>
      <w:smartTag w:uri="urn:schemas-microsoft-com:office:smarttags" w:element="metricconverter">
        <w:smartTagPr>
          <w:attr w:name="ProductID" w:val="1,800 in"/>
        </w:smartTagPr>
        <w:r w:rsidRPr="002C75B8">
          <w:rPr>
            <w:sz w:val="22"/>
            <w:lang w:val="en-US"/>
          </w:rPr>
          <w:t>1</w:t>
        </w:r>
        <w:r>
          <w:rPr>
            <w:sz w:val="22"/>
            <w:lang w:val="en-US"/>
          </w:rPr>
          <w:t>,</w:t>
        </w:r>
        <w:r w:rsidRPr="002C75B8">
          <w:rPr>
            <w:sz w:val="22"/>
            <w:lang w:val="en-US"/>
          </w:rPr>
          <w:t>800 in</w:t>
        </w:r>
      </w:smartTag>
      <w:r w:rsidRPr="002C75B8">
        <w:rPr>
          <w:sz w:val="22"/>
          <w:lang w:val="en-US"/>
        </w:rPr>
        <w:t xml:space="preserve"> </w:t>
      </w:r>
      <w:smartTag w:uri="urn:schemas-microsoft-com:office:smarttags" w:element="metricconverter">
        <w:smartTagPr>
          <w:attr w:name="ProductID" w:val="2008. In"/>
        </w:smartTagPr>
        <w:r w:rsidRPr="002C75B8">
          <w:rPr>
            <w:sz w:val="22"/>
            <w:lang w:val="en-US"/>
          </w:rPr>
          <w:t xml:space="preserve">2008. </w:t>
        </w:r>
        <w:r>
          <w:rPr>
            <w:sz w:val="22"/>
            <w:lang w:val="en-US"/>
          </w:rPr>
          <w:t>In</w:t>
        </w:r>
      </w:smartTag>
      <w:r>
        <w:rPr>
          <w:sz w:val="22"/>
          <w:lang w:val="en-US"/>
        </w:rPr>
        <w:t xml:space="preserve"> 2009, the prevalence of CL was 7.1/10,000 population. </w:t>
      </w:r>
      <w:r w:rsidRPr="002C75B8">
        <w:rPr>
          <w:sz w:val="22"/>
          <w:lang w:val="en-US"/>
        </w:rPr>
        <w:t xml:space="preserve">Risk factors were identified: the occupational exposure to infection of outdoor workers, a lack of knowledge on how to prevent infection, </w:t>
      </w:r>
      <w:r>
        <w:rPr>
          <w:sz w:val="22"/>
          <w:lang w:val="en-US"/>
        </w:rPr>
        <w:t xml:space="preserve">the </w:t>
      </w:r>
      <w:r w:rsidRPr="002C75B8">
        <w:rPr>
          <w:sz w:val="22"/>
          <w:lang w:val="en-US"/>
        </w:rPr>
        <w:t xml:space="preserve">closeness of animal shelters to houses, and increased soil moisture. Underreporting of CL is a problem, and </w:t>
      </w:r>
      <w:r>
        <w:rPr>
          <w:sz w:val="22"/>
          <w:lang w:val="en-US"/>
        </w:rPr>
        <w:t xml:space="preserve">is </w:t>
      </w:r>
      <w:r w:rsidRPr="002C75B8">
        <w:rPr>
          <w:sz w:val="22"/>
          <w:lang w:val="en-US"/>
        </w:rPr>
        <w:t xml:space="preserve">due to a lack of public awareness of the disease. </w:t>
      </w:r>
    </w:p>
    <w:p w:rsidR="000C02FB" w:rsidRPr="002C75B8" w:rsidRDefault="000C02FB" w:rsidP="000C02FB">
      <w:pPr>
        <w:ind w:left="0" w:firstLine="0"/>
        <w:rPr>
          <w:sz w:val="22"/>
          <w:lang w:val="en-US"/>
        </w:rPr>
      </w:pPr>
    </w:p>
    <w:p w:rsidR="000C02FB" w:rsidRPr="002C75B8" w:rsidRDefault="000C02FB" w:rsidP="000C02FB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No cases of HIV-</w:t>
      </w:r>
      <w:r w:rsidRPr="002C75B8">
        <w:rPr>
          <w:i/>
          <w:iCs/>
          <w:sz w:val="22"/>
          <w:lang w:val="en-US"/>
        </w:rPr>
        <w:t>Leishmania</w:t>
      </w:r>
      <w:r w:rsidRPr="002C75B8">
        <w:rPr>
          <w:sz w:val="22"/>
          <w:lang w:val="en-US"/>
        </w:rPr>
        <w:t xml:space="preserve"> co-infection </w:t>
      </w:r>
      <w:r>
        <w:rPr>
          <w:sz w:val="22"/>
          <w:lang w:val="en-US"/>
        </w:rPr>
        <w:t>have been</w:t>
      </w:r>
      <w:r w:rsidRPr="002C75B8">
        <w:rPr>
          <w:sz w:val="22"/>
          <w:lang w:val="en-US"/>
        </w:rPr>
        <w:t xml:space="preserve"> reported.</w:t>
      </w:r>
    </w:p>
    <w:p w:rsidR="000C02FB" w:rsidRPr="002C75B8" w:rsidRDefault="000C02FB" w:rsidP="000C02FB">
      <w:pPr>
        <w:ind w:left="0" w:firstLine="0"/>
        <w:rPr>
          <w:sz w:val="22"/>
          <w:lang w:val="en-US"/>
        </w:rPr>
      </w:pPr>
    </w:p>
    <w:p w:rsidR="000C02FB" w:rsidRDefault="000C02FB" w:rsidP="000C02FB">
      <w:pPr>
        <w:ind w:left="0" w:firstLine="0"/>
        <w:rPr>
          <w:sz w:val="22"/>
          <w:lang w:val="en-US"/>
        </w:rPr>
      </w:pPr>
    </w:p>
    <w:p w:rsidR="000C02FB" w:rsidRPr="002C75B8" w:rsidRDefault="000C02FB" w:rsidP="000C02FB">
      <w:pPr>
        <w:ind w:left="0" w:firstLine="0"/>
        <w:rPr>
          <w:sz w:val="22"/>
          <w:lang w:val="en-US"/>
        </w:rPr>
      </w:pPr>
    </w:p>
    <w:p w:rsidR="000C02FB" w:rsidRDefault="000C02FB" w:rsidP="000C02FB">
      <w:pPr>
        <w:ind w:left="0" w:firstLine="0"/>
        <w:rPr>
          <w:b/>
          <w:bCs/>
          <w:sz w:val="22"/>
          <w:lang w:val="en-GB"/>
        </w:rPr>
      </w:pPr>
    </w:p>
    <w:p w:rsidR="000C02FB" w:rsidRDefault="000C02FB" w:rsidP="000C02FB">
      <w:pPr>
        <w:ind w:left="0" w:firstLine="0"/>
        <w:rPr>
          <w:b/>
          <w:bCs/>
          <w:sz w:val="22"/>
          <w:lang w:val="en-GB"/>
        </w:rPr>
      </w:pPr>
    </w:p>
    <w:p w:rsidR="000C02FB" w:rsidRDefault="000C02FB" w:rsidP="000C02FB">
      <w:pPr>
        <w:ind w:left="0" w:firstLine="0"/>
        <w:rPr>
          <w:b/>
          <w:bCs/>
          <w:sz w:val="22"/>
          <w:lang w:val="en-GB"/>
        </w:rPr>
      </w:pPr>
      <w:r w:rsidRPr="002C75B8">
        <w:rPr>
          <w:b/>
          <w:bCs/>
          <w:sz w:val="22"/>
          <w:lang w:val="en-GB"/>
        </w:rPr>
        <w:lastRenderedPageBreak/>
        <w:t>PARASITOLOGICAL INFORMATION</w:t>
      </w:r>
    </w:p>
    <w:p w:rsidR="000C02FB" w:rsidRPr="002C75B8" w:rsidRDefault="000C02FB" w:rsidP="000C02FB">
      <w:pPr>
        <w:ind w:left="0" w:firstLine="0"/>
        <w:rPr>
          <w:b/>
          <w:bCs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1630"/>
        <w:gridCol w:w="1790"/>
        <w:gridCol w:w="2474"/>
      </w:tblGrid>
      <w:tr w:rsidR="000C02FB" w:rsidRPr="002C75B8" w:rsidTr="00A7768B">
        <w:tc>
          <w:tcPr>
            <w:tcW w:w="2628" w:type="dxa"/>
            <w:vAlign w:val="center"/>
          </w:tcPr>
          <w:p w:rsidR="000C02FB" w:rsidRPr="007574ED" w:rsidRDefault="000C02FB" w:rsidP="00A7768B">
            <w:pPr>
              <w:ind w:left="0" w:firstLine="0"/>
              <w:jc w:val="left"/>
              <w:rPr>
                <w:sz w:val="22"/>
                <w:lang w:val="en-US"/>
              </w:rPr>
            </w:pPr>
            <w:r w:rsidRPr="007574ED">
              <w:rPr>
                <w:b/>
                <w:bCs/>
                <w:i/>
                <w:iCs/>
                <w:sz w:val="22"/>
              </w:rPr>
              <w:t xml:space="preserve">Leishmania </w:t>
            </w:r>
            <w:proofErr w:type="spellStart"/>
            <w:r w:rsidRPr="007574ED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1630" w:type="dxa"/>
            <w:vAlign w:val="center"/>
          </w:tcPr>
          <w:p w:rsidR="000C02FB" w:rsidRPr="007574ED" w:rsidRDefault="000C02FB" w:rsidP="00A7768B">
            <w:pPr>
              <w:ind w:left="0" w:firstLine="0"/>
              <w:jc w:val="left"/>
              <w:rPr>
                <w:b/>
                <w:bCs/>
                <w:sz w:val="22"/>
              </w:rPr>
            </w:pPr>
          </w:p>
          <w:p w:rsidR="000C02FB" w:rsidRPr="007574ED" w:rsidRDefault="000C02FB" w:rsidP="00A7768B">
            <w:pPr>
              <w:ind w:left="0" w:firstLine="0"/>
              <w:jc w:val="left"/>
              <w:rPr>
                <w:sz w:val="22"/>
                <w:lang w:val="en-US"/>
              </w:rPr>
            </w:pPr>
            <w:proofErr w:type="spellStart"/>
            <w:r w:rsidRPr="007574ED">
              <w:rPr>
                <w:b/>
                <w:bCs/>
                <w:sz w:val="22"/>
              </w:rPr>
              <w:t>Clinical</w:t>
            </w:r>
            <w:proofErr w:type="spellEnd"/>
            <w:r w:rsidRPr="007574ED">
              <w:rPr>
                <w:b/>
                <w:bCs/>
                <w:sz w:val="22"/>
              </w:rPr>
              <w:t xml:space="preserve"> </w:t>
            </w:r>
            <w:proofErr w:type="spellStart"/>
            <w:r w:rsidRPr="007574ED">
              <w:rPr>
                <w:b/>
                <w:bCs/>
                <w:sz w:val="22"/>
              </w:rPr>
              <w:t>form</w:t>
            </w:r>
            <w:proofErr w:type="spellEnd"/>
          </w:p>
        </w:tc>
        <w:tc>
          <w:tcPr>
            <w:tcW w:w="1790" w:type="dxa"/>
            <w:vAlign w:val="center"/>
          </w:tcPr>
          <w:p w:rsidR="000C02FB" w:rsidRPr="007574ED" w:rsidRDefault="000C02FB" w:rsidP="00A7768B">
            <w:pPr>
              <w:ind w:left="0" w:firstLine="0"/>
              <w:jc w:val="left"/>
              <w:rPr>
                <w:b/>
                <w:bCs/>
                <w:sz w:val="22"/>
              </w:rPr>
            </w:pPr>
          </w:p>
          <w:p w:rsidR="000C02FB" w:rsidRPr="007574ED" w:rsidRDefault="000C02FB" w:rsidP="00A7768B">
            <w:pPr>
              <w:ind w:left="0" w:firstLine="0"/>
              <w:jc w:val="left"/>
              <w:rPr>
                <w:sz w:val="22"/>
                <w:lang w:val="en-US"/>
              </w:rPr>
            </w:pPr>
            <w:r w:rsidRPr="007574ED">
              <w:rPr>
                <w:b/>
                <w:bCs/>
                <w:sz w:val="22"/>
              </w:rPr>
              <w:t xml:space="preserve">Vector </w:t>
            </w:r>
            <w:proofErr w:type="spellStart"/>
            <w:r w:rsidRPr="007574ED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2474" w:type="dxa"/>
            <w:vAlign w:val="center"/>
          </w:tcPr>
          <w:p w:rsidR="000C02FB" w:rsidRPr="007574ED" w:rsidRDefault="000C02FB" w:rsidP="00A7768B">
            <w:pPr>
              <w:ind w:left="0" w:firstLine="0"/>
              <w:jc w:val="left"/>
              <w:rPr>
                <w:b/>
                <w:bCs/>
                <w:sz w:val="22"/>
              </w:rPr>
            </w:pPr>
          </w:p>
          <w:p w:rsidR="000C02FB" w:rsidRPr="007574ED" w:rsidRDefault="000C02FB" w:rsidP="00A7768B">
            <w:pPr>
              <w:ind w:left="0" w:firstLine="0"/>
              <w:jc w:val="left"/>
              <w:rPr>
                <w:sz w:val="22"/>
                <w:lang w:val="en-US"/>
              </w:rPr>
            </w:pPr>
            <w:proofErr w:type="spellStart"/>
            <w:r w:rsidRPr="007574ED">
              <w:rPr>
                <w:b/>
                <w:bCs/>
                <w:sz w:val="22"/>
              </w:rPr>
              <w:t>Reservoirs</w:t>
            </w:r>
            <w:proofErr w:type="spellEnd"/>
          </w:p>
        </w:tc>
      </w:tr>
      <w:tr w:rsidR="000C02FB" w:rsidRPr="002C75B8" w:rsidTr="00A7768B">
        <w:trPr>
          <w:trHeight w:val="527"/>
        </w:trPr>
        <w:tc>
          <w:tcPr>
            <w:tcW w:w="2628" w:type="dxa"/>
            <w:vAlign w:val="center"/>
          </w:tcPr>
          <w:p w:rsidR="000C02FB" w:rsidRPr="007574ED" w:rsidRDefault="000C02FB" w:rsidP="00A7768B">
            <w:pPr>
              <w:pStyle w:val="NormalWeb"/>
              <w:spacing w:before="0" w:beforeAutospacing="0" w:after="0" w:afterAutospacing="0" w:line="313" w:lineRule="atLeast"/>
              <w:rPr>
                <w:rFonts w:ascii="Arial" w:hAnsi="Arial" w:cs="Arial"/>
                <w:sz w:val="22"/>
                <w:szCs w:val="22"/>
              </w:rPr>
            </w:pPr>
            <w:r w:rsidRPr="007574ED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>L. infantum</w:t>
            </w:r>
          </w:p>
        </w:tc>
        <w:tc>
          <w:tcPr>
            <w:tcW w:w="1630" w:type="dxa"/>
            <w:vAlign w:val="center"/>
          </w:tcPr>
          <w:p w:rsidR="000C02FB" w:rsidRPr="007574ED" w:rsidRDefault="000C02FB" w:rsidP="00A7768B">
            <w:pPr>
              <w:pStyle w:val="NormalWeb"/>
              <w:spacing w:before="0" w:beforeAutospacing="0" w:after="0" w:afterAutospacing="0" w:line="313" w:lineRule="atLeast"/>
              <w:rPr>
                <w:rFonts w:ascii="Arial" w:hAnsi="Arial" w:cs="Arial"/>
                <w:sz w:val="22"/>
                <w:szCs w:val="22"/>
              </w:rPr>
            </w:pPr>
            <w:r w:rsidRPr="007574ED">
              <w:rPr>
                <w:rFonts w:ascii="Arial" w:eastAsia="SimSun" w:hAnsi="Arial" w:cs="Arial"/>
                <w:color w:val="000000"/>
                <w:kern w:val="24"/>
                <w:sz w:val="22"/>
                <w:szCs w:val="22"/>
              </w:rPr>
              <w:t>ZVL, CL</w:t>
            </w:r>
          </w:p>
        </w:tc>
        <w:tc>
          <w:tcPr>
            <w:tcW w:w="1790" w:type="dxa"/>
            <w:vAlign w:val="center"/>
          </w:tcPr>
          <w:p w:rsidR="000C02FB" w:rsidRPr="007574ED" w:rsidRDefault="000C02FB" w:rsidP="00A7768B">
            <w:pPr>
              <w:pStyle w:val="NormalWeb"/>
              <w:spacing w:before="0" w:beforeAutospacing="0" w:after="0" w:afterAutospacing="0" w:line="313" w:lineRule="atLeast"/>
              <w:rPr>
                <w:rFonts w:ascii="Arial" w:hAnsi="Arial" w:cs="Arial"/>
                <w:sz w:val="22"/>
                <w:szCs w:val="22"/>
              </w:rPr>
            </w:pPr>
            <w:r w:rsidRPr="007574ED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P. </w:t>
            </w:r>
            <w:proofErr w:type="spellStart"/>
            <w:r w:rsidRPr="007574ED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  <w:lang w:val="es-CO"/>
              </w:rPr>
              <w:t>syriacus</w:t>
            </w:r>
            <w:proofErr w:type="spellEnd"/>
          </w:p>
        </w:tc>
        <w:tc>
          <w:tcPr>
            <w:tcW w:w="2474" w:type="dxa"/>
            <w:vAlign w:val="center"/>
          </w:tcPr>
          <w:p w:rsidR="000C02FB" w:rsidRPr="007574ED" w:rsidRDefault="000C02FB" w:rsidP="00A7768B">
            <w:pPr>
              <w:pStyle w:val="NormalWeb"/>
              <w:spacing w:before="0" w:beforeAutospacing="0" w:after="0" w:afterAutospacing="0" w:line="313" w:lineRule="atLeast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7574ED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>Canis</w:t>
            </w:r>
            <w:proofErr w:type="spellEnd"/>
            <w:r w:rsidRPr="007574ED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7574ED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>familiaris</w:t>
            </w:r>
            <w:proofErr w:type="spellEnd"/>
          </w:p>
        </w:tc>
      </w:tr>
      <w:tr w:rsidR="000C02FB" w:rsidRPr="002C75B8" w:rsidTr="00A7768B">
        <w:tc>
          <w:tcPr>
            <w:tcW w:w="2628" w:type="dxa"/>
            <w:vAlign w:val="center"/>
          </w:tcPr>
          <w:p w:rsidR="000C02FB" w:rsidRPr="007574ED" w:rsidRDefault="000C02FB" w:rsidP="00A7768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</w:rPr>
            </w:pPr>
            <w:r w:rsidRPr="007574ED">
              <w:rPr>
                <w:i/>
                <w:iCs/>
                <w:color w:val="000000"/>
                <w:sz w:val="22"/>
                <w:lang w:val="en-US"/>
              </w:rPr>
              <w:t xml:space="preserve">L. </w:t>
            </w:r>
            <w:proofErr w:type="spellStart"/>
            <w:r w:rsidRPr="007574ED">
              <w:rPr>
                <w:i/>
                <w:iCs/>
                <w:color w:val="000000"/>
                <w:sz w:val="22"/>
                <w:lang w:val="en-US"/>
              </w:rPr>
              <w:t>killicki</w:t>
            </w:r>
            <w:proofErr w:type="spellEnd"/>
          </w:p>
          <w:p w:rsidR="000C02FB" w:rsidRPr="007574ED" w:rsidRDefault="000C02FB" w:rsidP="00A7768B">
            <w:pPr>
              <w:pStyle w:val="NormalWeb"/>
              <w:spacing w:before="0" w:beforeAutospacing="0" w:after="0" w:afterAutospacing="0" w:line="313" w:lineRule="atLeast"/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0C02FB" w:rsidRPr="007574ED" w:rsidRDefault="000C02FB" w:rsidP="00A7768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</w:rPr>
            </w:pPr>
            <w:r w:rsidRPr="007574ED">
              <w:rPr>
                <w:color w:val="000000"/>
                <w:sz w:val="22"/>
                <w:lang w:val="en-US"/>
              </w:rPr>
              <w:t>CL</w:t>
            </w:r>
          </w:p>
          <w:p w:rsidR="000C02FB" w:rsidRPr="007574ED" w:rsidRDefault="000C02FB" w:rsidP="00A7768B">
            <w:pPr>
              <w:pStyle w:val="NormalWeb"/>
              <w:spacing w:before="0" w:beforeAutospacing="0" w:after="0" w:afterAutospacing="0" w:line="313" w:lineRule="atLeast"/>
              <w:rPr>
                <w:rFonts w:ascii="Arial" w:eastAsia="SimSun" w:hAnsi="Arial" w:cs="Arial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0C02FB" w:rsidRPr="007574ED" w:rsidRDefault="000C02FB" w:rsidP="00A7768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</w:rPr>
            </w:pPr>
            <w:r w:rsidRPr="007574ED">
              <w:rPr>
                <w:color w:val="000000"/>
                <w:sz w:val="22"/>
                <w:lang w:val="en-US"/>
              </w:rPr>
              <w:t>unknown</w:t>
            </w:r>
          </w:p>
          <w:p w:rsidR="000C02FB" w:rsidRPr="007574ED" w:rsidRDefault="000C02FB" w:rsidP="00A7768B">
            <w:pPr>
              <w:pStyle w:val="NormalWeb"/>
              <w:spacing w:before="0" w:beforeAutospacing="0" w:after="0" w:afterAutospacing="0" w:line="313" w:lineRule="atLeast"/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2474" w:type="dxa"/>
            <w:vAlign w:val="center"/>
          </w:tcPr>
          <w:p w:rsidR="000C02FB" w:rsidRPr="007574ED" w:rsidRDefault="000C02FB" w:rsidP="00A7768B">
            <w:pPr>
              <w:pStyle w:val="NormalWeb"/>
              <w:spacing w:before="0" w:beforeAutospacing="0" w:after="0" w:afterAutospacing="0" w:line="313" w:lineRule="atLeast"/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</w:pPr>
          </w:p>
        </w:tc>
      </w:tr>
      <w:tr w:rsidR="000C02FB" w:rsidRPr="002C75B8" w:rsidTr="00A7768B">
        <w:tc>
          <w:tcPr>
            <w:tcW w:w="2628" w:type="dxa"/>
            <w:vAlign w:val="center"/>
          </w:tcPr>
          <w:p w:rsidR="000C02FB" w:rsidRPr="007574ED" w:rsidRDefault="000C02FB" w:rsidP="00A7768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</w:rPr>
            </w:pPr>
            <w:r w:rsidRPr="007574ED">
              <w:rPr>
                <w:i/>
                <w:iCs/>
                <w:color w:val="000000"/>
                <w:sz w:val="22"/>
                <w:lang w:val="en-US"/>
              </w:rPr>
              <w:t>L. major</w:t>
            </w:r>
          </w:p>
          <w:p w:rsidR="000C02FB" w:rsidRPr="007574ED" w:rsidRDefault="000C02FB" w:rsidP="00A7768B">
            <w:pPr>
              <w:pStyle w:val="NormalWeb"/>
              <w:spacing w:before="0" w:beforeAutospacing="0" w:after="0" w:afterAutospacing="0" w:line="313" w:lineRule="atLeast"/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0C02FB" w:rsidRPr="007574ED" w:rsidRDefault="000C02FB" w:rsidP="00A7768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</w:rPr>
            </w:pPr>
            <w:r w:rsidRPr="007574ED">
              <w:rPr>
                <w:color w:val="000000"/>
                <w:sz w:val="22"/>
                <w:lang w:val="en-US"/>
              </w:rPr>
              <w:t>ZCL</w:t>
            </w:r>
          </w:p>
          <w:p w:rsidR="000C02FB" w:rsidRPr="007574ED" w:rsidRDefault="000C02FB" w:rsidP="00A7768B">
            <w:pPr>
              <w:pStyle w:val="NormalWeb"/>
              <w:spacing w:before="0" w:beforeAutospacing="0" w:after="0" w:afterAutospacing="0" w:line="313" w:lineRule="atLeast"/>
              <w:rPr>
                <w:rFonts w:ascii="Arial" w:eastAsia="SimSun" w:hAnsi="Arial" w:cs="Arial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0C02FB" w:rsidRPr="007574ED" w:rsidRDefault="000C02FB" w:rsidP="00A7768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</w:rPr>
            </w:pPr>
            <w:r w:rsidRPr="007574ED">
              <w:rPr>
                <w:i/>
                <w:iCs/>
                <w:color w:val="000000"/>
                <w:sz w:val="22"/>
                <w:lang w:val="en-US"/>
              </w:rPr>
              <w:t xml:space="preserve">P. </w:t>
            </w:r>
            <w:proofErr w:type="spellStart"/>
            <w:r w:rsidRPr="007574ED">
              <w:rPr>
                <w:i/>
                <w:iCs/>
                <w:color w:val="000000"/>
                <w:sz w:val="22"/>
                <w:lang w:val="en-US"/>
              </w:rPr>
              <w:t>papatasi</w:t>
            </w:r>
            <w:proofErr w:type="spellEnd"/>
          </w:p>
          <w:p w:rsidR="000C02FB" w:rsidRPr="007574ED" w:rsidRDefault="000C02FB" w:rsidP="00A7768B">
            <w:pPr>
              <w:pStyle w:val="NormalWeb"/>
              <w:spacing w:before="0" w:beforeAutospacing="0" w:after="0" w:afterAutospacing="0" w:line="313" w:lineRule="atLeast"/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2474" w:type="dxa"/>
            <w:vAlign w:val="center"/>
          </w:tcPr>
          <w:p w:rsidR="000C02FB" w:rsidRPr="007574ED" w:rsidRDefault="000C02FB" w:rsidP="00A7768B">
            <w:pPr>
              <w:pStyle w:val="NormalWeb"/>
              <w:spacing w:before="0" w:beforeAutospacing="0" w:after="0" w:afterAutospacing="0"/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</w:pPr>
            <w:proofErr w:type="spellStart"/>
            <w:r w:rsidRPr="007574ED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s-ES_tradnl"/>
              </w:rPr>
              <w:t>Ps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s-ES_tradnl"/>
              </w:rPr>
              <w:t>ammomys</w:t>
            </w:r>
            <w:proofErr w:type="spellEnd"/>
            <w:r w:rsidRPr="007574ED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574ED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s-ES_tradnl"/>
              </w:rPr>
              <w:t>obesus</w:t>
            </w:r>
            <w:proofErr w:type="spellEnd"/>
            <w:r w:rsidRPr="007574ED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7574ED">
              <w:rPr>
                <w:rFonts w:ascii="Arial" w:hAnsi="Arial" w:cs="Arial"/>
                <w:i/>
                <w:iCs/>
                <w:color w:val="000000"/>
                <w:sz w:val="22"/>
                <w:lang w:val="es-ES_tradnl"/>
              </w:rPr>
              <w:t>M</w:t>
            </w:r>
            <w:r w:rsidRPr="007574ED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s-ES_tradnl"/>
              </w:rPr>
              <w:t>eriones</w:t>
            </w:r>
            <w:proofErr w:type="spellEnd"/>
            <w:r w:rsidRPr="007574ED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574ED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s-ES_tradnl"/>
              </w:rPr>
              <w:t>spp</w:t>
            </w:r>
            <w:proofErr w:type="spellEnd"/>
            <w:r w:rsidRPr="007574ED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s-ES_tradnl"/>
              </w:rPr>
              <w:t>.</w:t>
            </w:r>
          </w:p>
        </w:tc>
      </w:tr>
    </w:tbl>
    <w:p w:rsidR="000C02FB" w:rsidRPr="002C75B8" w:rsidRDefault="000C02FB" w:rsidP="000C02FB">
      <w:pPr>
        <w:ind w:left="0" w:firstLine="0"/>
        <w:rPr>
          <w:sz w:val="22"/>
          <w:lang w:val="en-GB"/>
        </w:rPr>
      </w:pPr>
    </w:p>
    <w:p w:rsidR="000C02FB" w:rsidRPr="002C75B8" w:rsidRDefault="000C02FB" w:rsidP="000C02FB">
      <w:pPr>
        <w:ind w:left="0" w:firstLine="0"/>
        <w:rPr>
          <w:b/>
          <w:bCs/>
          <w:sz w:val="22"/>
          <w:lang w:val="en-GB"/>
        </w:rPr>
      </w:pPr>
    </w:p>
    <w:p w:rsidR="000C02FB" w:rsidRPr="002C75B8" w:rsidRDefault="000C02FB" w:rsidP="000C02FB">
      <w:pPr>
        <w:ind w:left="0" w:firstLine="0"/>
        <w:rPr>
          <w:b/>
          <w:bCs/>
          <w:sz w:val="22"/>
          <w:lang w:val="en-GB"/>
        </w:rPr>
      </w:pPr>
    </w:p>
    <w:p w:rsidR="000C02FB" w:rsidRPr="002C75B8" w:rsidRDefault="000C02FB" w:rsidP="000C02FB">
      <w:pPr>
        <w:ind w:left="0" w:firstLine="0"/>
        <w:rPr>
          <w:b/>
          <w:bCs/>
          <w:sz w:val="22"/>
          <w:lang w:val="en-GB"/>
        </w:rPr>
      </w:pPr>
      <w:r w:rsidRPr="002C75B8">
        <w:rPr>
          <w:b/>
          <w:bCs/>
          <w:sz w:val="22"/>
          <w:lang w:val="en-GB"/>
        </w:rPr>
        <w:t>MAPS AND TRENDS</w:t>
      </w:r>
    </w:p>
    <w:p w:rsidR="000C02FB" w:rsidRDefault="000C02FB" w:rsidP="000C02FB">
      <w:pPr>
        <w:ind w:left="0" w:firstLine="0"/>
        <w:rPr>
          <w:b/>
          <w:bCs/>
          <w:sz w:val="22"/>
          <w:lang w:val="en-GB"/>
        </w:rPr>
      </w:pPr>
    </w:p>
    <w:p w:rsidR="000C02FB" w:rsidRPr="002C75B8" w:rsidRDefault="000C02FB" w:rsidP="000C02FB">
      <w:pPr>
        <w:ind w:left="0" w:firstLine="0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>Visceral leishmaniasis</w:t>
      </w:r>
    </w:p>
    <w:p w:rsidR="000C02FB" w:rsidRDefault="000C02FB" w:rsidP="000C02FB">
      <w:pPr>
        <w:ind w:left="0" w:firstLine="0"/>
        <w:rPr>
          <w:b/>
          <w:bCs/>
          <w:sz w:val="22"/>
          <w:lang w:val="en-GB"/>
        </w:rPr>
      </w:pPr>
    </w:p>
    <w:p w:rsidR="000C02FB" w:rsidRDefault="000C02FB" w:rsidP="000C02FB">
      <w:pPr>
        <w:ind w:left="0" w:firstLine="0"/>
        <w:rPr>
          <w:b/>
          <w:bCs/>
          <w:sz w:val="22"/>
          <w:lang w:val="en-GB"/>
        </w:rPr>
      </w:pPr>
      <w:r>
        <w:rPr>
          <w:b/>
          <w:bCs/>
          <w:noProof/>
          <w:sz w:val="22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-635</wp:posOffset>
            </wp:positionV>
            <wp:extent cx="3304540" cy="2338705"/>
            <wp:effectExtent l="19050" t="0" r="0" b="0"/>
            <wp:wrapNone/>
            <wp:docPr id="4" name="Picture 4" descr="LYVLmo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YVLmod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233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2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56515</wp:posOffset>
            </wp:positionV>
            <wp:extent cx="3200400" cy="2263140"/>
            <wp:effectExtent l="19050" t="0" r="0" b="0"/>
            <wp:wrapNone/>
            <wp:docPr id="5" name="Picture 5" descr="LYVLIR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YVLIRmo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6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02FB" w:rsidRDefault="000C02FB" w:rsidP="000C02FB">
      <w:pPr>
        <w:ind w:left="0" w:firstLine="0"/>
        <w:rPr>
          <w:b/>
          <w:bCs/>
          <w:sz w:val="22"/>
          <w:lang w:val="en-GB"/>
        </w:rPr>
      </w:pPr>
    </w:p>
    <w:p w:rsidR="000C02FB" w:rsidRDefault="000C02FB" w:rsidP="000C02FB">
      <w:pPr>
        <w:ind w:left="0" w:firstLine="0"/>
        <w:rPr>
          <w:b/>
          <w:bCs/>
          <w:sz w:val="22"/>
          <w:lang w:val="en-GB"/>
        </w:rPr>
      </w:pPr>
    </w:p>
    <w:p w:rsidR="000C02FB" w:rsidRDefault="000C02FB" w:rsidP="000C02FB">
      <w:pPr>
        <w:ind w:left="0" w:firstLine="0"/>
        <w:rPr>
          <w:b/>
          <w:bCs/>
          <w:sz w:val="22"/>
          <w:lang w:val="en-GB"/>
        </w:rPr>
      </w:pPr>
    </w:p>
    <w:p w:rsidR="000C02FB" w:rsidRPr="002C75B8" w:rsidRDefault="000C02FB" w:rsidP="000C02FB">
      <w:pPr>
        <w:ind w:left="0" w:firstLine="0"/>
        <w:rPr>
          <w:b/>
          <w:bCs/>
          <w:sz w:val="22"/>
          <w:lang w:val="en-GB"/>
        </w:rPr>
      </w:pPr>
    </w:p>
    <w:p w:rsidR="000C02FB" w:rsidRPr="002C75B8" w:rsidRDefault="000C02FB" w:rsidP="000C02FB">
      <w:pPr>
        <w:ind w:left="0" w:firstLine="0"/>
        <w:rPr>
          <w:b/>
          <w:bCs/>
          <w:sz w:val="22"/>
          <w:lang w:val="en-GB"/>
        </w:rPr>
      </w:pPr>
    </w:p>
    <w:p w:rsidR="000C02FB" w:rsidRPr="002C75B8" w:rsidRDefault="000C02FB" w:rsidP="000C02FB">
      <w:pPr>
        <w:ind w:left="0" w:firstLine="0"/>
        <w:rPr>
          <w:b/>
          <w:bCs/>
          <w:sz w:val="22"/>
          <w:lang w:val="en-GB"/>
        </w:rPr>
      </w:pPr>
    </w:p>
    <w:p w:rsidR="000C02FB" w:rsidRPr="002C75B8" w:rsidRDefault="000C02FB" w:rsidP="000C02FB">
      <w:pPr>
        <w:ind w:left="0" w:firstLine="0"/>
        <w:rPr>
          <w:b/>
          <w:bCs/>
          <w:sz w:val="22"/>
          <w:lang w:val="en-GB"/>
        </w:rPr>
      </w:pPr>
    </w:p>
    <w:p w:rsidR="000C02FB" w:rsidRPr="002C75B8" w:rsidRDefault="000C02FB" w:rsidP="000C02FB">
      <w:pPr>
        <w:ind w:left="0" w:firstLine="0"/>
        <w:rPr>
          <w:b/>
          <w:bCs/>
          <w:sz w:val="22"/>
          <w:lang w:val="en-GB"/>
        </w:rPr>
      </w:pPr>
    </w:p>
    <w:p w:rsidR="000C02FB" w:rsidRPr="002C75B8" w:rsidRDefault="000C02FB" w:rsidP="000C02FB">
      <w:pPr>
        <w:ind w:left="0" w:firstLine="0"/>
        <w:rPr>
          <w:b/>
          <w:bCs/>
          <w:sz w:val="22"/>
          <w:lang w:val="en-GB"/>
        </w:rPr>
      </w:pPr>
    </w:p>
    <w:p w:rsidR="000C02FB" w:rsidRPr="002C75B8" w:rsidRDefault="000C02FB" w:rsidP="000C02FB">
      <w:pPr>
        <w:ind w:left="0" w:firstLine="0"/>
        <w:rPr>
          <w:b/>
          <w:bCs/>
          <w:sz w:val="22"/>
          <w:lang w:val="en-GB"/>
        </w:rPr>
      </w:pPr>
    </w:p>
    <w:p w:rsidR="000C02FB" w:rsidRPr="002C75B8" w:rsidRDefault="000C02FB" w:rsidP="000C02FB">
      <w:pPr>
        <w:ind w:left="0" w:firstLine="0"/>
        <w:rPr>
          <w:b/>
          <w:bCs/>
          <w:sz w:val="22"/>
          <w:lang w:val="en-GB"/>
        </w:rPr>
      </w:pPr>
    </w:p>
    <w:p w:rsidR="000C02FB" w:rsidRPr="002C75B8" w:rsidRDefault="000C02FB" w:rsidP="000C02FB">
      <w:pPr>
        <w:ind w:left="0" w:firstLine="0"/>
        <w:rPr>
          <w:b/>
          <w:bCs/>
          <w:sz w:val="22"/>
          <w:lang w:val="en-GB"/>
        </w:rPr>
      </w:pPr>
    </w:p>
    <w:p w:rsidR="000C02FB" w:rsidRPr="002C75B8" w:rsidRDefault="000C02FB" w:rsidP="000C02FB">
      <w:pPr>
        <w:ind w:left="0" w:firstLine="0"/>
        <w:rPr>
          <w:b/>
          <w:bCs/>
          <w:sz w:val="22"/>
          <w:lang w:val="en-GB"/>
        </w:rPr>
      </w:pPr>
    </w:p>
    <w:p w:rsidR="000C02FB" w:rsidRPr="002C75B8" w:rsidRDefault="000C02FB" w:rsidP="000C02FB">
      <w:pPr>
        <w:ind w:left="0" w:firstLine="0"/>
        <w:rPr>
          <w:b/>
          <w:bCs/>
          <w:sz w:val="22"/>
          <w:lang w:val="en-GB"/>
        </w:rPr>
      </w:pPr>
    </w:p>
    <w:p w:rsidR="000C02FB" w:rsidRPr="002C75B8" w:rsidRDefault="000C02FB" w:rsidP="000C02FB">
      <w:pPr>
        <w:ind w:left="0" w:firstLine="0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>Cutaneous leishmaniasis</w:t>
      </w:r>
    </w:p>
    <w:p w:rsidR="000C02FB" w:rsidRPr="002C75B8" w:rsidRDefault="000C02FB" w:rsidP="000C02FB">
      <w:pPr>
        <w:ind w:left="0" w:firstLine="0"/>
        <w:rPr>
          <w:b/>
          <w:bCs/>
          <w:sz w:val="22"/>
          <w:lang w:val="en-GB"/>
        </w:rPr>
      </w:pPr>
      <w:r>
        <w:rPr>
          <w:b/>
          <w:bCs/>
          <w:noProof/>
          <w:sz w:val="22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132080</wp:posOffset>
            </wp:positionV>
            <wp:extent cx="3223895" cy="2279015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895" cy="227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02FB" w:rsidRPr="002C75B8" w:rsidRDefault="000C02FB" w:rsidP="000C02FB">
      <w:pPr>
        <w:ind w:left="0" w:firstLine="0"/>
        <w:rPr>
          <w:b/>
          <w:bCs/>
          <w:sz w:val="22"/>
          <w:lang w:val="en-GB"/>
        </w:rPr>
      </w:pPr>
      <w:r>
        <w:rPr>
          <w:b/>
          <w:bCs/>
          <w:noProof/>
          <w:sz w:val="22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85725</wp:posOffset>
            </wp:positionV>
            <wp:extent cx="3207385" cy="226758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385" cy="226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02FB" w:rsidRPr="002C75B8" w:rsidRDefault="000C02FB" w:rsidP="000C02FB">
      <w:pPr>
        <w:ind w:left="0" w:firstLine="0"/>
        <w:rPr>
          <w:b/>
          <w:bCs/>
          <w:sz w:val="22"/>
          <w:lang w:val="en-GB"/>
        </w:rPr>
      </w:pPr>
    </w:p>
    <w:p w:rsidR="000C02FB" w:rsidRPr="002C75B8" w:rsidRDefault="000C02FB" w:rsidP="000C02FB">
      <w:pPr>
        <w:ind w:left="0" w:firstLine="0"/>
        <w:rPr>
          <w:b/>
          <w:bCs/>
          <w:sz w:val="22"/>
          <w:lang w:val="en-GB"/>
        </w:rPr>
      </w:pPr>
    </w:p>
    <w:p w:rsidR="000C02FB" w:rsidRPr="002C75B8" w:rsidRDefault="000C02FB" w:rsidP="000C02FB">
      <w:pPr>
        <w:ind w:left="0" w:firstLine="0"/>
        <w:rPr>
          <w:b/>
          <w:bCs/>
          <w:sz w:val="22"/>
          <w:lang w:val="en-GB"/>
        </w:rPr>
      </w:pPr>
    </w:p>
    <w:p w:rsidR="000C02FB" w:rsidRPr="002C75B8" w:rsidRDefault="000C02FB" w:rsidP="000C02FB">
      <w:pPr>
        <w:ind w:left="0" w:firstLine="0"/>
        <w:rPr>
          <w:b/>
          <w:bCs/>
          <w:sz w:val="22"/>
          <w:lang w:val="en-GB"/>
        </w:rPr>
      </w:pPr>
    </w:p>
    <w:p w:rsidR="000C02FB" w:rsidRPr="002C75B8" w:rsidRDefault="000C02FB" w:rsidP="000C02FB">
      <w:pPr>
        <w:ind w:left="0" w:firstLine="0"/>
        <w:rPr>
          <w:b/>
          <w:bCs/>
          <w:sz w:val="22"/>
          <w:lang w:val="en-GB"/>
        </w:rPr>
      </w:pPr>
    </w:p>
    <w:p w:rsidR="000C02FB" w:rsidRPr="002C75B8" w:rsidRDefault="000C02FB" w:rsidP="000C02FB">
      <w:pPr>
        <w:ind w:left="0" w:firstLine="0"/>
        <w:rPr>
          <w:b/>
          <w:bCs/>
          <w:sz w:val="22"/>
          <w:lang w:val="en-GB"/>
        </w:rPr>
      </w:pPr>
    </w:p>
    <w:p w:rsidR="000C02FB" w:rsidRPr="002C75B8" w:rsidRDefault="000C02FB" w:rsidP="000C02FB">
      <w:pPr>
        <w:ind w:left="0" w:firstLine="0"/>
        <w:rPr>
          <w:b/>
          <w:bCs/>
          <w:sz w:val="22"/>
          <w:lang w:val="en-GB"/>
        </w:rPr>
      </w:pPr>
    </w:p>
    <w:p w:rsidR="000C02FB" w:rsidRPr="002C75B8" w:rsidRDefault="000C02FB" w:rsidP="000C02FB">
      <w:pPr>
        <w:ind w:left="0" w:firstLine="0"/>
        <w:rPr>
          <w:b/>
          <w:bCs/>
          <w:sz w:val="22"/>
          <w:lang w:val="en-GB"/>
        </w:rPr>
      </w:pPr>
    </w:p>
    <w:p w:rsidR="000C02FB" w:rsidRPr="002C75B8" w:rsidRDefault="000C02FB" w:rsidP="000C02FB">
      <w:pPr>
        <w:ind w:left="0" w:firstLine="0"/>
        <w:rPr>
          <w:b/>
          <w:bCs/>
          <w:sz w:val="22"/>
          <w:lang w:val="en-GB"/>
        </w:rPr>
      </w:pPr>
    </w:p>
    <w:p w:rsidR="000C02FB" w:rsidRPr="002C75B8" w:rsidRDefault="000C02FB" w:rsidP="000C02FB">
      <w:pPr>
        <w:ind w:left="0" w:firstLine="0"/>
        <w:rPr>
          <w:b/>
          <w:bCs/>
          <w:sz w:val="22"/>
          <w:lang w:val="en-GB"/>
        </w:rPr>
      </w:pPr>
    </w:p>
    <w:p w:rsidR="000C02FB" w:rsidRPr="002C75B8" w:rsidRDefault="000C02FB" w:rsidP="000C02FB">
      <w:pPr>
        <w:ind w:left="0" w:firstLine="0"/>
        <w:rPr>
          <w:b/>
          <w:bCs/>
          <w:sz w:val="22"/>
          <w:lang w:val="en-GB"/>
        </w:rPr>
      </w:pPr>
    </w:p>
    <w:p w:rsidR="000C02FB" w:rsidRPr="002C75B8" w:rsidRDefault="000C02FB" w:rsidP="000C02FB">
      <w:pPr>
        <w:ind w:left="0" w:firstLine="0"/>
        <w:rPr>
          <w:b/>
          <w:bCs/>
          <w:sz w:val="22"/>
          <w:lang w:val="en-GB"/>
        </w:rPr>
      </w:pPr>
    </w:p>
    <w:p w:rsidR="000C02FB" w:rsidRPr="002C75B8" w:rsidRDefault="000C02FB" w:rsidP="000C02FB">
      <w:pPr>
        <w:ind w:left="0" w:firstLine="0"/>
        <w:rPr>
          <w:b/>
          <w:bCs/>
          <w:sz w:val="22"/>
          <w:lang w:val="en-GB"/>
        </w:rPr>
      </w:pPr>
    </w:p>
    <w:p w:rsidR="000C02FB" w:rsidRPr="002C75B8" w:rsidRDefault="000C02FB" w:rsidP="000C02FB">
      <w:pPr>
        <w:ind w:left="0" w:firstLine="0"/>
        <w:rPr>
          <w:b/>
          <w:bCs/>
          <w:sz w:val="22"/>
          <w:lang w:val="en-GB"/>
        </w:rPr>
      </w:pPr>
    </w:p>
    <w:p w:rsidR="000C02FB" w:rsidRPr="002C75B8" w:rsidRDefault="000C02FB" w:rsidP="000C02FB">
      <w:pPr>
        <w:ind w:left="0" w:firstLine="0"/>
        <w:rPr>
          <w:b/>
          <w:bCs/>
          <w:sz w:val="22"/>
          <w:lang w:val="en-GB"/>
        </w:rPr>
      </w:pPr>
    </w:p>
    <w:p w:rsidR="000C02FB" w:rsidRPr="002C75B8" w:rsidRDefault="000C02FB" w:rsidP="000C02FB">
      <w:pPr>
        <w:ind w:left="0" w:firstLine="0"/>
        <w:rPr>
          <w:rFonts w:eastAsia="Times New Roman"/>
          <w:sz w:val="22"/>
          <w:lang w:val="en-GB" w:eastAsia="es-ES"/>
        </w:rPr>
      </w:pPr>
      <w:r>
        <w:rPr>
          <w:b/>
          <w:bCs/>
          <w:sz w:val="22"/>
          <w:lang w:val="en-GB"/>
        </w:rPr>
        <w:lastRenderedPageBreak/>
        <w:t>Number of visceral leishmaniasis cases</w:t>
      </w:r>
    </w:p>
    <w:p w:rsidR="000C02FB" w:rsidRDefault="000C02FB" w:rsidP="000C02FB">
      <w:pPr>
        <w:ind w:left="0" w:firstLine="0"/>
        <w:rPr>
          <w:rFonts w:eastAsia="Times New Roman"/>
          <w:sz w:val="22"/>
          <w:lang w:val="en-GB" w:eastAsia="es-E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900"/>
      </w:tblGrid>
      <w:tr w:rsidR="000C02FB" w:rsidRPr="005C6413" w:rsidTr="00A7768B">
        <w:tc>
          <w:tcPr>
            <w:tcW w:w="900" w:type="dxa"/>
          </w:tcPr>
          <w:p w:rsidR="000C02FB" w:rsidRPr="005C6413" w:rsidRDefault="000C02FB" w:rsidP="00A7768B">
            <w:pPr>
              <w:ind w:left="0" w:firstLine="0"/>
              <w:jc w:val="center"/>
              <w:rPr>
                <w:rFonts w:eastAsia="Times New Roman"/>
                <w:sz w:val="22"/>
                <w:lang w:val="en-GB" w:eastAsia="es-ES"/>
              </w:rPr>
            </w:pPr>
            <w:r w:rsidRPr="005C6413">
              <w:rPr>
                <w:rFonts w:eastAsia="Times New Roman"/>
                <w:sz w:val="22"/>
                <w:lang w:val="en-GB" w:eastAsia="es-ES"/>
              </w:rPr>
              <w:t>2007</w:t>
            </w:r>
          </w:p>
        </w:tc>
        <w:tc>
          <w:tcPr>
            <w:tcW w:w="900" w:type="dxa"/>
          </w:tcPr>
          <w:p w:rsidR="000C02FB" w:rsidRPr="005C6413" w:rsidRDefault="000C02FB" w:rsidP="00A7768B">
            <w:pPr>
              <w:ind w:left="0" w:firstLine="0"/>
              <w:jc w:val="center"/>
              <w:rPr>
                <w:rFonts w:eastAsia="Times New Roman"/>
                <w:sz w:val="22"/>
                <w:lang w:val="en-GB" w:eastAsia="es-ES"/>
              </w:rPr>
            </w:pPr>
            <w:r w:rsidRPr="005C6413">
              <w:rPr>
                <w:rFonts w:eastAsia="Times New Roman"/>
                <w:sz w:val="22"/>
                <w:lang w:val="en-GB" w:eastAsia="es-ES"/>
              </w:rPr>
              <w:t>2008</w:t>
            </w:r>
          </w:p>
        </w:tc>
      </w:tr>
      <w:tr w:rsidR="000C02FB" w:rsidRPr="005C6413" w:rsidTr="00A7768B">
        <w:tc>
          <w:tcPr>
            <w:tcW w:w="900" w:type="dxa"/>
          </w:tcPr>
          <w:p w:rsidR="000C02FB" w:rsidRPr="005C6413" w:rsidRDefault="000C02FB" w:rsidP="00A7768B">
            <w:pPr>
              <w:ind w:left="0" w:firstLine="0"/>
              <w:jc w:val="center"/>
              <w:rPr>
                <w:rFonts w:eastAsia="Times New Roman"/>
                <w:sz w:val="22"/>
                <w:lang w:val="en-GB" w:eastAsia="es-ES"/>
              </w:rPr>
            </w:pPr>
            <w:r w:rsidRPr="005C6413">
              <w:rPr>
                <w:rFonts w:eastAsia="Times New Roman"/>
                <w:sz w:val="22"/>
                <w:lang w:val="en-GB" w:eastAsia="es-ES"/>
              </w:rPr>
              <w:t>2</w:t>
            </w:r>
          </w:p>
        </w:tc>
        <w:tc>
          <w:tcPr>
            <w:tcW w:w="900" w:type="dxa"/>
          </w:tcPr>
          <w:p w:rsidR="000C02FB" w:rsidRPr="005C6413" w:rsidRDefault="000C02FB" w:rsidP="00A7768B">
            <w:pPr>
              <w:ind w:left="0" w:firstLine="0"/>
              <w:jc w:val="center"/>
              <w:rPr>
                <w:rFonts w:eastAsia="Times New Roman"/>
                <w:sz w:val="22"/>
                <w:lang w:val="en-GB" w:eastAsia="es-ES"/>
              </w:rPr>
            </w:pPr>
            <w:r w:rsidRPr="005C6413">
              <w:rPr>
                <w:rFonts w:eastAsia="Times New Roman"/>
                <w:sz w:val="22"/>
                <w:lang w:val="en-GB" w:eastAsia="es-ES"/>
              </w:rPr>
              <w:t>3</w:t>
            </w:r>
          </w:p>
        </w:tc>
      </w:tr>
    </w:tbl>
    <w:p w:rsidR="000C02FB" w:rsidRDefault="000C02FB" w:rsidP="000C02FB">
      <w:pPr>
        <w:ind w:left="0" w:firstLine="0"/>
        <w:rPr>
          <w:rFonts w:eastAsia="Times New Roman"/>
          <w:sz w:val="22"/>
          <w:lang w:val="en-GB" w:eastAsia="es-ES"/>
        </w:rPr>
      </w:pPr>
    </w:p>
    <w:p w:rsidR="000C02FB" w:rsidRPr="002C75B8" w:rsidRDefault="000C02FB" w:rsidP="000C02FB">
      <w:pPr>
        <w:ind w:left="0" w:firstLine="0"/>
        <w:rPr>
          <w:rFonts w:eastAsia="Times New Roman"/>
          <w:sz w:val="22"/>
          <w:lang w:val="en-GB" w:eastAsia="es-ES"/>
        </w:rPr>
      </w:pPr>
    </w:p>
    <w:p w:rsidR="000C02FB" w:rsidRDefault="000C02FB" w:rsidP="000C02FB">
      <w:pPr>
        <w:ind w:left="0" w:firstLine="0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>Cutaneous leishmaniasis trend</w:t>
      </w:r>
    </w:p>
    <w:p w:rsidR="000C02FB" w:rsidRDefault="000C02FB" w:rsidP="000C02FB">
      <w:pPr>
        <w:ind w:left="0" w:firstLine="0"/>
        <w:rPr>
          <w:b/>
          <w:bCs/>
          <w:sz w:val="22"/>
          <w:lang w:val="en-GB"/>
        </w:rPr>
      </w:pPr>
      <w:r>
        <w:rPr>
          <w:b/>
          <w:bCs/>
          <w:noProof/>
          <w:sz w:val="22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67310</wp:posOffset>
            </wp:positionV>
            <wp:extent cx="4135755" cy="2173605"/>
            <wp:effectExtent l="0" t="0" r="0" b="0"/>
            <wp:wrapNone/>
            <wp:docPr id="3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0C02FB" w:rsidRPr="002C75B8" w:rsidRDefault="000C02FB" w:rsidP="000C02FB">
      <w:pPr>
        <w:ind w:left="0" w:firstLine="0"/>
        <w:rPr>
          <w:b/>
          <w:bCs/>
          <w:sz w:val="22"/>
          <w:lang w:val="en-GB"/>
        </w:rPr>
      </w:pPr>
    </w:p>
    <w:p w:rsidR="000C02FB" w:rsidRPr="002C75B8" w:rsidRDefault="000C02FB" w:rsidP="000C02FB">
      <w:pPr>
        <w:ind w:left="0" w:firstLine="0"/>
        <w:rPr>
          <w:rFonts w:eastAsia="Times New Roman"/>
          <w:sz w:val="22"/>
          <w:lang w:val="en-GB" w:eastAsia="es-ES"/>
        </w:rPr>
      </w:pPr>
    </w:p>
    <w:p w:rsidR="000C02FB" w:rsidRPr="002C75B8" w:rsidRDefault="000C02FB" w:rsidP="000C02FB">
      <w:pPr>
        <w:ind w:left="0" w:firstLine="0"/>
        <w:rPr>
          <w:rFonts w:eastAsia="Times New Roman"/>
          <w:sz w:val="22"/>
          <w:lang w:val="en-GB" w:eastAsia="es-ES"/>
        </w:rPr>
      </w:pPr>
    </w:p>
    <w:p w:rsidR="000C02FB" w:rsidRPr="002C75B8" w:rsidRDefault="000C02FB" w:rsidP="000C02FB">
      <w:pPr>
        <w:ind w:left="0" w:firstLine="0"/>
        <w:rPr>
          <w:rFonts w:eastAsia="Times New Roman"/>
          <w:sz w:val="22"/>
          <w:lang w:val="en-GB" w:eastAsia="es-ES"/>
        </w:rPr>
      </w:pPr>
    </w:p>
    <w:p w:rsidR="000C02FB" w:rsidRPr="002C75B8" w:rsidRDefault="000C02FB" w:rsidP="000C02FB">
      <w:pPr>
        <w:ind w:left="0" w:firstLine="0"/>
        <w:rPr>
          <w:rFonts w:eastAsia="Times New Roman"/>
          <w:sz w:val="22"/>
          <w:lang w:val="en-GB" w:eastAsia="es-ES"/>
        </w:rPr>
      </w:pPr>
    </w:p>
    <w:p w:rsidR="000C02FB" w:rsidRPr="002C75B8" w:rsidRDefault="000C02FB" w:rsidP="000C02FB">
      <w:pPr>
        <w:ind w:left="0" w:firstLine="0"/>
        <w:rPr>
          <w:rFonts w:eastAsia="Times New Roman"/>
          <w:sz w:val="22"/>
          <w:lang w:val="en-GB" w:eastAsia="es-ES"/>
        </w:rPr>
      </w:pPr>
    </w:p>
    <w:p w:rsidR="000C02FB" w:rsidRPr="002C75B8" w:rsidRDefault="000C02FB" w:rsidP="000C02FB">
      <w:pPr>
        <w:ind w:left="0" w:firstLine="0"/>
        <w:rPr>
          <w:rFonts w:eastAsia="Times New Roman"/>
          <w:sz w:val="22"/>
          <w:lang w:val="en-GB" w:eastAsia="es-ES"/>
        </w:rPr>
      </w:pPr>
    </w:p>
    <w:p w:rsidR="000C02FB" w:rsidRPr="002C75B8" w:rsidRDefault="000C02FB" w:rsidP="000C02FB">
      <w:pPr>
        <w:ind w:left="0" w:firstLine="0"/>
        <w:rPr>
          <w:rFonts w:eastAsia="Times New Roman"/>
          <w:sz w:val="22"/>
          <w:lang w:val="en-GB" w:eastAsia="es-ES"/>
        </w:rPr>
      </w:pPr>
    </w:p>
    <w:p w:rsidR="000C02FB" w:rsidRPr="002C75B8" w:rsidRDefault="000C02FB" w:rsidP="000C02FB">
      <w:pPr>
        <w:ind w:left="0" w:firstLine="0"/>
        <w:rPr>
          <w:rFonts w:eastAsia="Times New Roman"/>
          <w:sz w:val="22"/>
          <w:lang w:val="en-GB" w:eastAsia="es-ES"/>
        </w:rPr>
      </w:pPr>
    </w:p>
    <w:p w:rsidR="000C02FB" w:rsidRPr="002C75B8" w:rsidRDefault="000C02FB" w:rsidP="000C02FB">
      <w:pPr>
        <w:ind w:left="0" w:firstLine="0"/>
        <w:rPr>
          <w:rFonts w:eastAsia="Times New Roman"/>
          <w:sz w:val="22"/>
          <w:lang w:val="en-GB" w:eastAsia="es-ES"/>
        </w:rPr>
      </w:pPr>
    </w:p>
    <w:p w:rsidR="000C02FB" w:rsidRPr="002C75B8" w:rsidRDefault="000C02FB" w:rsidP="000C02FB">
      <w:pPr>
        <w:ind w:left="0" w:firstLine="0"/>
        <w:rPr>
          <w:rFonts w:eastAsia="Times New Roman"/>
          <w:b/>
          <w:bCs/>
          <w:sz w:val="22"/>
          <w:lang w:val="en-GB" w:eastAsia="es-ES"/>
        </w:rPr>
      </w:pPr>
    </w:p>
    <w:p w:rsidR="000C02FB" w:rsidRPr="002C75B8" w:rsidRDefault="000C02FB" w:rsidP="000C02FB">
      <w:pPr>
        <w:ind w:left="0" w:firstLine="0"/>
        <w:rPr>
          <w:rFonts w:eastAsia="Times New Roman"/>
          <w:b/>
          <w:bCs/>
          <w:sz w:val="22"/>
          <w:lang w:val="en-GB" w:eastAsia="es-ES"/>
        </w:rPr>
      </w:pPr>
    </w:p>
    <w:p w:rsidR="000C02FB" w:rsidRPr="002C75B8" w:rsidRDefault="000C02FB" w:rsidP="000C02FB">
      <w:pPr>
        <w:ind w:left="0" w:firstLine="0"/>
        <w:rPr>
          <w:rFonts w:eastAsia="Times New Roman"/>
          <w:b/>
          <w:bCs/>
          <w:sz w:val="22"/>
          <w:lang w:val="en-GB" w:eastAsia="es-ES"/>
        </w:rPr>
      </w:pPr>
    </w:p>
    <w:p w:rsidR="000C02FB" w:rsidRPr="002C75B8" w:rsidRDefault="000C02FB" w:rsidP="000C02FB">
      <w:pPr>
        <w:ind w:left="0" w:firstLine="0"/>
        <w:rPr>
          <w:rFonts w:eastAsia="Times New Roman"/>
          <w:b/>
          <w:bCs/>
          <w:sz w:val="22"/>
          <w:lang w:val="en-GB" w:eastAsia="es-ES"/>
        </w:rPr>
      </w:pPr>
    </w:p>
    <w:p w:rsidR="000C02FB" w:rsidRPr="002C75B8" w:rsidRDefault="000C02FB" w:rsidP="000C02FB">
      <w:pPr>
        <w:ind w:left="0" w:firstLine="0"/>
        <w:rPr>
          <w:rFonts w:eastAsia="Times New Roman"/>
          <w:b/>
          <w:bCs/>
          <w:sz w:val="22"/>
          <w:lang w:val="en-GB" w:eastAsia="es-ES"/>
        </w:rPr>
      </w:pPr>
      <w:r w:rsidRPr="002C75B8">
        <w:rPr>
          <w:rFonts w:eastAsia="Times New Roman"/>
          <w:b/>
          <w:bCs/>
          <w:sz w:val="22"/>
          <w:lang w:val="en-GB" w:eastAsia="es-ES"/>
        </w:rPr>
        <w:t>CONTROL</w:t>
      </w:r>
    </w:p>
    <w:p w:rsidR="000C02FB" w:rsidRPr="002C75B8" w:rsidRDefault="000C02FB" w:rsidP="000C02FB">
      <w:pPr>
        <w:ind w:left="0" w:firstLine="0"/>
        <w:rPr>
          <w:rFonts w:eastAsia="Times New Roman"/>
          <w:sz w:val="22"/>
          <w:lang w:val="en-GB" w:eastAsia="es-ES"/>
        </w:rPr>
      </w:pPr>
    </w:p>
    <w:p w:rsidR="000C02FB" w:rsidRPr="002C75B8" w:rsidRDefault="000C02FB" w:rsidP="000C02FB">
      <w:pPr>
        <w:ind w:left="0" w:firstLine="0"/>
        <w:rPr>
          <w:rFonts w:eastAsia="Times New Roman"/>
          <w:sz w:val="22"/>
          <w:lang w:val="en-US" w:eastAsia="es-ES"/>
        </w:rPr>
      </w:pPr>
      <w:r w:rsidRPr="002C75B8">
        <w:rPr>
          <w:rFonts w:eastAsia="Times New Roman"/>
          <w:sz w:val="22"/>
          <w:lang w:val="en-US" w:eastAsia="es-ES"/>
        </w:rPr>
        <w:t>Leishmaniasis notification is mandatory and a national control program</w:t>
      </w:r>
      <w:r>
        <w:rPr>
          <w:rFonts w:eastAsia="Times New Roman"/>
          <w:sz w:val="22"/>
          <w:lang w:val="en-US" w:eastAsia="es-ES"/>
        </w:rPr>
        <w:t xml:space="preserve"> for CL</w:t>
      </w:r>
      <w:r w:rsidRPr="002C75B8">
        <w:rPr>
          <w:rFonts w:eastAsia="Times New Roman"/>
          <w:sz w:val="22"/>
          <w:lang w:val="en-US" w:eastAsia="es-ES"/>
        </w:rPr>
        <w:t xml:space="preserve"> </w:t>
      </w:r>
      <w:r>
        <w:rPr>
          <w:rFonts w:eastAsia="Times New Roman"/>
          <w:sz w:val="22"/>
          <w:lang w:val="en-US" w:eastAsia="es-ES"/>
        </w:rPr>
        <w:t xml:space="preserve">has been </w:t>
      </w:r>
      <w:r w:rsidRPr="002C75B8">
        <w:rPr>
          <w:rFonts w:eastAsia="Times New Roman"/>
          <w:sz w:val="22"/>
          <w:lang w:val="en-US" w:eastAsia="es-ES"/>
        </w:rPr>
        <w:t>in place since 2006. Case detection is passive. There is a vector control program that involves insecticide spraying</w:t>
      </w:r>
      <w:r>
        <w:rPr>
          <w:rFonts w:eastAsia="Times New Roman"/>
          <w:sz w:val="22"/>
          <w:lang w:val="en-US" w:eastAsia="es-ES"/>
        </w:rPr>
        <w:t xml:space="preserve"> and r</w:t>
      </w:r>
      <w:r w:rsidRPr="002C75B8">
        <w:rPr>
          <w:rFonts w:eastAsia="Times New Roman"/>
          <w:sz w:val="22"/>
          <w:lang w:val="en-US" w:eastAsia="es-ES"/>
        </w:rPr>
        <w:t>egular rodent control is performed</w:t>
      </w:r>
      <w:r>
        <w:rPr>
          <w:rFonts w:eastAsia="Times New Roman"/>
          <w:sz w:val="22"/>
          <w:lang w:val="en-US" w:eastAsia="es-ES"/>
        </w:rPr>
        <w:t>.</w:t>
      </w:r>
    </w:p>
    <w:p w:rsidR="000C02FB" w:rsidRPr="002C75B8" w:rsidRDefault="000C02FB" w:rsidP="000C02FB">
      <w:pPr>
        <w:ind w:left="0" w:firstLine="0"/>
        <w:rPr>
          <w:rFonts w:eastAsia="Times New Roman"/>
          <w:sz w:val="22"/>
          <w:lang w:val="en-US" w:eastAsia="es-ES"/>
        </w:rPr>
      </w:pPr>
    </w:p>
    <w:p w:rsidR="000C02FB" w:rsidRPr="002C75B8" w:rsidRDefault="000C02FB" w:rsidP="000C02FB">
      <w:pPr>
        <w:ind w:left="0" w:firstLine="0"/>
        <w:rPr>
          <w:rFonts w:eastAsia="Times New Roman"/>
          <w:sz w:val="22"/>
          <w:lang w:val="en-US" w:eastAsia="es-ES"/>
        </w:rPr>
      </w:pPr>
    </w:p>
    <w:p w:rsidR="000C02FB" w:rsidRPr="002C75B8" w:rsidRDefault="000C02FB" w:rsidP="000C02FB">
      <w:pPr>
        <w:spacing w:line="360" w:lineRule="auto"/>
        <w:ind w:left="0" w:firstLine="0"/>
        <w:rPr>
          <w:rFonts w:eastAsia="SimSun"/>
          <w:b/>
          <w:sz w:val="22"/>
          <w:lang w:val="en-US" w:eastAsia="zh-CN"/>
        </w:rPr>
      </w:pPr>
      <w:r w:rsidRPr="002C75B8">
        <w:rPr>
          <w:b/>
          <w:sz w:val="22"/>
          <w:lang w:val="en-US"/>
        </w:rPr>
        <w:t xml:space="preserve">DIAGNOSIS, TREATMENT </w:t>
      </w:r>
    </w:p>
    <w:p w:rsidR="000C02FB" w:rsidRPr="0039393E" w:rsidRDefault="000C02FB" w:rsidP="000C02FB">
      <w:pPr>
        <w:ind w:left="0" w:firstLine="0"/>
        <w:rPr>
          <w:b/>
          <w:bCs/>
          <w:sz w:val="22"/>
          <w:lang w:val="en-US"/>
        </w:rPr>
      </w:pPr>
      <w:r w:rsidRPr="0039393E">
        <w:rPr>
          <w:b/>
          <w:bCs/>
          <w:sz w:val="22"/>
          <w:lang w:val="en-US"/>
        </w:rPr>
        <w:t>Diagnosis</w:t>
      </w:r>
    </w:p>
    <w:p w:rsidR="000C02FB" w:rsidRPr="00562689" w:rsidRDefault="000C02FB" w:rsidP="000C02FB">
      <w:pPr>
        <w:ind w:left="0" w:firstLine="0"/>
        <w:rPr>
          <w:sz w:val="22"/>
        </w:rPr>
      </w:pPr>
      <w:r w:rsidRPr="00562689">
        <w:rPr>
          <w:sz w:val="22"/>
        </w:rPr>
        <w:t xml:space="preserve">CL: </w:t>
      </w:r>
      <w:proofErr w:type="spellStart"/>
      <w:r w:rsidRPr="00562689">
        <w:rPr>
          <w:sz w:val="22"/>
        </w:rPr>
        <w:t>on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clinical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grounds</w:t>
      </w:r>
      <w:proofErr w:type="spellEnd"/>
      <w:r w:rsidRPr="00562689">
        <w:rPr>
          <w:sz w:val="22"/>
        </w:rPr>
        <w:t xml:space="preserve"> (85%), </w:t>
      </w:r>
      <w:proofErr w:type="spellStart"/>
      <w:r w:rsidRPr="00562689">
        <w:rPr>
          <w:sz w:val="22"/>
        </w:rPr>
        <w:t>microscopic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examination</w:t>
      </w:r>
      <w:proofErr w:type="spellEnd"/>
      <w:r w:rsidRPr="00562689">
        <w:rPr>
          <w:sz w:val="22"/>
        </w:rPr>
        <w:t xml:space="preserve"> of </w:t>
      </w:r>
      <w:proofErr w:type="spellStart"/>
      <w:r w:rsidRPr="00562689">
        <w:rPr>
          <w:sz w:val="22"/>
        </w:rPr>
        <w:t>skin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lesion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sample</w:t>
      </w:r>
      <w:proofErr w:type="spellEnd"/>
      <w:r w:rsidRPr="00562689">
        <w:rPr>
          <w:sz w:val="22"/>
        </w:rPr>
        <w:t xml:space="preserve"> (10%) and </w:t>
      </w:r>
      <w:proofErr w:type="spellStart"/>
      <w:r w:rsidRPr="00562689">
        <w:rPr>
          <w:sz w:val="22"/>
        </w:rPr>
        <w:t>isotyping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or</w:t>
      </w:r>
      <w:proofErr w:type="spellEnd"/>
      <w:r w:rsidRPr="00562689">
        <w:rPr>
          <w:sz w:val="22"/>
        </w:rPr>
        <w:t xml:space="preserve"> PCR (5%).</w:t>
      </w:r>
    </w:p>
    <w:p w:rsidR="000C02FB" w:rsidRPr="00562689" w:rsidRDefault="000C02FB" w:rsidP="000C02FB">
      <w:pPr>
        <w:ind w:left="0" w:firstLine="0"/>
        <w:rPr>
          <w:sz w:val="22"/>
        </w:rPr>
      </w:pPr>
      <w:r w:rsidRPr="00562689">
        <w:rPr>
          <w:sz w:val="22"/>
        </w:rPr>
        <w:t xml:space="preserve">VL: </w:t>
      </w:r>
      <w:proofErr w:type="spellStart"/>
      <w:r w:rsidRPr="00562689">
        <w:rPr>
          <w:sz w:val="22"/>
        </w:rPr>
        <w:t>confirmation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by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microscopic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examination</w:t>
      </w:r>
      <w:proofErr w:type="spellEnd"/>
      <w:r w:rsidRPr="00562689">
        <w:rPr>
          <w:sz w:val="22"/>
        </w:rPr>
        <w:t xml:space="preserve"> of </w:t>
      </w:r>
      <w:proofErr w:type="spellStart"/>
      <w:r w:rsidRPr="00562689">
        <w:rPr>
          <w:sz w:val="22"/>
        </w:rPr>
        <w:t>bone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marrow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aspirate</w:t>
      </w:r>
      <w:proofErr w:type="spellEnd"/>
      <w:r w:rsidRPr="00562689">
        <w:rPr>
          <w:sz w:val="22"/>
        </w:rPr>
        <w:t xml:space="preserve">. PCR </w:t>
      </w:r>
      <w:proofErr w:type="spellStart"/>
      <w:r w:rsidRPr="00562689">
        <w:rPr>
          <w:sz w:val="22"/>
        </w:rPr>
        <w:t>is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possible</w:t>
      </w:r>
      <w:proofErr w:type="spellEnd"/>
      <w:r w:rsidRPr="00562689">
        <w:rPr>
          <w:sz w:val="22"/>
        </w:rPr>
        <w:t xml:space="preserve"> in </w:t>
      </w:r>
      <w:proofErr w:type="spellStart"/>
      <w:r w:rsidRPr="00562689">
        <w:rPr>
          <w:sz w:val="22"/>
        </w:rPr>
        <w:t>specialized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hospitals</w:t>
      </w:r>
      <w:proofErr w:type="spellEnd"/>
      <w:r w:rsidRPr="00562689">
        <w:rPr>
          <w:sz w:val="22"/>
        </w:rPr>
        <w:t xml:space="preserve"> and </w:t>
      </w:r>
      <w:proofErr w:type="spellStart"/>
      <w:r w:rsidRPr="00562689">
        <w:rPr>
          <w:sz w:val="22"/>
        </w:rPr>
        <w:t>isotyping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or</w:t>
      </w:r>
      <w:proofErr w:type="spellEnd"/>
      <w:r w:rsidRPr="00562689">
        <w:rPr>
          <w:sz w:val="22"/>
        </w:rPr>
        <w:t xml:space="preserve"> PCR (5%).</w:t>
      </w:r>
    </w:p>
    <w:p w:rsidR="000C02FB" w:rsidRPr="00562689" w:rsidRDefault="000C02FB" w:rsidP="000C02FB">
      <w:pPr>
        <w:ind w:left="0" w:firstLine="0"/>
        <w:rPr>
          <w:sz w:val="22"/>
        </w:rPr>
      </w:pPr>
    </w:p>
    <w:p w:rsidR="000C02FB" w:rsidRPr="0039393E" w:rsidRDefault="000C02FB" w:rsidP="000C02FB">
      <w:pPr>
        <w:ind w:left="0" w:firstLine="0"/>
        <w:rPr>
          <w:b/>
          <w:bCs/>
          <w:sz w:val="22"/>
          <w:lang w:val="en-US"/>
        </w:rPr>
      </w:pPr>
      <w:r w:rsidRPr="0039393E">
        <w:rPr>
          <w:b/>
          <w:bCs/>
          <w:sz w:val="22"/>
          <w:lang w:val="en-US"/>
        </w:rPr>
        <w:t>Treatment</w:t>
      </w:r>
    </w:p>
    <w:p w:rsidR="000C02FB" w:rsidRPr="00562689" w:rsidRDefault="000C02FB" w:rsidP="000C02FB">
      <w:pPr>
        <w:ind w:left="0" w:firstLine="0"/>
        <w:rPr>
          <w:sz w:val="22"/>
          <w:lang w:val="en-US"/>
        </w:rPr>
      </w:pPr>
      <w:r w:rsidRPr="00562689">
        <w:rPr>
          <w:bCs/>
          <w:sz w:val="22"/>
          <w:lang w:val="en-US"/>
        </w:rPr>
        <w:t>VL</w:t>
      </w:r>
      <w:r w:rsidRPr="00562689">
        <w:rPr>
          <w:sz w:val="22"/>
          <w:lang w:val="en-US"/>
        </w:rPr>
        <w:t xml:space="preserve">: antimonials, 10-20 mg </w:t>
      </w:r>
      <w:proofErr w:type="spellStart"/>
      <w:r w:rsidRPr="00562689">
        <w:rPr>
          <w:sz w:val="22"/>
          <w:lang w:val="en-US"/>
        </w:rPr>
        <w:t>Sb</w:t>
      </w:r>
      <w:r w:rsidRPr="00562689">
        <w:rPr>
          <w:sz w:val="22"/>
          <w:vertAlign w:val="superscript"/>
          <w:lang w:val="en-US"/>
        </w:rPr>
        <w:t>v</w:t>
      </w:r>
      <w:proofErr w:type="spellEnd"/>
      <w:r w:rsidRPr="00562689">
        <w:rPr>
          <w:sz w:val="22"/>
          <w:lang w:val="en-US"/>
        </w:rPr>
        <w:t xml:space="preserve">/kg/day. Cure rate is 96%, with a fatality rate of 4%. </w:t>
      </w:r>
    </w:p>
    <w:p w:rsidR="000C02FB" w:rsidRPr="00562689" w:rsidRDefault="000C02FB" w:rsidP="000C02FB">
      <w:pPr>
        <w:ind w:left="0" w:firstLine="0"/>
        <w:rPr>
          <w:sz w:val="22"/>
          <w:lang w:val="en-GB"/>
        </w:rPr>
      </w:pPr>
      <w:r w:rsidRPr="00562689">
        <w:rPr>
          <w:bCs/>
          <w:sz w:val="22"/>
          <w:lang w:val="en-US"/>
        </w:rPr>
        <w:t>CL</w:t>
      </w:r>
      <w:r w:rsidRPr="00562689">
        <w:rPr>
          <w:sz w:val="22"/>
          <w:lang w:val="en-US"/>
        </w:rPr>
        <w:t xml:space="preserve">: antimonials, intralesional or systemic, 10-20 mg </w:t>
      </w:r>
      <w:proofErr w:type="spellStart"/>
      <w:r w:rsidRPr="00562689">
        <w:rPr>
          <w:sz w:val="22"/>
          <w:lang w:val="en-US"/>
        </w:rPr>
        <w:t>Sb</w:t>
      </w:r>
      <w:r w:rsidRPr="00562689">
        <w:rPr>
          <w:sz w:val="22"/>
          <w:vertAlign w:val="superscript"/>
          <w:lang w:val="en-US"/>
        </w:rPr>
        <w:t>v</w:t>
      </w:r>
      <w:proofErr w:type="spellEnd"/>
      <w:r w:rsidRPr="00562689">
        <w:rPr>
          <w:sz w:val="22"/>
          <w:lang w:val="en-US"/>
        </w:rPr>
        <w:t>/kg/day. Cure rate is 98% with recurring lesions in 2% of cases.</w:t>
      </w:r>
    </w:p>
    <w:p w:rsidR="000C02FB" w:rsidRPr="00562689" w:rsidRDefault="000C02FB" w:rsidP="000C02FB">
      <w:pPr>
        <w:ind w:left="0" w:firstLine="0"/>
        <w:rPr>
          <w:sz w:val="22"/>
          <w:lang w:val="en-GB"/>
        </w:rPr>
      </w:pPr>
    </w:p>
    <w:p w:rsidR="000C02FB" w:rsidRPr="002C75B8" w:rsidRDefault="000C02FB" w:rsidP="000C02FB">
      <w:pPr>
        <w:ind w:left="0" w:firstLine="0"/>
        <w:rPr>
          <w:sz w:val="22"/>
          <w:lang w:val="en-GB"/>
        </w:rPr>
      </w:pPr>
    </w:p>
    <w:p w:rsidR="000C02FB" w:rsidRPr="002C75B8" w:rsidRDefault="000C02FB" w:rsidP="000C02FB">
      <w:pPr>
        <w:spacing w:line="360" w:lineRule="auto"/>
        <w:ind w:left="0" w:firstLine="0"/>
        <w:rPr>
          <w:sz w:val="22"/>
          <w:lang w:val="en-US"/>
        </w:rPr>
      </w:pPr>
      <w:r w:rsidRPr="002C75B8">
        <w:rPr>
          <w:b/>
          <w:bCs/>
          <w:sz w:val="22"/>
          <w:lang w:val="en-US"/>
        </w:rPr>
        <w:t xml:space="preserve">ACCESS TO CARE </w:t>
      </w:r>
    </w:p>
    <w:p w:rsidR="000C02FB" w:rsidRPr="002C75B8" w:rsidRDefault="000C02FB" w:rsidP="000C02FB">
      <w:pPr>
        <w:ind w:left="0" w:firstLine="0"/>
        <w:rPr>
          <w:sz w:val="22"/>
          <w:lang w:val="en-GB"/>
        </w:rPr>
      </w:pPr>
      <w:r w:rsidRPr="002C75B8">
        <w:rPr>
          <w:sz w:val="22"/>
          <w:lang w:val="en-US"/>
        </w:rPr>
        <w:t>Care for CL is offered for free through the 15 leishmaniasis clinics established in the endemic areas by the National Control program</w:t>
      </w:r>
      <w:r>
        <w:rPr>
          <w:sz w:val="22"/>
          <w:lang w:val="en-US"/>
        </w:rPr>
        <w:t xml:space="preserve">. </w:t>
      </w:r>
      <w:r w:rsidRPr="002C75B8">
        <w:rPr>
          <w:sz w:val="22"/>
          <w:lang w:val="en-US"/>
        </w:rPr>
        <w:t>VL is only diagnosed and treated in regional and specialized hospitals. The government supplied sufficient antimonials (Pentostam, GSK) for all patients in 2008. Approximately 5% of CL patients seek care in the private sector. A</w:t>
      </w:r>
      <w:r>
        <w:rPr>
          <w:sz w:val="22"/>
          <w:lang w:val="en-US"/>
        </w:rPr>
        <w:t xml:space="preserve">ll patients are thought to have </w:t>
      </w:r>
      <w:r w:rsidRPr="002C75B8">
        <w:rPr>
          <w:sz w:val="22"/>
          <w:lang w:val="en-US"/>
        </w:rPr>
        <w:t xml:space="preserve">access to care for leishmaniasis in </w:t>
      </w:r>
      <w:smartTag w:uri="urn:schemas-microsoft-com:office:smarttags" w:element="place">
        <w:smartTag w:uri="urn:schemas-microsoft-com:office:smarttags" w:element="country-region">
          <w:r w:rsidRPr="002C75B8">
            <w:rPr>
              <w:sz w:val="22"/>
              <w:lang w:val="en-US"/>
            </w:rPr>
            <w:t>Libya</w:t>
          </w:r>
        </w:smartTag>
      </w:smartTag>
      <w:r w:rsidRPr="002C75B8">
        <w:rPr>
          <w:sz w:val="22"/>
          <w:lang w:val="en-US"/>
        </w:rPr>
        <w:t xml:space="preserve">. </w:t>
      </w:r>
    </w:p>
    <w:p w:rsidR="000C02FB" w:rsidRPr="002C75B8" w:rsidRDefault="000C02FB" w:rsidP="000C02FB">
      <w:pPr>
        <w:ind w:left="0" w:firstLine="0"/>
        <w:rPr>
          <w:sz w:val="22"/>
          <w:lang w:val="en-GB"/>
        </w:rPr>
      </w:pPr>
    </w:p>
    <w:p w:rsidR="000C02FB" w:rsidRPr="002C75B8" w:rsidRDefault="000C02FB" w:rsidP="000C02FB">
      <w:pPr>
        <w:ind w:left="0" w:firstLine="0"/>
        <w:rPr>
          <w:sz w:val="22"/>
          <w:lang w:val="en-GB"/>
        </w:rPr>
      </w:pPr>
    </w:p>
    <w:p w:rsidR="000C02FB" w:rsidRPr="002C75B8" w:rsidRDefault="000C02FB" w:rsidP="000C02FB">
      <w:pPr>
        <w:ind w:left="0" w:firstLine="0"/>
        <w:rPr>
          <w:sz w:val="22"/>
          <w:lang w:val="en-GB"/>
        </w:rPr>
      </w:pPr>
      <w:r w:rsidRPr="002C75B8">
        <w:rPr>
          <w:b/>
          <w:sz w:val="22"/>
          <w:lang w:val="en-GB"/>
        </w:rPr>
        <w:lastRenderedPageBreak/>
        <w:t>ACCESS TO DRUGS</w:t>
      </w:r>
      <w:r w:rsidRPr="002C75B8">
        <w:rPr>
          <w:sz w:val="22"/>
          <w:lang w:val="en-GB"/>
        </w:rPr>
        <w:t xml:space="preserve"> </w:t>
      </w:r>
    </w:p>
    <w:p w:rsidR="000C02FB" w:rsidRPr="002C75B8" w:rsidRDefault="000C02FB" w:rsidP="000C02FB">
      <w:pPr>
        <w:ind w:left="0" w:firstLine="0"/>
        <w:rPr>
          <w:sz w:val="22"/>
          <w:lang w:val="en-GB"/>
        </w:rPr>
      </w:pPr>
    </w:p>
    <w:p w:rsidR="000C02FB" w:rsidRPr="008666E4" w:rsidRDefault="000C02FB" w:rsidP="000C02FB">
      <w:pPr>
        <w:ind w:left="0" w:firstLine="0"/>
        <w:rPr>
          <w:sz w:val="22"/>
          <w:lang w:val="en-GB"/>
        </w:rPr>
      </w:pPr>
      <w:r w:rsidRPr="002C75B8">
        <w:rPr>
          <w:sz w:val="22"/>
          <w:lang w:val="en-US"/>
        </w:rPr>
        <w:t>No other drug than sodium stibogluconate is included in the National Essential Drug List. No antimonials are registered in Libya</w:t>
      </w:r>
      <w:r>
        <w:rPr>
          <w:sz w:val="22"/>
          <w:lang w:val="en-US"/>
        </w:rPr>
        <w:t xml:space="preserve">, but are </w:t>
      </w:r>
      <w:r w:rsidRPr="002C75B8">
        <w:rPr>
          <w:sz w:val="22"/>
          <w:lang w:val="en-US"/>
        </w:rPr>
        <w:t xml:space="preserve">available </w:t>
      </w:r>
      <w:r>
        <w:rPr>
          <w:sz w:val="22"/>
          <w:lang w:val="en-US"/>
        </w:rPr>
        <w:t>at</w:t>
      </w:r>
      <w:r w:rsidRPr="002C75B8">
        <w:rPr>
          <w:sz w:val="22"/>
          <w:lang w:val="en-US"/>
        </w:rPr>
        <w:t xml:space="preserve"> private pharmaci</w:t>
      </w:r>
      <w:r>
        <w:rPr>
          <w:sz w:val="22"/>
          <w:lang w:val="en-US"/>
        </w:rPr>
        <w:t xml:space="preserve">es (10 USD/vial of Glucantime, </w:t>
      </w:r>
      <w:proofErr w:type="spellStart"/>
      <w:r>
        <w:rPr>
          <w:sz w:val="22"/>
          <w:lang w:val="en-US"/>
        </w:rPr>
        <w:t>Sanofi</w:t>
      </w:r>
      <w:proofErr w:type="spellEnd"/>
      <w:r w:rsidRPr="002C75B8">
        <w:rPr>
          <w:sz w:val="22"/>
          <w:lang w:val="en-US"/>
        </w:rPr>
        <w:t>, leading to a treatment cost of around 1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>100 USD for a course of intralesional injection).</w:t>
      </w:r>
    </w:p>
    <w:p w:rsidR="000C02FB" w:rsidRPr="008666E4" w:rsidRDefault="000C02FB" w:rsidP="000C02FB">
      <w:pPr>
        <w:ind w:left="0" w:firstLine="0"/>
        <w:rPr>
          <w:sz w:val="22"/>
          <w:lang w:val="en-GB"/>
        </w:rPr>
      </w:pPr>
    </w:p>
    <w:p w:rsidR="000C02FB" w:rsidRPr="008666E4" w:rsidRDefault="000C02FB" w:rsidP="000C02FB">
      <w:pPr>
        <w:ind w:left="0" w:firstLine="0"/>
        <w:rPr>
          <w:sz w:val="22"/>
          <w:lang w:val="en-GB"/>
        </w:rPr>
      </w:pPr>
    </w:p>
    <w:p w:rsidR="000C02FB" w:rsidRPr="008666E4" w:rsidRDefault="000C02FB" w:rsidP="000C02FB">
      <w:pPr>
        <w:spacing w:line="360" w:lineRule="auto"/>
        <w:ind w:left="0" w:firstLine="0"/>
        <w:rPr>
          <w:b/>
          <w:sz w:val="22"/>
          <w:u w:val="single"/>
          <w:lang w:val="en-GB"/>
        </w:rPr>
      </w:pPr>
      <w:r w:rsidRPr="008666E4">
        <w:rPr>
          <w:b/>
          <w:sz w:val="22"/>
          <w:lang w:val="en-GB"/>
        </w:rPr>
        <w:t>SOURCES OF INFORMATION</w:t>
      </w:r>
    </w:p>
    <w:p w:rsidR="000C02FB" w:rsidRPr="002C75B8" w:rsidRDefault="000C02FB" w:rsidP="000C02FB">
      <w:pPr>
        <w:ind w:left="0" w:firstLine="0"/>
        <w:rPr>
          <w:sz w:val="22"/>
          <w:lang w:val="en-US"/>
        </w:rPr>
      </w:pPr>
      <w:r w:rsidRPr="008666E4">
        <w:rPr>
          <w:sz w:val="22"/>
          <w:lang w:val="en-GB"/>
        </w:rPr>
        <w:t xml:space="preserve">• Dr </w:t>
      </w:r>
      <w:proofErr w:type="spellStart"/>
      <w:r w:rsidRPr="008666E4">
        <w:rPr>
          <w:sz w:val="22"/>
          <w:lang w:val="en-GB"/>
        </w:rPr>
        <w:t>Badereddin</w:t>
      </w:r>
      <w:proofErr w:type="spellEnd"/>
      <w:r w:rsidRPr="008666E4">
        <w:rPr>
          <w:sz w:val="22"/>
          <w:lang w:val="en-GB"/>
        </w:rPr>
        <w:t xml:space="preserve"> </w:t>
      </w:r>
      <w:proofErr w:type="spellStart"/>
      <w:r w:rsidRPr="008666E4">
        <w:rPr>
          <w:sz w:val="22"/>
          <w:lang w:val="en-GB"/>
        </w:rPr>
        <w:t>Annajar</w:t>
      </w:r>
      <w:proofErr w:type="spellEnd"/>
      <w:r w:rsidRPr="008666E4">
        <w:rPr>
          <w:sz w:val="22"/>
          <w:lang w:val="en-GB"/>
        </w:rPr>
        <w:t xml:space="preserve">. </w:t>
      </w:r>
      <w:proofErr w:type="gramStart"/>
      <w:r w:rsidRPr="002C75B8">
        <w:rPr>
          <w:sz w:val="22"/>
          <w:lang w:val="en-US"/>
        </w:rPr>
        <w:t>National program for Leishmaniasis Control,</w:t>
      </w:r>
      <w:r>
        <w:rPr>
          <w:sz w:val="22"/>
          <w:lang w:val="en-US"/>
        </w:rPr>
        <w:t xml:space="preserve"> Ministry of Health,</w:t>
      </w:r>
      <w:r w:rsidRPr="002C75B8">
        <w:rPr>
          <w:sz w:val="22"/>
          <w:lang w:val="en-US"/>
        </w:rPr>
        <w:t xml:space="preserve"> Libya</w:t>
      </w:r>
      <w:r>
        <w:rPr>
          <w:sz w:val="22"/>
          <w:lang w:val="en-US"/>
        </w:rPr>
        <w:t>.</w:t>
      </w:r>
      <w:proofErr w:type="gramEnd"/>
    </w:p>
    <w:p w:rsidR="000C02FB" w:rsidRDefault="000C02FB" w:rsidP="000C02FB">
      <w:pPr>
        <w:ind w:left="0" w:firstLine="0"/>
        <w:rPr>
          <w:sz w:val="22"/>
          <w:lang w:val="en-US"/>
        </w:rPr>
      </w:pPr>
    </w:p>
    <w:p w:rsidR="000C02FB" w:rsidRPr="002C75B8" w:rsidRDefault="000C02FB" w:rsidP="000C02FB">
      <w:pPr>
        <w:ind w:left="0" w:firstLine="0"/>
        <w:rPr>
          <w:sz w:val="22"/>
          <w:lang w:val="en-US"/>
        </w:rPr>
      </w:pPr>
    </w:p>
    <w:p w:rsidR="000C02FB" w:rsidRPr="002C75B8" w:rsidRDefault="000C02FB" w:rsidP="000C02FB">
      <w:pPr>
        <w:ind w:left="0" w:firstLine="0"/>
        <w:rPr>
          <w:sz w:val="22"/>
          <w:lang w:val="en-US"/>
        </w:rPr>
      </w:pPr>
    </w:p>
    <w:p w:rsidR="000C02FB" w:rsidRPr="000C02FB" w:rsidRDefault="000C02FB" w:rsidP="000C02FB">
      <w:pPr>
        <w:pStyle w:val="title1"/>
        <w:shd w:val="clear" w:color="auto" w:fill="FFFFFF"/>
        <w:rPr>
          <w:rFonts w:ascii="Arial" w:hAnsi="Arial" w:cs="Arial"/>
          <w:color w:val="000000"/>
          <w:sz w:val="22"/>
          <w:szCs w:val="22"/>
          <w:lang w:val="da-DK"/>
        </w:rPr>
      </w:pPr>
      <w:r w:rsidRPr="000C02FB">
        <w:rPr>
          <w:rFonts w:ascii="Arial" w:hAnsi="Arial" w:cs="Arial"/>
          <w:color w:val="000000"/>
          <w:sz w:val="22"/>
          <w:szCs w:val="22"/>
        </w:rPr>
        <w:t xml:space="preserve">1. </w:t>
      </w:r>
      <w:proofErr w:type="spellStart"/>
      <w:r w:rsidRPr="000C02FB">
        <w:rPr>
          <w:rFonts w:ascii="Arial" w:hAnsi="Arial" w:cs="Arial"/>
          <w:color w:val="000000"/>
          <w:sz w:val="22"/>
          <w:szCs w:val="22"/>
        </w:rPr>
        <w:t>Mehabresh</w:t>
      </w:r>
      <w:proofErr w:type="spellEnd"/>
      <w:r w:rsidRPr="000C02FB">
        <w:rPr>
          <w:rFonts w:ascii="Arial" w:hAnsi="Arial" w:cs="Arial"/>
          <w:color w:val="000000"/>
          <w:sz w:val="22"/>
          <w:szCs w:val="22"/>
        </w:rPr>
        <w:t xml:space="preserve"> MI (1994). </w:t>
      </w:r>
      <w:hyperlink r:id="rId11" w:history="1">
        <w:r w:rsidRPr="000C02FB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Visceral leishmaniasis: new foci of infection in Libya.</w:t>
        </w:r>
      </w:hyperlink>
      <w:r w:rsidRPr="000C02FB">
        <w:rPr>
          <w:rFonts w:ascii="Arial" w:hAnsi="Arial" w:cs="Arial"/>
          <w:color w:val="000000"/>
          <w:sz w:val="22"/>
          <w:szCs w:val="22"/>
        </w:rPr>
        <w:t xml:space="preserve"> </w:t>
      </w:r>
      <w:r w:rsidRPr="000C02FB">
        <w:rPr>
          <w:rStyle w:val="jrnl"/>
          <w:rFonts w:ascii="Arial" w:hAnsi="Arial" w:cs="Arial"/>
          <w:color w:val="000000"/>
          <w:sz w:val="22"/>
          <w:szCs w:val="22"/>
          <w:lang w:val="da-DK"/>
        </w:rPr>
        <w:t>J Trop Med Hyg</w:t>
      </w:r>
      <w:r w:rsidRPr="000C02FB">
        <w:rPr>
          <w:rStyle w:val="src1"/>
          <w:rFonts w:ascii="Arial" w:hAnsi="Arial" w:cs="Arial"/>
          <w:color w:val="000000"/>
          <w:sz w:val="22"/>
          <w:szCs w:val="22"/>
          <w:lang w:val="da-DK"/>
        </w:rPr>
        <w:t xml:space="preserve"> 97(5):282-5.</w:t>
      </w:r>
    </w:p>
    <w:p w:rsidR="000C02FB" w:rsidRPr="000C02FB" w:rsidRDefault="000C02FB" w:rsidP="000C02FB">
      <w:pPr>
        <w:ind w:left="0" w:firstLine="0"/>
        <w:rPr>
          <w:color w:val="000000"/>
          <w:sz w:val="22"/>
          <w:lang w:val="da-DK"/>
        </w:rPr>
      </w:pPr>
    </w:p>
    <w:p w:rsidR="000C02FB" w:rsidRPr="000C02FB" w:rsidRDefault="000C02FB" w:rsidP="000C02FB">
      <w:pPr>
        <w:pStyle w:val="title1"/>
        <w:shd w:val="clear" w:color="auto" w:fill="FFFFFF"/>
        <w:rPr>
          <w:rStyle w:val="src1"/>
          <w:rFonts w:ascii="Arial" w:hAnsi="Arial" w:cs="Arial"/>
          <w:color w:val="000000"/>
          <w:sz w:val="22"/>
          <w:szCs w:val="22"/>
        </w:rPr>
      </w:pPr>
      <w:r w:rsidRPr="000C02FB">
        <w:rPr>
          <w:rFonts w:ascii="Arial" w:hAnsi="Arial" w:cs="Arial"/>
          <w:color w:val="000000"/>
          <w:sz w:val="22"/>
          <w:szCs w:val="22"/>
          <w:lang w:val="da-DK"/>
        </w:rPr>
        <w:t xml:space="preserve">2. el-Buni AA, Jabeal I, Ben-Darif AT (2000). </w:t>
      </w:r>
      <w:hyperlink r:id="rId12" w:history="1">
        <w:r w:rsidRPr="000C02FB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 xml:space="preserve">Cutaneous leishmaniasis in the Libyan Arab Jamahiriya: a study of the </w:t>
        </w:r>
        <w:proofErr w:type="spellStart"/>
        <w:r w:rsidRPr="000C02FB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Yafran</w:t>
        </w:r>
        <w:proofErr w:type="spellEnd"/>
        <w:r w:rsidRPr="000C02FB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 xml:space="preserve"> area.</w:t>
        </w:r>
      </w:hyperlink>
      <w:r w:rsidRPr="000C02FB">
        <w:rPr>
          <w:rFonts w:ascii="Arial" w:hAnsi="Arial" w:cs="Arial"/>
          <w:color w:val="000000"/>
          <w:sz w:val="22"/>
          <w:szCs w:val="22"/>
        </w:rPr>
        <w:t xml:space="preserve"> </w:t>
      </w:r>
      <w:r w:rsidRPr="000C02FB">
        <w:rPr>
          <w:rStyle w:val="jrnl"/>
          <w:rFonts w:ascii="Arial" w:hAnsi="Arial" w:cs="Arial"/>
          <w:color w:val="000000"/>
          <w:sz w:val="22"/>
          <w:szCs w:val="22"/>
        </w:rPr>
        <w:t xml:space="preserve">East </w:t>
      </w:r>
      <w:proofErr w:type="spellStart"/>
      <w:r w:rsidRPr="000C02FB">
        <w:rPr>
          <w:rStyle w:val="jrnl"/>
          <w:rFonts w:ascii="Arial" w:hAnsi="Arial" w:cs="Arial"/>
          <w:color w:val="000000"/>
          <w:sz w:val="22"/>
          <w:szCs w:val="22"/>
        </w:rPr>
        <w:t>Mediterr</w:t>
      </w:r>
      <w:proofErr w:type="spellEnd"/>
      <w:r w:rsidRPr="000C02FB">
        <w:rPr>
          <w:rStyle w:val="jrnl"/>
          <w:rFonts w:ascii="Arial" w:hAnsi="Arial" w:cs="Arial"/>
          <w:color w:val="000000"/>
          <w:sz w:val="22"/>
          <w:szCs w:val="22"/>
        </w:rPr>
        <w:t xml:space="preserve"> Health J</w:t>
      </w:r>
      <w:r w:rsidRPr="000C02FB">
        <w:rPr>
          <w:rStyle w:val="src1"/>
          <w:rFonts w:ascii="Arial" w:hAnsi="Arial" w:cs="Arial"/>
          <w:color w:val="000000"/>
          <w:sz w:val="22"/>
          <w:szCs w:val="22"/>
        </w:rPr>
        <w:t xml:space="preserve"> 6(5-6):884-7.</w:t>
      </w:r>
    </w:p>
    <w:p w:rsidR="000C02FB" w:rsidRPr="000C02FB" w:rsidRDefault="000C02FB" w:rsidP="000C02FB">
      <w:pPr>
        <w:pStyle w:val="title1"/>
        <w:shd w:val="clear" w:color="auto" w:fill="FFFFFF"/>
        <w:rPr>
          <w:rStyle w:val="src1"/>
          <w:rFonts w:ascii="Arial" w:hAnsi="Arial" w:cs="Arial"/>
          <w:color w:val="000000"/>
          <w:sz w:val="22"/>
          <w:szCs w:val="22"/>
        </w:rPr>
      </w:pPr>
    </w:p>
    <w:p w:rsidR="000C02FB" w:rsidRPr="002C75B8" w:rsidRDefault="000C02FB" w:rsidP="000C02FB">
      <w:pPr>
        <w:pStyle w:val="title1"/>
        <w:shd w:val="clear" w:color="auto" w:fill="FFFFFF"/>
        <w:rPr>
          <w:rStyle w:val="src1"/>
          <w:rFonts w:ascii="Arial" w:hAnsi="Arial" w:cs="Arial"/>
          <w:color w:val="000000"/>
          <w:sz w:val="22"/>
          <w:szCs w:val="22"/>
        </w:rPr>
      </w:pPr>
    </w:p>
    <w:p w:rsidR="000C02FB" w:rsidRPr="002C75B8" w:rsidRDefault="000C02FB" w:rsidP="000C02FB">
      <w:pPr>
        <w:spacing w:line="360" w:lineRule="auto"/>
        <w:ind w:left="0" w:firstLine="0"/>
        <w:rPr>
          <w:b/>
          <w:bCs/>
          <w:sz w:val="22"/>
          <w:lang w:val="en-GB"/>
        </w:rPr>
      </w:pPr>
    </w:p>
    <w:p w:rsidR="000C02FB" w:rsidRPr="002C75B8" w:rsidRDefault="000C02FB" w:rsidP="000C02FB">
      <w:pPr>
        <w:spacing w:line="360" w:lineRule="auto"/>
        <w:ind w:left="0" w:firstLine="0"/>
        <w:rPr>
          <w:b/>
          <w:bCs/>
          <w:sz w:val="22"/>
          <w:lang w:val="en-US"/>
        </w:rPr>
      </w:pPr>
    </w:p>
    <w:p w:rsidR="000C02FB" w:rsidRPr="002C75B8" w:rsidRDefault="000C02FB" w:rsidP="000C02FB">
      <w:pPr>
        <w:ind w:left="0" w:firstLine="0"/>
        <w:rPr>
          <w:sz w:val="22"/>
          <w:lang w:val="en-US"/>
        </w:rPr>
      </w:pPr>
    </w:p>
    <w:p w:rsidR="000C02FB" w:rsidRPr="002C75B8" w:rsidRDefault="000C02FB" w:rsidP="000C02FB">
      <w:pPr>
        <w:ind w:left="0" w:firstLine="0"/>
        <w:rPr>
          <w:sz w:val="22"/>
          <w:lang w:val="en-US"/>
        </w:rPr>
      </w:pPr>
    </w:p>
    <w:p w:rsidR="000C02FB" w:rsidRPr="002C75B8" w:rsidRDefault="000C02FB" w:rsidP="000C02FB">
      <w:pPr>
        <w:ind w:left="0" w:firstLine="0"/>
        <w:rPr>
          <w:sz w:val="22"/>
          <w:lang w:val="en-US"/>
        </w:rPr>
      </w:pPr>
    </w:p>
    <w:p w:rsidR="000C02FB" w:rsidRPr="002C75B8" w:rsidRDefault="000C02FB" w:rsidP="000C02FB">
      <w:pPr>
        <w:ind w:left="0" w:firstLine="0"/>
        <w:rPr>
          <w:sz w:val="22"/>
          <w:lang w:val="en-US"/>
        </w:rPr>
      </w:pPr>
    </w:p>
    <w:p w:rsidR="000C02FB" w:rsidRPr="002C75B8" w:rsidRDefault="000C02FB" w:rsidP="000C02FB">
      <w:pPr>
        <w:ind w:left="0" w:firstLine="0"/>
        <w:rPr>
          <w:sz w:val="22"/>
          <w:lang w:val="en-GB"/>
        </w:rPr>
      </w:pPr>
    </w:p>
    <w:p w:rsidR="000C02FB" w:rsidRPr="002C75B8" w:rsidRDefault="000C02FB" w:rsidP="000C02FB">
      <w:pPr>
        <w:pStyle w:val="title1"/>
        <w:shd w:val="clear" w:color="auto" w:fill="FFFFFF"/>
        <w:rPr>
          <w:rStyle w:val="src1"/>
          <w:rFonts w:ascii="Arial" w:hAnsi="Arial" w:cs="Arial"/>
          <w:color w:val="000000"/>
          <w:sz w:val="22"/>
          <w:szCs w:val="22"/>
        </w:rPr>
      </w:pPr>
    </w:p>
    <w:p w:rsidR="000C02FB" w:rsidRPr="002C75B8" w:rsidRDefault="000C02FB" w:rsidP="000C02FB">
      <w:pPr>
        <w:pStyle w:val="title1"/>
        <w:shd w:val="clear" w:color="auto" w:fill="FFFFFF"/>
        <w:rPr>
          <w:rStyle w:val="src1"/>
          <w:rFonts w:ascii="Arial" w:hAnsi="Arial" w:cs="Arial"/>
          <w:color w:val="000000"/>
          <w:sz w:val="22"/>
          <w:szCs w:val="22"/>
        </w:rPr>
      </w:pPr>
    </w:p>
    <w:p w:rsidR="002F7C1A" w:rsidRDefault="002F7C1A" w:rsidP="000C02FB"/>
    <w:sectPr w:rsidR="002F7C1A" w:rsidSect="002F7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31912"/>
    <w:multiLevelType w:val="multilevel"/>
    <w:tmpl w:val="9F3EB04A"/>
    <w:lvl w:ilvl="0">
      <w:start w:val="1"/>
      <w:numFmt w:val="decimal"/>
      <w:pStyle w:val="Heading1"/>
      <w:isLgl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32"/>
        <w:szCs w:val="32"/>
        <w:u w:color="000000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0"/>
        </w:tabs>
        <w:ind w:left="1134" w:hanging="1134"/>
      </w:pPr>
      <w:rPr>
        <w:rFonts w:ascii="Arial" w:hAnsi="Arial" w:hint="default"/>
        <w:b w:val="0"/>
        <w:i/>
        <w:color w:val="000000"/>
        <w:sz w:val="27"/>
        <w:szCs w:val="27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402"/>
        </w:tabs>
        <w:ind w:left="1402" w:hanging="1402"/>
      </w:pPr>
      <w:rPr>
        <w:rFonts w:ascii="Arial" w:hAnsi="Arial" w:hint="default"/>
        <w:b/>
        <w:i w:val="0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C02FB"/>
    <w:rsid w:val="000028F1"/>
    <w:rsid w:val="00010242"/>
    <w:rsid w:val="00046B72"/>
    <w:rsid w:val="00052A25"/>
    <w:rsid w:val="0005677D"/>
    <w:rsid w:val="000578BC"/>
    <w:rsid w:val="000848FF"/>
    <w:rsid w:val="000B48D7"/>
    <w:rsid w:val="000C02FB"/>
    <w:rsid w:val="000E5115"/>
    <w:rsid w:val="000F0175"/>
    <w:rsid w:val="000F1E62"/>
    <w:rsid w:val="001168B6"/>
    <w:rsid w:val="00134E9F"/>
    <w:rsid w:val="00141FD2"/>
    <w:rsid w:val="0016660D"/>
    <w:rsid w:val="00194CED"/>
    <w:rsid w:val="001B2C47"/>
    <w:rsid w:val="001E4D96"/>
    <w:rsid w:val="002000DA"/>
    <w:rsid w:val="00215613"/>
    <w:rsid w:val="00220DFD"/>
    <w:rsid w:val="0024005B"/>
    <w:rsid w:val="00245DB8"/>
    <w:rsid w:val="00252F0C"/>
    <w:rsid w:val="00270F6A"/>
    <w:rsid w:val="00272C75"/>
    <w:rsid w:val="00272E09"/>
    <w:rsid w:val="0027629F"/>
    <w:rsid w:val="00280D78"/>
    <w:rsid w:val="002C258B"/>
    <w:rsid w:val="002F4248"/>
    <w:rsid w:val="002F6463"/>
    <w:rsid w:val="002F7C1A"/>
    <w:rsid w:val="00315ECC"/>
    <w:rsid w:val="003229A6"/>
    <w:rsid w:val="003310F3"/>
    <w:rsid w:val="00333A3A"/>
    <w:rsid w:val="0034701D"/>
    <w:rsid w:val="0036003C"/>
    <w:rsid w:val="00363320"/>
    <w:rsid w:val="00374366"/>
    <w:rsid w:val="003A44B4"/>
    <w:rsid w:val="003B3568"/>
    <w:rsid w:val="003B73ED"/>
    <w:rsid w:val="003D1FFD"/>
    <w:rsid w:val="003E1DA2"/>
    <w:rsid w:val="003F1346"/>
    <w:rsid w:val="00412019"/>
    <w:rsid w:val="00412575"/>
    <w:rsid w:val="00420168"/>
    <w:rsid w:val="004264FD"/>
    <w:rsid w:val="00491E29"/>
    <w:rsid w:val="004A37D9"/>
    <w:rsid w:val="004A5A5B"/>
    <w:rsid w:val="004C53F0"/>
    <w:rsid w:val="004D15B3"/>
    <w:rsid w:val="005100AA"/>
    <w:rsid w:val="00570157"/>
    <w:rsid w:val="0057148C"/>
    <w:rsid w:val="005724D3"/>
    <w:rsid w:val="00581469"/>
    <w:rsid w:val="00593992"/>
    <w:rsid w:val="005C6498"/>
    <w:rsid w:val="005F2E6A"/>
    <w:rsid w:val="005F4AD0"/>
    <w:rsid w:val="0062498A"/>
    <w:rsid w:val="00626A99"/>
    <w:rsid w:val="006272A7"/>
    <w:rsid w:val="00641A14"/>
    <w:rsid w:val="00653580"/>
    <w:rsid w:val="00661504"/>
    <w:rsid w:val="00690048"/>
    <w:rsid w:val="006A32E7"/>
    <w:rsid w:val="006C198E"/>
    <w:rsid w:val="006E008C"/>
    <w:rsid w:val="006E2CDF"/>
    <w:rsid w:val="006E718B"/>
    <w:rsid w:val="0071174C"/>
    <w:rsid w:val="00740C76"/>
    <w:rsid w:val="0075377D"/>
    <w:rsid w:val="007A78DF"/>
    <w:rsid w:val="007C7FD3"/>
    <w:rsid w:val="007D3253"/>
    <w:rsid w:val="007E18CB"/>
    <w:rsid w:val="007E4A87"/>
    <w:rsid w:val="008006B5"/>
    <w:rsid w:val="008016D2"/>
    <w:rsid w:val="00832051"/>
    <w:rsid w:val="00837717"/>
    <w:rsid w:val="008403F6"/>
    <w:rsid w:val="00847BE4"/>
    <w:rsid w:val="00851DE1"/>
    <w:rsid w:val="0086504E"/>
    <w:rsid w:val="00895527"/>
    <w:rsid w:val="00896966"/>
    <w:rsid w:val="008B250E"/>
    <w:rsid w:val="008D3496"/>
    <w:rsid w:val="008F2D26"/>
    <w:rsid w:val="009511C6"/>
    <w:rsid w:val="009B22FB"/>
    <w:rsid w:val="009C14CB"/>
    <w:rsid w:val="009C200B"/>
    <w:rsid w:val="009C319F"/>
    <w:rsid w:val="009C624C"/>
    <w:rsid w:val="009D1B5E"/>
    <w:rsid w:val="009F64EB"/>
    <w:rsid w:val="009F775A"/>
    <w:rsid w:val="00A45DA3"/>
    <w:rsid w:val="00A5035E"/>
    <w:rsid w:val="00A5411A"/>
    <w:rsid w:val="00A541A7"/>
    <w:rsid w:val="00A629D5"/>
    <w:rsid w:val="00A85111"/>
    <w:rsid w:val="00AD2F5D"/>
    <w:rsid w:val="00B15964"/>
    <w:rsid w:val="00B16204"/>
    <w:rsid w:val="00B433DC"/>
    <w:rsid w:val="00B476C3"/>
    <w:rsid w:val="00B96E52"/>
    <w:rsid w:val="00BA6E8F"/>
    <w:rsid w:val="00BB2383"/>
    <w:rsid w:val="00BE00C5"/>
    <w:rsid w:val="00C12906"/>
    <w:rsid w:val="00C1518C"/>
    <w:rsid w:val="00C236BD"/>
    <w:rsid w:val="00C244F5"/>
    <w:rsid w:val="00C264F2"/>
    <w:rsid w:val="00C47B72"/>
    <w:rsid w:val="00C7126E"/>
    <w:rsid w:val="00C75CF6"/>
    <w:rsid w:val="00C87D01"/>
    <w:rsid w:val="00C91A71"/>
    <w:rsid w:val="00CA637B"/>
    <w:rsid w:val="00CA71FE"/>
    <w:rsid w:val="00CF5DD0"/>
    <w:rsid w:val="00D05103"/>
    <w:rsid w:val="00D17D57"/>
    <w:rsid w:val="00D36E3A"/>
    <w:rsid w:val="00D5084A"/>
    <w:rsid w:val="00D513BD"/>
    <w:rsid w:val="00D541EC"/>
    <w:rsid w:val="00D6288C"/>
    <w:rsid w:val="00D83F8A"/>
    <w:rsid w:val="00D92869"/>
    <w:rsid w:val="00D95254"/>
    <w:rsid w:val="00DA0AB5"/>
    <w:rsid w:val="00DA14E3"/>
    <w:rsid w:val="00DB6D7C"/>
    <w:rsid w:val="00DD1ADE"/>
    <w:rsid w:val="00DF5A78"/>
    <w:rsid w:val="00DF6C46"/>
    <w:rsid w:val="00E147C3"/>
    <w:rsid w:val="00E17729"/>
    <w:rsid w:val="00E21063"/>
    <w:rsid w:val="00E370A8"/>
    <w:rsid w:val="00E474BF"/>
    <w:rsid w:val="00E47A87"/>
    <w:rsid w:val="00E65F1E"/>
    <w:rsid w:val="00E7082F"/>
    <w:rsid w:val="00E828CE"/>
    <w:rsid w:val="00E87373"/>
    <w:rsid w:val="00EB1F13"/>
    <w:rsid w:val="00EF27B3"/>
    <w:rsid w:val="00F03A91"/>
    <w:rsid w:val="00F14B40"/>
    <w:rsid w:val="00F16575"/>
    <w:rsid w:val="00F25542"/>
    <w:rsid w:val="00F87752"/>
    <w:rsid w:val="00F94E78"/>
    <w:rsid w:val="00FB0CFB"/>
    <w:rsid w:val="00FB6AA1"/>
    <w:rsid w:val="00FC58EE"/>
    <w:rsid w:val="00FD22F3"/>
    <w:rsid w:val="00FD59CB"/>
    <w:rsid w:val="00FE1BC6"/>
    <w:rsid w:val="00FE26F4"/>
    <w:rsid w:val="00FE575B"/>
    <w:rsid w:val="00FE79B4"/>
    <w:rsid w:val="00FF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2FB"/>
    <w:pPr>
      <w:spacing w:after="0" w:line="240" w:lineRule="auto"/>
      <w:ind w:left="720" w:hanging="720"/>
      <w:jc w:val="both"/>
    </w:pPr>
    <w:rPr>
      <w:rFonts w:ascii="Arial" w:eastAsia="Calibri" w:hAnsi="Arial" w:cs="Arial"/>
      <w:sz w:val="24"/>
      <w:lang w:val="es-CO"/>
    </w:rPr>
  </w:style>
  <w:style w:type="paragraph" w:styleId="Heading1">
    <w:name w:val="heading 1"/>
    <w:next w:val="Normal"/>
    <w:link w:val="Heading1Char"/>
    <w:qFormat/>
    <w:rsid w:val="00F14B40"/>
    <w:pPr>
      <w:keepNext/>
      <w:numPr>
        <w:numId w:val="4"/>
      </w:numPr>
      <w:spacing w:before="48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paragraph" w:styleId="Heading2">
    <w:name w:val="heading 2"/>
    <w:next w:val="Normal"/>
    <w:link w:val="Heading2Char"/>
    <w:qFormat/>
    <w:rsid w:val="00F14B4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paragraph" w:styleId="Heading3">
    <w:name w:val="heading 3"/>
    <w:next w:val="Normal"/>
    <w:link w:val="Heading3Char"/>
    <w:qFormat/>
    <w:rsid w:val="00F14B4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paragraph" w:styleId="Heading4">
    <w:name w:val="heading 4"/>
    <w:next w:val="Normal"/>
    <w:link w:val="Heading4Char"/>
    <w:qFormat/>
    <w:rsid w:val="00F14B40"/>
    <w:pPr>
      <w:keepNext/>
      <w:numPr>
        <w:ilvl w:val="3"/>
        <w:numId w:val="4"/>
      </w:numPr>
      <w:spacing w:before="240" w:after="120" w:line="240" w:lineRule="auto"/>
      <w:outlineLvl w:val="3"/>
    </w:pPr>
    <w:rPr>
      <w:rFonts w:ascii="Arial" w:eastAsia="Times New Roman" w:hAnsi="Arial" w:cs="Times New Roman"/>
      <w:bCs/>
      <w:sz w:val="26"/>
      <w:szCs w:val="28"/>
      <w:lang w:val="de-AT" w:eastAsia="de-AT"/>
    </w:rPr>
  </w:style>
  <w:style w:type="paragraph" w:styleId="Heading5">
    <w:name w:val="heading 5"/>
    <w:basedOn w:val="Normal"/>
    <w:next w:val="Normal"/>
    <w:link w:val="Heading5Char"/>
    <w:qFormat/>
    <w:rsid w:val="00F14B40"/>
    <w:pPr>
      <w:spacing w:before="200" w:line="276" w:lineRule="auto"/>
      <w:ind w:left="1008" w:hanging="1008"/>
      <w:outlineLvl w:val="4"/>
    </w:pPr>
    <w:rPr>
      <w:rFonts w:ascii="Cambria" w:eastAsia="Times New Roman" w:hAnsi="Cambria" w:cs="Times New Roman"/>
      <w:b/>
      <w:bCs/>
      <w:color w:val="7F7F7F"/>
      <w:sz w:val="22"/>
      <w:lang w:val="en-US" w:bidi="en-US"/>
    </w:rPr>
  </w:style>
  <w:style w:type="paragraph" w:styleId="Heading6">
    <w:name w:val="heading 6"/>
    <w:basedOn w:val="Normal"/>
    <w:next w:val="Normal"/>
    <w:link w:val="Heading6Char"/>
    <w:qFormat/>
    <w:rsid w:val="00F14B40"/>
    <w:pPr>
      <w:spacing w:line="271" w:lineRule="auto"/>
      <w:ind w:left="1152" w:hanging="1152"/>
      <w:outlineLvl w:val="5"/>
    </w:pPr>
    <w:rPr>
      <w:rFonts w:ascii="Cambria" w:eastAsia="Times New Roman" w:hAnsi="Cambria" w:cs="Times New Roman"/>
      <w:b/>
      <w:bCs/>
      <w:i/>
      <w:iCs/>
      <w:color w:val="7F7F7F"/>
      <w:sz w:val="22"/>
      <w:lang w:val="en-US" w:bidi="en-US"/>
    </w:rPr>
  </w:style>
  <w:style w:type="paragraph" w:styleId="Heading7">
    <w:name w:val="heading 7"/>
    <w:basedOn w:val="Normal"/>
    <w:next w:val="Normal"/>
    <w:link w:val="Heading7Char"/>
    <w:qFormat/>
    <w:rsid w:val="00F14B40"/>
    <w:pPr>
      <w:spacing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sz w:val="22"/>
      <w:lang w:val="en-US" w:bidi="en-US"/>
    </w:rPr>
  </w:style>
  <w:style w:type="paragraph" w:styleId="Heading8">
    <w:name w:val="heading 8"/>
    <w:basedOn w:val="Normal"/>
    <w:next w:val="Normal"/>
    <w:link w:val="Heading8Char"/>
    <w:qFormat/>
    <w:rsid w:val="00F14B40"/>
    <w:pPr>
      <w:spacing w:line="276" w:lineRule="auto"/>
      <w:ind w:left="1440" w:hanging="1440"/>
      <w:outlineLvl w:val="7"/>
    </w:pPr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qFormat/>
    <w:rsid w:val="00F14B40"/>
    <w:pPr>
      <w:spacing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B40"/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character" w:customStyle="1" w:styleId="Heading2Char">
    <w:name w:val="Heading 2 Char"/>
    <w:basedOn w:val="DefaultParagraphFont"/>
    <w:link w:val="Heading2"/>
    <w:rsid w:val="00F14B40"/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character" w:customStyle="1" w:styleId="Heading3Char">
    <w:name w:val="Heading 3 Char"/>
    <w:basedOn w:val="DefaultParagraphFont"/>
    <w:link w:val="Heading3"/>
    <w:rsid w:val="00F14B40"/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character" w:customStyle="1" w:styleId="Heading4Char">
    <w:name w:val="Heading 4 Char"/>
    <w:basedOn w:val="DefaultParagraphFont"/>
    <w:link w:val="Heading4"/>
    <w:rsid w:val="00F14B40"/>
    <w:rPr>
      <w:rFonts w:ascii="Arial" w:eastAsia="Times New Roman" w:hAnsi="Arial" w:cs="Times New Roman"/>
      <w:bCs/>
      <w:sz w:val="26"/>
      <w:szCs w:val="28"/>
      <w:lang w:val="de-AT" w:eastAsia="de-AT"/>
    </w:rPr>
  </w:style>
  <w:style w:type="character" w:customStyle="1" w:styleId="Heading5Char">
    <w:name w:val="Heading 5 Char"/>
    <w:basedOn w:val="DefaultParagraphFont"/>
    <w:link w:val="Heading5"/>
    <w:rsid w:val="00F14B40"/>
    <w:rPr>
      <w:rFonts w:ascii="Cambria" w:eastAsia="Times New Roman" w:hAnsi="Cambria" w:cs="Times New Roman"/>
      <w:b/>
      <w:bCs/>
      <w:color w:val="7F7F7F"/>
      <w:lang w:bidi="en-US"/>
    </w:rPr>
  </w:style>
  <w:style w:type="character" w:customStyle="1" w:styleId="Heading6Char">
    <w:name w:val="Heading 6 Char"/>
    <w:basedOn w:val="DefaultParagraphFont"/>
    <w:link w:val="Heading6"/>
    <w:rsid w:val="00F14B40"/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character" w:customStyle="1" w:styleId="Heading7Char">
    <w:name w:val="Heading 7 Char"/>
    <w:basedOn w:val="DefaultParagraphFont"/>
    <w:link w:val="Heading7"/>
    <w:rsid w:val="00F14B40"/>
    <w:rPr>
      <w:rFonts w:ascii="Cambria" w:eastAsia="Times New Roman" w:hAnsi="Cambria" w:cs="Times New Roman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rsid w:val="00F14B40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F14B40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F14B40"/>
    <w:pPr>
      <w:spacing w:after="200" w:line="276" w:lineRule="auto"/>
      <w:ind w:firstLine="0"/>
      <w:contextualSpacing/>
      <w:jc w:val="left"/>
    </w:pPr>
    <w:rPr>
      <w:rFonts w:asciiTheme="minorHAnsi" w:eastAsiaTheme="minorHAnsi" w:hAnsiTheme="minorHAnsi" w:cstheme="minorBidi"/>
      <w:sz w:val="2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4B40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NormalWeb">
    <w:name w:val="Normal (Web)"/>
    <w:basedOn w:val="Normal"/>
    <w:unhideWhenUsed/>
    <w:rsid w:val="000C02FB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nhideWhenUsed/>
    <w:rsid w:val="000C02FB"/>
    <w:rPr>
      <w:color w:val="0000FF"/>
      <w:u w:val="single"/>
    </w:rPr>
  </w:style>
  <w:style w:type="character" w:customStyle="1" w:styleId="src1">
    <w:name w:val="src1"/>
    <w:basedOn w:val="DefaultParagraphFont"/>
    <w:rsid w:val="000C02FB"/>
    <w:rPr>
      <w:rFonts w:cs="Times New Roman"/>
    </w:rPr>
  </w:style>
  <w:style w:type="character" w:customStyle="1" w:styleId="jrnl">
    <w:name w:val="jrnl"/>
    <w:basedOn w:val="DefaultParagraphFont"/>
    <w:rsid w:val="000C02FB"/>
    <w:rPr>
      <w:rFonts w:cs="Times New Roman"/>
    </w:rPr>
  </w:style>
  <w:style w:type="paragraph" w:customStyle="1" w:styleId="title1">
    <w:name w:val="title1"/>
    <w:basedOn w:val="Normal"/>
    <w:rsid w:val="000C02FB"/>
    <w:pPr>
      <w:ind w:left="0" w:firstLine="0"/>
      <w:jc w:val="left"/>
    </w:pPr>
    <w:rPr>
      <w:rFonts w:ascii="Times New Roman" w:eastAsia="SimSun" w:hAnsi="Times New Roman" w:cs="Times New Roman"/>
      <w:sz w:val="29"/>
      <w:szCs w:val="29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FB"/>
    <w:rPr>
      <w:rFonts w:ascii="Tahoma" w:eastAsia="Calibri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ncbi.nlm.nih.gov/pubmed/121973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ncbi.nlm.nih.gov/pubmed/7932924" TargetMode="External"/><Relationship Id="rId5" Type="http://schemas.openxmlformats.org/officeDocument/2006/relationships/image" Target="media/image1.jpeg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hPercent val="4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9718309859154928"/>
          <c:y val="7.3394495412844082E-2"/>
          <c:w val="0.77934272300469509"/>
          <c:h val="0.6743119266055049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CL cases</c:v>
                </c:pt>
              </c:strCache>
            </c:strRef>
          </c:tx>
          <c:spPr>
            <a:solidFill>
              <a:srgbClr val="0066CC"/>
            </a:solidFill>
            <a:ln w="12648">
              <a:solidFill>
                <a:srgbClr val="000000"/>
              </a:solidFill>
              <a:prstDash val="solid"/>
            </a:ln>
          </c:spPr>
          <c:cat>
            <c:numRef>
              <c:f>Sheet1!$B$1:$H$1</c:f>
              <c:numCache>
                <c:formatCode>General</c:formatCode>
                <c:ptCount val="7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</c:numCache>
            </c:numRef>
          </c:cat>
          <c:val>
            <c:numRef>
              <c:f>Sheet1!$B$2:$H$2</c:f>
              <c:numCache>
                <c:formatCode>General</c:formatCode>
                <c:ptCount val="7"/>
                <c:pt idx="0">
                  <c:v>1017</c:v>
                </c:pt>
                <c:pt idx="1">
                  <c:v>3819</c:v>
                </c:pt>
                <c:pt idx="2">
                  <c:v>7180</c:v>
                </c:pt>
                <c:pt idx="3">
                  <c:v>3884</c:v>
                </c:pt>
                <c:pt idx="4">
                  <c:v>1800</c:v>
                </c:pt>
                <c:pt idx="5">
                  <c:v>1691</c:v>
                </c:pt>
                <c:pt idx="6">
                  <c:v>2273</c:v>
                </c:pt>
              </c:numCache>
            </c:numRef>
          </c:val>
        </c:ser>
        <c:gapDepth val="0"/>
        <c:shape val="box"/>
        <c:axId val="267551872"/>
        <c:axId val="267553792"/>
        <c:axId val="0"/>
      </c:bar3DChart>
      <c:catAx>
        <c:axId val="267551872"/>
        <c:scaling>
          <c:orientation val="minMax"/>
        </c:scaling>
        <c:axPos val="b"/>
        <c:numFmt formatCode="General" sourceLinked="1"/>
        <c:tickLblPos val="low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67553792"/>
        <c:crosses val="autoZero"/>
        <c:auto val="1"/>
        <c:lblAlgn val="ctr"/>
        <c:lblOffset val="100"/>
        <c:tickLblSkip val="1"/>
        <c:tickMarkSkip val="1"/>
      </c:catAx>
      <c:valAx>
        <c:axId val="267553792"/>
        <c:scaling>
          <c:orientation val="minMax"/>
        </c:scaling>
        <c:axPos val="l"/>
        <c:numFmt formatCode="General" sourceLinked="1"/>
        <c:tickLblPos val="nextTo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6755187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62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946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noFill/>
        <a:ln w="25295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46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2012-04-02T09:49:00Z</dcterms:created>
  <dcterms:modified xsi:type="dcterms:W3CDTF">2012-04-02T09:53:00Z</dcterms:modified>
</cp:coreProperties>
</file>