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82" w:rsidRPr="002F2F3C" w:rsidRDefault="00B83D82" w:rsidP="00B83D82">
      <w:pPr>
        <w:ind w:left="0" w:firstLine="0"/>
        <w:rPr>
          <w:sz w:val="22"/>
          <w:lang w:val="en-US"/>
        </w:rPr>
      </w:pPr>
      <w:r>
        <w:rPr>
          <w:b/>
          <w:sz w:val="22"/>
          <w:u w:val="single"/>
        </w:rPr>
        <w:t>K</w:t>
      </w:r>
      <w:r w:rsidRPr="002C75B8">
        <w:rPr>
          <w:b/>
          <w:sz w:val="22"/>
          <w:u w:val="single"/>
        </w:rPr>
        <w:t>ENYA</w:t>
      </w:r>
    </w:p>
    <w:p w:rsidR="00B83D82" w:rsidRPr="002C75B8" w:rsidRDefault="00B83D82" w:rsidP="00B83D82">
      <w:pPr>
        <w:ind w:left="0" w:firstLine="0"/>
        <w:rPr>
          <w:b/>
          <w:sz w:val="22"/>
          <w:u w:val="single"/>
        </w:rPr>
      </w:pPr>
    </w:p>
    <w:p w:rsidR="00B83D82" w:rsidRPr="002C75B8" w:rsidRDefault="00B83D82" w:rsidP="00B83D82">
      <w:pPr>
        <w:ind w:left="0" w:firstLine="0"/>
        <w:rPr>
          <w:sz w:val="22"/>
          <w:lang w:val="en-US"/>
        </w:rPr>
      </w:pPr>
      <w:r>
        <w:rPr>
          <w:noProof/>
          <w:sz w:val="22"/>
          <w:lang w:val="en-US"/>
        </w:rPr>
        <w:drawing>
          <wp:inline distT="0" distB="0" distL="0" distR="0">
            <wp:extent cx="3086100" cy="20681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086100" cy="2068195"/>
                    </a:xfrm>
                    <a:prstGeom prst="rect">
                      <a:avLst/>
                    </a:prstGeom>
                    <a:noFill/>
                    <a:ln w="9525">
                      <a:noFill/>
                      <a:miter lim="800000"/>
                      <a:headEnd/>
                      <a:tailEnd/>
                    </a:ln>
                  </pic:spPr>
                </pic:pic>
              </a:graphicData>
            </a:graphic>
          </wp:inline>
        </w:drawing>
      </w:r>
    </w:p>
    <w:p w:rsidR="00B83D82" w:rsidRPr="002C75B8" w:rsidRDefault="00B83D82" w:rsidP="00B83D82">
      <w:pPr>
        <w:ind w:left="0" w:firstLine="0"/>
        <w:rPr>
          <w:b/>
          <w:sz w:val="22"/>
          <w:lang w:val="en-US"/>
        </w:rPr>
      </w:pPr>
    </w:p>
    <w:p w:rsidR="00B83D82" w:rsidRPr="002C75B8" w:rsidRDefault="00B83D82" w:rsidP="00B83D82">
      <w:pPr>
        <w:ind w:left="0" w:firstLine="0"/>
        <w:rPr>
          <w:b/>
          <w:sz w:val="22"/>
          <w:lang w:val="en-US"/>
        </w:rPr>
      </w:pPr>
    </w:p>
    <w:p w:rsidR="00B83D82" w:rsidRPr="002C75B8" w:rsidRDefault="00B83D82" w:rsidP="00B83D82">
      <w:pPr>
        <w:ind w:left="0" w:firstLine="0"/>
        <w:rPr>
          <w:b/>
          <w:sz w:val="22"/>
          <w:lang w:val="en-US"/>
        </w:rPr>
      </w:pPr>
      <w:r w:rsidRPr="002C75B8">
        <w:rPr>
          <w:b/>
          <w:sz w:val="22"/>
          <w:lang w:val="en-US"/>
        </w:rPr>
        <w:t>BASIC COUNTRY DATA</w:t>
      </w:r>
    </w:p>
    <w:p w:rsidR="00B83D82" w:rsidRPr="002C75B8" w:rsidRDefault="00B83D82" w:rsidP="00B83D82">
      <w:pPr>
        <w:ind w:left="0" w:firstLine="0"/>
        <w:rPr>
          <w:sz w:val="22"/>
          <w:lang w:val="en-US"/>
        </w:rPr>
      </w:pPr>
    </w:p>
    <w:p w:rsidR="00B83D82" w:rsidRPr="002C75B8" w:rsidRDefault="00B83D82" w:rsidP="00B83D82">
      <w:pPr>
        <w:ind w:left="0" w:firstLine="0"/>
        <w:rPr>
          <w:sz w:val="22"/>
          <w:lang w:val="en-US"/>
        </w:rPr>
      </w:pPr>
      <w:r w:rsidRPr="002C75B8">
        <w:rPr>
          <w:sz w:val="22"/>
          <w:lang w:val="en-US"/>
        </w:rPr>
        <w:t xml:space="preserve">Total Population: </w:t>
      </w:r>
      <w:r>
        <w:rPr>
          <w:sz w:val="22"/>
          <w:lang w:val="en-US"/>
        </w:rPr>
        <w:t>40,512,682</w:t>
      </w:r>
      <w:r w:rsidRPr="002C75B8">
        <w:rPr>
          <w:sz w:val="22"/>
          <w:lang w:val="en-US"/>
        </w:rPr>
        <w:t xml:space="preserve"> </w:t>
      </w:r>
    </w:p>
    <w:p w:rsidR="00B83D82" w:rsidRPr="002C75B8" w:rsidRDefault="00B83D82" w:rsidP="00B83D82">
      <w:pPr>
        <w:ind w:left="0" w:firstLine="0"/>
        <w:rPr>
          <w:sz w:val="22"/>
          <w:lang w:val="en-US"/>
        </w:rPr>
      </w:pPr>
      <w:r w:rsidRPr="002C75B8">
        <w:rPr>
          <w:sz w:val="22"/>
          <w:lang w:val="en-US"/>
        </w:rPr>
        <w:t>Population 0-14 years: 4</w:t>
      </w:r>
      <w:r>
        <w:rPr>
          <w:sz w:val="22"/>
          <w:lang w:val="en-US"/>
        </w:rPr>
        <w:t>2</w:t>
      </w:r>
      <w:r w:rsidRPr="002C75B8">
        <w:rPr>
          <w:sz w:val="22"/>
          <w:lang w:val="en-US"/>
        </w:rPr>
        <w:t xml:space="preserve">% </w:t>
      </w:r>
    </w:p>
    <w:p w:rsidR="00B83D82" w:rsidRPr="002C75B8" w:rsidRDefault="00B83D82" w:rsidP="00B83D82">
      <w:pPr>
        <w:ind w:left="0" w:firstLine="0"/>
        <w:rPr>
          <w:sz w:val="22"/>
          <w:lang w:val="en-US"/>
        </w:rPr>
      </w:pPr>
      <w:r w:rsidRPr="002C75B8">
        <w:rPr>
          <w:sz w:val="22"/>
          <w:lang w:val="en-US"/>
        </w:rPr>
        <w:t>Rural population: 7</w:t>
      </w:r>
      <w:r>
        <w:rPr>
          <w:sz w:val="22"/>
          <w:lang w:val="en-US"/>
        </w:rPr>
        <w:t>8</w:t>
      </w:r>
      <w:r w:rsidRPr="002C75B8">
        <w:rPr>
          <w:sz w:val="22"/>
          <w:lang w:val="en-US"/>
        </w:rPr>
        <w:t xml:space="preserve">% </w:t>
      </w:r>
    </w:p>
    <w:p w:rsidR="00B83D82" w:rsidRPr="002C75B8" w:rsidRDefault="00B83D82" w:rsidP="00B83D82">
      <w:pPr>
        <w:ind w:left="0" w:firstLine="0"/>
        <w:rPr>
          <w:sz w:val="22"/>
          <w:lang w:val="en-US"/>
        </w:rPr>
      </w:pPr>
      <w:r w:rsidRPr="002C75B8">
        <w:rPr>
          <w:sz w:val="22"/>
          <w:lang w:val="en-US"/>
        </w:rPr>
        <w:t>Population living under USD 1</w:t>
      </w:r>
      <w:r>
        <w:rPr>
          <w:sz w:val="22"/>
          <w:lang w:val="en-US"/>
        </w:rPr>
        <w:t>.</w:t>
      </w:r>
      <w:r w:rsidRPr="002C75B8">
        <w:rPr>
          <w:sz w:val="22"/>
          <w:lang w:val="en-US"/>
        </w:rPr>
        <w:t>25 a day: 19</w:t>
      </w:r>
      <w:r>
        <w:rPr>
          <w:sz w:val="22"/>
          <w:lang w:val="en-US"/>
        </w:rPr>
        <w:t>.</w:t>
      </w:r>
      <w:r w:rsidRPr="002C75B8">
        <w:rPr>
          <w:sz w:val="22"/>
          <w:lang w:val="en-US"/>
        </w:rPr>
        <w:t>7%</w:t>
      </w:r>
    </w:p>
    <w:p w:rsidR="00B83D82" w:rsidRPr="002C75B8" w:rsidRDefault="00B83D82" w:rsidP="00B83D82">
      <w:pPr>
        <w:ind w:left="0" w:firstLine="0"/>
        <w:rPr>
          <w:sz w:val="22"/>
          <w:lang w:val="en-US"/>
        </w:rPr>
      </w:pPr>
      <w:r w:rsidRPr="002C75B8">
        <w:rPr>
          <w:sz w:val="22"/>
          <w:lang w:val="en-US"/>
        </w:rPr>
        <w:t xml:space="preserve">Population living under the national poverty line: </w:t>
      </w:r>
      <w:r>
        <w:rPr>
          <w:sz w:val="22"/>
          <w:lang w:val="en-US"/>
        </w:rPr>
        <w:t>n</w:t>
      </w:r>
      <w:r w:rsidRPr="002C75B8">
        <w:rPr>
          <w:sz w:val="22"/>
          <w:lang w:val="en-US"/>
        </w:rPr>
        <w:t xml:space="preserve">o data </w:t>
      </w:r>
    </w:p>
    <w:p w:rsidR="00B83D82" w:rsidRPr="002C75B8" w:rsidRDefault="00B83D82" w:rsidP="00B83D82">
      <w:pPr>
        <w:ind w:left="0" w:firstLine="0"/>
        <w:rPr>
          <w:sz w:val="22"/>
          <w:lang w:val="en-US"/>
        </w:rPr>
      </w:pPr>
      <w:r w:rsidRPr="002C75B8">
        <w:rPr>
          <w:sz w:val="22"/>
          <w:lang w:val="en-US"/>
        </w:rPr>
        <w:t xml:space="preserve">Income status: Low income economy </w:t>
      </w:r>
    </w:p>
    <w:p w:rsidR="00B83D82" w:rsidRPr="002C75B8" w:rsidRDefault="00B83D82" w:rsidP="00B83D82">
      <w:pPr>
        <w:ind w:left="0" w:firstLine="0"/>
        <w:rPr>
          <w:sz w:val="22"/>
          <w:lang w:val="en-US"/>
        </w:rPr>
      </w:pPr>
      <w:r w:rsidRPr="002C75B8">
        <w:rPr>
          <w:sz w:val="22"/>
          <w:lang w:val="en-US"/>
        </w:rPr>
        <w:t xml:space="preserve">Ranking: </w:t>
      </w:r>
      <w:r>
        <w:rPr>
          <w:sz w:val="22"/>
          <w:lang w:val="en-US"/>
        </w:rPr>
        <w:t>Low</w:t>
      </w:r>
      <w:r w:rsidRPr="002C75B8">
        <w:rPr>
          <w:sz w:val="22"/>
          <w:lang w:val="en-US"/>
        </w:rPr>
        <w:t xml:space="preserve"> </w:t>
      </w:r>
      <w:r>
        <w:rPr>
          <w:sz w:val="22"/>
          <w:lang w:val="en-US"/>
        </w:rPr>
        <w:t>h</w:t>
      </w:r>
      <w:r w:rsidRPr="002C75B8">
        <w:rPr>
          <w:sz w:val="22"/>
          <w:lang w:val="en-US"/>
        </w:rPr>
        <w:t xml:space="preserve">uman </w:t>
      </w:r>
      <w:r>
        <w:rPr>
          <w:sz w:val="22"/>
          <w:lang w:val="en-US"/>
        </w:rPr>
        <w:t>d</w:t>
      </w:r>
      <w:r w:rsidRPr="002C75B8">
        <w:rPr>
          <w:sz w:val="22"/>
          <w:lang w:val="en-US"/>
        </w:rPr>
        <w:t>evelopment</w:t>
      </w:r>
      <w:r>
        <w:rPr>
          <w:sz w:val="22"/>
          <w:lang w:val="en-US"/>
        </w:rPr>
        <w:t xml:space="preserve"> (ranking 143)</w:t>
      </w:r>
      <w:r w:rsidRPr="002C75B8">
        <w:rPr>
          <w:sz w:val="22"/>
          <w:lang w:val="en-US"/>
        </w:rPr>
        <w:t xml:space="preserve"> </w:t>
      </w:r>
    </w:p>
    <w:p w:rsidR="00B83D82" w:rsidRPr="002C75B8" w:rsidRDefault="00B83D82" w:rsidP="00B83D82">
      <w:pPr>
        <w:ind w:left="0" w:firstLine="0"/>
        <w:rPr>
          <w:sz w:val="22"/>
          <w:lang w:val="en-US"/>
        </w:rPr>
      </w:pPr>
      <w:r w:rsidRPr="002C75B8">
        <w:rPr>
          <w:sz w:val="22"/>
          <w:lang w:val="en-US"/>
        </w:rPr>
        <w:t xml:space="preserve">Per capita total expenditure on health at average exchange rate (US dollar): </w:t>
      </w:r>
      <w:r>
        <w:rPr>
          <w:sz w:val="22"/>
          <w:lang w:val="en-US"/>
        </w:rPr>
        <w:t>33</w:t>
      </w:r>
      <w:r w:rsidRPr="002C75B8">
        <w:rPr>
          <w:sz w:val="22"/>
          <w:lang w:val="en-US"/>
        </w:rPr>
        <w:t xml:space="preserve"> </w:t>
      </w:r>
    </w:p>
    <w:p w:rsidR="00B83D82" w:rsidRPr="002C75B8" w:rsidRDefault="00B83D82" w:rsidP="00B83D82">
      <w:pPr>
        <w:ind w:left="0" w:firstLine="0"/>
        <w:rPr>
          <w:sz w:val="22"/>
          <w:lang w:val="en-US"/>
        </w:rPr>
      </w:pPr>
      <w:r w:rsidRPr="002C75B8">
        <w:rPr>
          <w:sz w:val="22"/>
          <w:lang w:val="en-US"/>
        </w:rPr>
        <w:t>Life expectancy at birth (years): 5</w:t>
      </w:r>
      <w:r>
        <w:rPr>
          <w:sz w:val="22"/>
          <w:lang w:val="en-US"/>
        </w:rPr>
        <w:t>6</w:t>
      </w:r>
    </w:p>
    <w:p w:rsidR="00B83D82" w:rsidRPr="002C75B8" w:rsidRDefault="00B83D82" w:rsidP="00B83D82">
      <w:pPr>
        <w:ind w:left="0" w:firstLine="0"/>
        <w:rPr>
          <w:sz w:val="22"/>
          <w:lang w:val="en-US"/>
        </w:rPr>
      </w:pPr>
      <w:r w:rsidRPr="002C75B8">
        <w:rPr>
          <w:sz w:val="22"/>
          <w:lang w:val="en-US"/>
        </w:rPr>
        <w:t>Health</w:t>
      </w:r>
      <w:r>
        <w:rPr>
          <w:sz w:val="22"/>
          <w:lang w:val="en-US"/>
        </w:rPr>
        <w:t>y</w:t>
      </w:r>
      <w:r w:rsidRPr="002C75B8">
        <w:rPr>
          <w:sz w:val="22"/>
          <w:lang w:val="en-US"/>
        </w:rPr>
        <w:t xml:space="preserve"> life expectancy at birth (years): 44 </w:t>
      </w:r>
    </w:p>
    <w:p w:rsidR="00B83D82" w:rsidRPr="002C75B8" w:rsidRDefault="00B83D82" w:rsidP="00B83D82">
      <w:pPr>
        <w:ind w:left="0" w:firstLine="0"/>
        <w:rPr>
          <w:sz w:val="22"/>
          <w:lang w:val="en-US"/>
        </w:rPr>
      </w:pPr>
    </w:p>
    <w:p w:rsidR="00B83D82" w:rsidRPr="002C75B8" w:rsidRDefault="00B83D82" w:rsidP="00B83D82">
      <w:pPr>
        <w:ind w:left="0" w:firstLine="0"/>
        <w:rPr>
          <w:b/>
          <w:sz w:val="22"/>
          <w:lang w:val="en-US"/>
        </w:rPr>
      </w:pPr>
    </w:p>
    <w:p w:rsidR="00B83D82" w:rsidRPr="002C75B8" w:rsidRDefault="00B83D82" w:rsidP="00B83D82">
      <w:pPr>
        <w:ind w:left="0" w:firstLine="0"/>
        <w:rPr>
          <w:b/>
          <w:sz w:val="22"/>
          <w:lang w:val="en-US"/>
        </w:rPr>
      </w:pPr>
      <w:r w:rsidRPr="002C75B8">
        <w:rPr>
          <w:b/>
          <w:sz w:val="22"/>
          <w:lang w:val="en-US"/>
        </w:rPr>
        <w:t>BACKGROUND INFORMATION</w:t>
      </w:r>
    </w:p>
    <w:p w:rsidR="00B83D82" w:rsidRPr="002C75B8" w:rsidRDefault="00B83D82" w:rsidP="00B83D82">
      <w:pPr>
        <w:ind w:left="0" w:firstLine="0"/>
        <w:rPr>
          <w:sz w:val="22"/>
          <w:lang w:val="en-US"/>
        </w:rPr>
      </w:pPr>
    </w:p>
    <w:p w:rsidR="00B83D82" w:rsidRDefault="00B83D82" w:rsidP="00B83D82">
      <w:pPr>
        <w:ind w:left="0" w:firstLine="0"/>
        <w:rPr>
          <w:sz w:val="22"/>
          <w:lang w:val="en-US"/>
        </w:rPr>
      </w:pPr>
      <w:r w:rsidRPr="002C75B8">
        <w:rPr>
          <w:sz w:val="22"/>
          <w:lang w:val="en-US"/>
        </w:rPr>
        <w:t xml:space="preserve">VL seems to have been imported in </w:t>
      </w:r>
      <w:smartTag w:uri="urn:schemas-microsoft-com:office:smarttags" w:element="country-region">
        <w:r w:rsidRPr="002C75B8">
          <w:rPr>
            <w:sz w:val="22"/>
            <w:lang w:val="en-US"/>
          </w:rPr>
          <w:t>Kenya</w:t>
        </w:r>
      </w:smartTag>
      <w:r w:rsidRPr="002C75B8">
        <w:rPr>
          <w:sz w:val="22"/>
          <w:lang w:val="en-US"/>
        </w:rPr>
        <w:t xml:space="preserve"> by soldiers returning from southern </w:t>
      </w:r>
      <w:smartTag w:uri="urn:schemas-microsoft-com:office:smarttags" w:element="country-region">
        <w:smartTag w:uri="urn:schemas-microsoft-com:office:smarttags" w:element="place">
          <w:r w:rsidRPr="002C75B8">
            <w:rPr>
              <w:sz w:val="22"/>
              <w:lang w:val="en-US"/>
            </w:rPr>
            <w:t>Ethiopia</w:t>
          </w:r>
        </w:smartTag>
      </w:smartTag>
      <w:r w:rsidRPr="002C75B8">
        <w:rPr>
          <w:sz w:val="22"/>
          <w:lang w:val="en-US"/>
        </w:rPr>
        <w:t xml:space="preserve"> after the Second World War. The disease spread with epidemic resurgences in different foci during the years that followed. Since 1980</w:t>
      </w:r>
      <w:r>
        <w:rPr>
          <w:sz w:val="22"/>
          <w:lang w:val="en-US"/>
        </w:rPr>
        <w:t>,</w:t>
      </w:r>
      <w:r w:rsidRPr="002C75B8">
        <w:rPr>
          <w:sz w:val="22"/>
          <w:lang w:val="en-US"/>
        </w:rPr>
        <w:t xml:space="preserve"> the number of </w:t>
      </w:r>
      <w:r>
        <w:rPr>
          <w:sz w:val="22"/>
          <w:lang w:val="en-US"/>
        </w:rPr>
        <w:t xml:space="preserve">reported </w:t>
      </w:r>
      <w:r w:rsidRPr="002C75B8">
        <w:rPr>
          <w:sz w:val="22"/>
          <w:lang w:val="en-US"/>
        </w:rPr>
        <w:t xml:space="preserve">cases increased considerably and expanded into new areas. In </w:t>
      </w:r>
      <w:proofErr w:type="spellStart"/>
      <w:r w:rsidRPr="002C75B8">
        <w:rPr>
          <w:sz w:val="22"/>
          <w:lang w:val="en-US"/>
        </w:rPr>
        <w:t>Baringo</w:t>
      </w:r>
      <w:proofErr w:type="spellEnd"/>
      <w:r w:rsidRPr="002C75B8">
        <w:rPr>
          <w:sz w:val="22"/>
          <w:lang w:val="en-US"/>
        </w:rPr>
        <w:t xml:space="preserve"> and </w:t>
      </w:r>
      <w:proofErr w:type="spellStart"/>
      <w:r w:rsidRPr="002C75B8">
        <w:rPr>
          <w:sz w:val="22"/>
          <w:lang w:val="en-US"/>
        </w:rPr>
        <w:t>Pokot</w:t>
      </w:r>
      <w:proofErr w:type="spellEnd"/>
      <w:r w:rsidRPr="002C75B8">
        <w:rPr>
          <w:sz w:val="22"/>
          <w:lang w:val="en-US"/>
        </w:rPr>
        <w:t xml:space="preserve"> area</w:t>
      </w:r>
      <w:r>
        <w:rPr>
          <w:sz w:val="22"/>
          <w:lang w:val="en-US"/>
        </w:rPr>
        <w:t>,</w:t>
      </w:r>
      <w:r w:rsidRPr="002C75B8">
        <w:rPr>
          <w:sz w:val="22"/>
          <w:lang w:val="en-US"/>
        </w:rPr>
        <w:t xml:space="preserve"> there is a continuous high </w:t>
      </w:r>
      <w:proofErr w:type="spellStart"/>
      <w:r w:rsidRPr="002C75B8">
        <w:rPr>
          <w:sz w:val="22"/>
          <w:lang w:val="en-US"/>
        </w:rPr>
        <w:t>endemicity</w:t>
      </w:r>
      <w:proofErr w:type="spellEnd"/>
      <w:r>
        <w:rPr>
          <w:sz w:val="22"/>
          <w:lang w:val="en-US"/>
        </w:rPr>
        <w:t>,</w:t>
      </w:r>
      <w:r w:rsidRPr="002C75B8">
        <w:rPr>
          <w:sz w:val="22"/>
          <w:lang w:val="en-US"/>
        </w:rPr>
        <w:t xml:space="preserve"> which affects the very poor tribal nomadic population </w:t>
      </w:r>
      <w:r>
        <w:rPr>
          <w:sz w:val="22"/>
          <w:lang w:val="en-US"/>
        </w:rPr>
        <w:t>[1]</w:t>
      </w:r>
      <w:r w:rsidRPr="002C75B8">
        <w:rPr>
          <w:sz w:val="22"/>
          <w:lang w:val="en-US"/>
        </w:rPr>
        <w:t>. In other areas</w:t>
      </w:r>
      <w:r>
        <w:rPr>
          <w:sz w:val="22"/>
          <w:lang w:val="en-US"/>
        </w:rPr>
        <w:t>,</w:t>
      </w:r>
      <w:r w:rsidRPr="002C75B8">
        <w:rPr>
          <w:sz w:val="22"/>
          <w:lang w:val="en-US"/>
        </w:rPr>
        <w:t xml:space="preserve"> VL occurs in outbreaks that are associated with periods of drought, when the rate of malnutrition is high. The outbreaks are probably related to people movement from high to low endemic areas due to the lack of food security. In 2000</w:t>
      </w:r>
      <w:r>
        <w:rPr>
          <w:sz w:val="22"/>
          <w:lang w:val="en-US"/>
        </w:rPr>
        <w:t>-</w:t>
      </w:r>
      <w:r w:rsidRPr="002C75B8">
        <w:rPr>
          <w:sz w:val="22"/>
          <w:lang w:val="en-US"/>
        </w:rPr>
        <w:t xml:space="preserve">2001, a VL outbreak </w:t>
      </w:r>
      <w:r w:rsidRPr="003A7470">
        <w:rPr>
          <w:sz w:val="22"/>
          <w:lang w:val="en-US"/>
        </w:rPr>
        <w:t>with over 349 suspected</w:t>
      </w:r>
      <w:r w:rsidRPr="002C75B8">
        <w:rPr>
          <w:sz w:val="22"/>
          <w:lang w:val="en-US"/>
        </w:rPr>
        <w:t xml:space="preserve"> cases was confirmed in </w:t>
      </w:r>
      <w:r>
        <w:rPr>
          <w:sz w:val="22"/>
          <w:lang w:val="en-US"/>
        </w:rPr>
        <w:t>the e</w:t>
      </w:r>
      <w:r w:rsidRPr="002C75B8">
        <w:rPr>
          <w:sz w:val="22"/>
          <w:lang w:val="en-US"/>
        </w:rPr>
        <w:t xml:space="preserve">astern and </w:t>
      </w:r>
      <w:r>
        <w:rPr>
          <w:sz w:val="22"/>
          <w:lang w:val="en-US"/>
        </w:rPr>
        <w:t>n</w:t>
      </w:r>
      <w:r w:rsidRPr="002C75B8">
        <w:rPr>
          <w:sz w:val="22"/>
          <w:lang w:val="en-US"/>
        </w:rPr>
        <w:t>orth</w:t>
      </w:r>
      <w:r>
        <w:rPr>
          <w:sz w:val="22"/>
          <w:lang w:val="en-US"/>
        </w:rPr>
        <w:t>e</w:t>
      </w:r>
      <w:r w:rsidRPr="002C75B8">
        <w:rPr>
          <w:sz w:val="22"/>
          <w:lang w:val="en-US"/>
        </w:rPr>
        <w:t xml:space="preserve">astern provinces of </w:t>
      </w:r>
      <w:r>
        <w:rPr>
          <w:sz w:val="22"/>
          <w:lang w:val="en-US"/>
        </w:rPr>
        <w:t xml:space="preserve">the </w:t>
      </w:r>
      <w:proofErr w:type="spellStart"/>
      <w:r w:rsidRPr="002C75B8">
        <w:rPr>
          <w:sz w:val="22"/>
          <w:lang w:val="en-US"/>
        </w:rPr>
        <w:t>Wajir</w:t>
      </w:r>
      <w:proofErr w:type="spellEnd"/>
      <w:r w:rsidRPr="002C75B8">
        <w:rPr>
          <w:sz w:val="22"/>
          <w:lang w:val="en-US"/>
        </w:rPr>
        <w:t xml:space="preserve"> and </w:t>
      </w:r>
      <w:proofErr w:type="spellStart"/>
      <w:r w:rsidRPr="002C75B8">
        <w:rPr>
          <w:sz w:val="22"/>
          <w:lang w:val="en-US"/>
        </w:rPr>
        <w:t>Mandera</w:t>
      </w:r>
      <w:proofErr w:type="spellEnd"/>
      <w:r w:rsidRPr="002C75B8">
        <w:rPr>
          <w:sz w:val="22"/>
          <w:lang w:val="en-US"/>
        </w:rPr>
        <w:t xml:space="preserve"> districts</w:t>
      </w:r>
      <w:r>
        <w:rPr>
          <w:sz w:val="22"/>
          <w:lang w:val="en-US"/>
        </w:rPr>
        <w:t xml:space="preserve"> [2]</w:t>
      </w:r>
      <w:r w:rsidRPr="002C75B8">
        <w:rPr>
          <w:sz w:val="22"/>
          <w:lang w:val="en-US"/>
        </w:rPr>
        <w:t xml:space="preserve">. In 2006, another outbreak of VL was reported in </w:t>
      </w:r>
      <w:proofErr w:type="spellStart"/>
      <w:r w:rsidRPr="002C75B8">
        <w:rPr>
          <w:sz w:val="22"/>
          <w:lang w:val="en-US"/>
        </w:rPr>
        <w:t>Wajir</w:t>
      </w:r>
      <w:proofErr w:type="spellEnd"/>
      <w:r w:rsidRPr="002C75B8">
        <w:rPr>
          <w:sz w:val="22"/>
          <w:lang w:val="en-US"/>
        </w:rPr>
        <w:t xml:space="preserve"> and </w:t>
      </w:r>
      <w:proofErr w:type="spellStart"/>
      <w:r w:rsidRPr="002C75B8">
        <w:rPr>
          <w:sz w:val="22"/>
          <w:lang w:val="en-US"/>
        </w:rPr>
        <w:t>Isiolo</w:t>
      </w:r>
      <w:proofErr w:type="spellEnd"/>
      <w:r w:rsidRPr="002C75B8">
        <w:rPr>
          <w:sz w:val="22"/>
          <w:lang w:val="en-US"/>
        </w:rPr>
        <w:t xml:space="preserve"> districts</w:t>
      </w:r>
      <w:r>
        <w:rPr>
          <w:sz w:val="22"/>
          <w:lang w:val="en-US"/>
        </w:rPr>
        <w:t>,</w:t>
      </w:r>
      <w:r w:rsidRPr="002C75B8">
        <w:rPr>
          <w:sz w:val="22"/>
          <w:lang w:val="en-US"/>
        </w:rPr>
        <w:t xml:space="preserve"> with a total of 82 suspected cases (48 were confirmed), followed </w:t>
      </w:r>
      <w:r>
        <w:rPr>
          <w:sz w:val="22"/>
          <w:lang w:val="en-US"/>
        </w:rPr>
        <w:t xml:space="preserve">in 2008 </w:t>
      </w:r>
      <w:r w:rsidRPr="002C75B8">
        <w:rPr>
          <w:sz w:val="22"/>
          <w:lang w:val="en-US"/>
        </w:rPr>
        <w:t>by another outbreak</w:t>
      </w:r>
      <w:r>
        <w:rPr>
          <w:sz w:val="22"/>
          <w:lang w:val="en-US"/>
        </w:rPr>
        <w:t>,</w:t>
      </w:r>
      <w:r w:rsidRPr="002C75B8">
        <w:rPr>
          <w:sz w:val="22"/>
          <w:lang w:val="en-US"/>
        </w:rPr>
        <w:t xml:space="preserve"> in the same area</w:t>
      </w:r>
      <w:r>
        <w:rPr>
          <w:sz w:val="22"/>
          <w:lang w:val="en-US"/>
        </w:rPr>
        <w:t>,</w:t>
      </w:r>
      <w:r w:rsidRPr="002C75B8">
        <w:rPr>
          <w:sz w:val="22"/>
          <w:lang w:val="en-US"/>
        </w:rPr>
        <w:t xml:space="preserve"> with 75 confirmed cases. </w:t>
      </w:r>
    </w:p>
    <w:p w:rsidR="00B83D82" w:rsidRPr="002C75B8" w:rsidRDefault="00B83D82" w:rsidP="00B83D82">
      <w:pPr>
        <w:ind w:left="0" w:firstLine="0"/>
        <w:rPr>
          <w:sz w:val="22"/>
          <w:lang w:val="en-US"/>
        </w:rPr>
      </w:pPr>
    </w:p>
    <w:p w:rsidR="00B83D82" w:rsidRPr="002C75B8" w:rsidRDefault="00B83D82" w:rsidP="00B83D82">
      <w:pPr>
        <w:ind w:left="0" w:firstLine="0"/>
        <w:rPr>
          <w:sz w:val="22"/>
          <w:lang w:val="en-US"/>
        </w:rPr>
      </w:pPr>
      <w:r w:rsidRPr="002C75B8">
        <w:rPr>
          <w:sz w:val="22"/>
          <w:lang w:val="en-US"/>
        </w:rPr>
        <w:t xml:space="preserve">Risk factors for VL have been studied and a good correlation was established between the proximity of houses or temporary settlements to termite hills and the risk of transmission. </w:t>
      </w:r>
      <w:r>
        <w:rPr>
          <w:sz w:val="22"/>
          <w:lang w:val="en-US"/>
        </w:rPr>
        <w:t>Having a</w:t>
      </w:r>
      <w:r w:rsidRPr="002C75B8">
        <w:rPr>
          <w:sz w:val="22"/>
          <w:lang w:val="en-US"/>
        </w:rPr>
        <w:t xml:space="preserve"> low socio-economic status and treating livestock with insecticide were also identified as risk factors for VL. Sleeping near animals, owning a mosquito net and knowing about VL symptoms </w:t>
      </w:r>
      <w:r w:rsidRPr="002C75B8">
        <w:rPr>
          <w:sz w:val="22"/>
          <w:lang w:val="en-US"/>
        </w:rPr>
        <w:lastRenderedPageBreak/>
        <w:t xml:space="preserve">were associated with a reduced risk of VL </w:t>
      </w:r>
      <w:r>
        <w:rPr>
          <w:sz w:val="22"/>
          <w:lang w:val="en-US"/>
        </w:rPr>
        <w:t>[3]</w:t>
      </w:r>
      <w:r w:rsidRPr="002C75B8">
        <w:rPr>
          <w:sz w:val="22"/>
          <w:lang w:val="en-US"/>
        </w:rPr>
        <w:t xml:space="preserve">. Transmission is believed to be mainly anthroponotic. </w:t>
      </w:r>
    </w:p>
    <w:p w:rsidR="00B83D82" w:rsidRPr="002C75B8" w:rsidRDefault="00B83D82" w:rsidP="00B83D82">
      <w:pPr>
        <w:ind w:left="0" w:firstLine="0"/>
        <w:rPr>
          <w:sz w:val="22"/>
          <w:lang w:val="en-US"/>
        </w:rPr>
      </w:pPr>
    </w:p>
    <w:p w:rsidR="00B83D82" w:rsidRDefault="00B83D82" w:rsidP="00B83D82">
      <w:pPr>
        <w:ind w:left="0" w:firstLine="0"/>
        <w:rPr>
          <w:sz w:val="22"/>
          <w:lang w:val="en-US"/>
        </w:rPr>
      </w:pPr>
      <w:r w:rsidRPr="002C75B8">
        <w:rPr>
          <w:sz w:val="22"/>
          <w:lang w:val="en-US"/>
        </w:rPr>
        <w:t xml:space="preserve">CL caused by </w:t>
      </w:r>
      <w:r w:rsidRPr="002C75B8">
        <w:rPr>
          <w:i/>
          <w:iCs/>
          <w:sz w:val="22"/>
          <w:lang w:val="en-US"/>
        </w:rPr>
        <w:t>L. aethiopica</w:t>
      </w:r>
      <w:r w:rsidRPr="002C75B8">
        <w:rPr>
          <w:sz w:val="22"/>
          <w:lang w:val="en-US"/>
        </w:rPr>
        <w:t xml:space="preserve"> is well known in the mountainous regions</w:t>
      </w:r>
      <w:r>
        <w:rPr>
          <w:sz w:val="22"/>
          <w:lang w:val="en-US"/>
        </w:rPr>
        <w:t>,</w:t>
      </w:r>
      <w:r w:rsidRPr="002C75B8">
        <w:rPr>
          <w:sz w:val="22"/>
          <w:lang w:val="en-US"/>
        </w:rPr>
        <w:t xml:space="preserve"> such as </w:t>
      </w:r>
      <w:smartTag w:uri="urn:schemas-microsoft-com:office:smarttags" w:element="place">
        <w:smartTag w:uri="urn:schemas-microsoft-com:office:smarttags" w:element="PlaceType">
          <w:r w:rsidRPr="002C75B8">
            <w:rPr>
              <w:sz w:val="22"/>
              <w:lang w:val="en-US"/>
            </w:rPr>
            <w:t>Mount</w:t>
          </w:r>
        </w:smartTag>
        <w:r w:rsidRPr="002C75B8">
          <w:rPr>
            <w:sz w:val="22"/>
            <w:lang w:val="en-US"/>
          </w:rPr>
          <w:t xml:space="preserve"> </w:t>
        </w:r>
        <w:proofErr w:type="spellStart"/>
        <w:smartTag w:uri="urn:schemas-microsoft-com:office:smarttags" w:element="PlaceName">
          <w:r w:rsidRPr="002C75B8">
            <w:rPr>
              <w:sz w:val="22"/>
              <w:lang w:val="en-US"/>
            </w:rPr>
            <w:t>EIgon</w:t>
          </w:r>
        </w:smartTag>
      </w:smartTag>
      <w:proofErr w:type="spellEnd"/>
      <w:r w:rsidRPr="002C75B8">
        <w:rPr>
          <w:sz w:val="22"/>
          <w:lang w:val="en-US"/>
        </w:rPr>
        <w:t xml:space="preserve">, and in the Rift valley escarpments. With the extension of farming and grazing in the region, there is an increased risk of cases since farmers and shepherds tend to sleep in caves where the vector is present </w:t>
      </w:r>
      <w:r>
        <w:rPr>
          <w:sz w:val="22"/>
          <w:lang w:val="en-US"/>
        </w:rPr>
        <w:t>[1]</w:t>
      </w:r>
      <w:r w:rsidRPr="002C75B8">
        <w:rPr>
          <w:sz w:val="22"/>
          <w:lang w:val="en-US"/>
        </w:rPr>
        <w:t xml:space="preserve">. </w:t>
      </w:r>
    </w:p>
    <w:p w:rsidR="00B83D82" w:rsidRPr="002C75B8" w:rsidRDefault="00B83D82" w:rsidP="00B83D82">
      <w:pPr>
        <w:ind w:left="0" w:firstLine="0"/>
        <w:rPr>
          <w:sz w:val="22"/>
          <w:lang w:val="en-US"/>
        </w:rPr>
      </w:pPr>
    </w:p>
    <w:p w:rsidR="00B83D82" w:rsidRPr="002C75B8" w:rsidRDefault="00B83D82" w:rsidP="00B83D82">
      <w:pPr>
        <w:ind w:left="0" w:firstLine="0"/>
        <w:rPr>
          <w:sz w:val="22"/>
          <w:lang w:val="en-US"/>
        </w:rPr>
      </w:pPr>
      <w:r w:rsidRPr="002C75B8">
        <w:rPr>
          <w:sz w:val="22"/>
          <w:lang w:val="en-US"/>
        </w:rPr>
        <w:t xml:space="preserve">CL is caused by </w:t>
      </w:r>
      <w:r w:rsidRPr="002C75B8">
        <w:rPr>
          <w:i/>
          <w:iCs/>
          <w:sz w:val="22"/>
          <w:lang w:val="en-US"/>
        </w:rPr>
        <w:t>L. major</w:t>
      </w:r>
      <w:r w:rsidRPr="002C75B8">
        <w:rPr>
          <w:sz w:val="22"/>
          <w:lang w:val="en-US"/>
        </w:rPr>
        <w:t xml:space="preserve"> in the lowlands of </w:t>
      </w:r>
      <w:proofErr w:type="spellStart"/>
      <w:r w:rsidRPr="002C75B8">
        <w:rPr>
          <w:sz w:val="22"/>
          <w:lang w:val="en-US"/>
        </w:rPr>
        <w:t>Baringo</w:t>
      </w:r>
      <w:proofErr w:type="spellEnd"/>
      <w:r w:rsidRPr="002C75B8">
        <w:rPr>
          <w:sz w:val="22"/>
          <w:lang w:val="en-US"/>
        </w:rPr>
        <w:t xml:space="preserve"> district. </w:t>
      </w:r>
      <w:r>
        <w:rPr>
          <w:sz w:val="22"/>
          <w:lang w:val="en-US"/>
        </w:rPr>
        <w:t>B</w:t>
      </w:r>
      <w:r w:rsidRPr="002C75B8">
        <w:rPr>
          <w:sz w:val="22"/>
          <w:lang w:val="en-US"/>
        </w:rPr>
        <w:t>oth VL and CL mainly</w:t>
      </w:r>
      <w:r>
        <w:rPr>
          <w:sz w:val="22"/>
          <w:lang w:val="en-US"/>
        </w:rPr>
        <w:t xml:space="preserve"> affect</w:t>
      </w:r>
      <w:r w:rsidRPr="002C75B8">
        <w:rPr>
          <w:sz w:val="22"/>
          <w:lang w:val="en-US"/>
        </w:rPr>
        <w:t xml:space="preserve"> children and young adults. </w:t>
      </w:r>
    </w:p>
    <w:p w:rsidR="00B83D82" w:rsidRPr="002C75B8" w:rsidRDefault="00B83D82" w:rsidP="00B83D82">
      <w:pPr>
        <w:ind w:left="0" w:firstLine="0"/>
        <w:rPr>
          <w:sz w:val="22"/>
          <w:lang w:val="en-GB"/>
        </w:rPr>
      </w:pPr>
    </w:p>
    <w:p w:rsidR="00B83D82" w:rsidRPr="002C75B8" w:rsidRDefault="00B83D82" w:rsidP="00B83D82">
      <w:pPr>
        <w:ind w:left="0" w:firstLine="0"/>
        <w:rPr>
          <w:sz w:val="22"/>
          <w:lang w:val="en-US"/>
        </w:rPr>
      </w:pPr>
      <w:r w:rsidRPr="002C75B8">
        <w:rPr>
          <w:sz w:val="22"/>
          <w:lang w:val="en-US"/>
        </w:rPr>
        <w:t>Two cases of HIV-</w:t>
      </w:r>
      <w:r w:rsidRPr="002C75B8">
        <w:rPr>
          <w:i/>
          <w:iCs/>
          <w:sz w:val="22"/>
          <w:lang w:val="en-US"/>
        </w:rPr>
        <w:t>Leishmania</w:t>
      </w:r>
      <w:r w:rsidRPr="002C75B8">
        <w:rPr>
          <w:sz w:val="22"/>
          <w:lang w:val="en-US"/>
        </w:rPr>
        <w:t xml:space="preserve"> co</w:t>
      </w:r>
      <w:r>
        <w:rPr>
          <w:sz w:val="22"/>
          <w:lang w:val="en-US"/>
        </w:rPr>
        <w:t>-</w:t>
      </w:r>
      <w:r w:rsidRPr="002C75B8">
        <w:rPr>
          <w:sz w:val="22"/>
          <w:lang w:val="en-US"/>
        </w:rPr>
        <w:t xml:space="preserve">infection have been reported. </w:t>
      </w:r>
      <w:r w:rsidRPr="002C75B8">
        <w:rPr>
          <w:sz w:val="22"/>
          <w:lang w:val="en-GB"/>
        </w:rPr>
        <w:t xml:space="preserve"> </w:t>
      </w:r>
    </w:p>
    <w:p w:rsidR="00B83D82" w:rsidRPr="002C75B8" w:rsidRDefault="00B83D82" w:rsidP="00B83D82">
      <w:pPr>
        <w:ind w:left="0" w:firstLine="0"/>
        <w:rPr>
          <w:sz w:val="22"/>
          <w:lang w:val="en-US"/>
        </w:rPr>
      </w:pPr>
    </w:p>
    <w:p w:rsidR="00B83D82" w:rsidRPr="002C75B8" w:rsidRDefault="00B83D82" w:rsidP="00B83D82">
      <w:pPr>
        <w:ind w:left="0" w:firstLine="0"/>
        <w:rPr>
          <w:sz w:val="22"/>
          <w:lang w:val="en-US"/>
        </w:rPr>
      </w:pPr>
    </w:p>
    <w:p w:rsidR="00B83D82" w:rsidRDefault="00B83D82" w:rsidP="00B83D82">
      <w:pPr>
        <w:ind w:left="0" w:firstLine="0"/>
        <w:rPr>
          <w:b/>
          <w:sz w:val="22"/>
          <w:lang w:val="en-GB"/>
        </w:rPr>
      </w:pPr>
      <w:r w:rsidRPr="002C75B8">
        <w:rPr>
          <w:b/>
          <w:sz w:val="22"/>
          <w:lang w:val="en-GB"/>
        </w:rPr>
        <w:t>PARASITOLOGICAL INFORMATION</w:t>
      </w:r>
    </w:p>
    <w:p w:rsidR="00B83D82" w:rsidRPr="002C75B8" w:rsidRDefault="00B83D82" w:rsidP="00B83D82">
      <w:pPr>
        <w:ind w:left="0" w:firstLine="0"/>
        <w:rPr>
          <w:b/>
          <w:sz w:val="22"/>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800"/>
        <w:gridCol w:w="2700"/>
        <w:gridCol w:w="3420"/>
      </w:tblGrid>
      <w:tr w:rsidR="00B83D82" w:rsidRPr="002C75B8" w:rsidTr="00A7768B">
        <w:tc>
          <w:tcPr>
            <w:tcW w:w="1548" w:type="dxa"/>
            <w:vAlign w:val="center"/>
          </w:tcPr>
          <w:p w:rsidR="00B83D82" w:rsidRPr="002C75B8" w:rsidRDefault="00B83D82" w:rsidP="00A7768B">
            <w:pPr>
              <w:ind w:left="0" w:firstLine="0"/>
              <w:rPr>
                <w:sz w:val="22"/>
                <w:lang w:val="en-US"/>
              </w:rPr>
            </w:pPr>
            <w:r w:rsidRPr="002C75B8">
              <w:rPr>
                <w:b/>
                <w:bCs/>
                <w:i/>
                <w:iCs/>
                <w:sz w:val="22"/>
              </w:rPr>
              <w:t xml:space="preserve">Leishmania </w:t>
            </w:r>
            <w:proofErr w:type="spellStart"/>
            <w:r w:rsidRPr="002C75B8">
              <w:rPr>
                <w:b/>
                <w:bCs/>
                <w:sz w:val="22"/>
              </w:rPr>
              <w:t>species</w:t>
            </w:r>
            <w:proofErr w:type="spellEnd"/>
          </w:p>
        </w:tc>
        <w:tc>
          <w:tcPr>
            <w:tcW w:w="1800" w:type="dxa"/>
            <w:vAlign w:val="center"/>
          </w:tcPr>
          <w:p w:rsidR="00B83D82" w:rsidRPr="002C75B8" w:rsidRDefault="00B83D82" w:rsidP="00A7768B">
            <w:pPr>
              <w:ind w:left="0" w:firstLine="0"/>
              <w:rPr>
                <w:b/>
                <w:bCs/>
                <w:sz w:val="22"/>
              </w:rPr>
            </w:pPr>
          </w:p>
          <w:p w:rsidR="00B83D82" w:rsidRPr="002C75B8" w:rsidRDefault="00B83D82" w:rsidP="00A7768B">
            <w:pPr>
              <w:ind w:left="0" w:firstLine="0"/>
              <w:rPr>
                <w:sz w:val="22"/>
                <w:lang w:val="en-US"/>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700" w:type="dxa"/>
            <w:vAlign w:val="center"/>
          </w:tcPr>
          <w:p w:rsidR="00B83D82" w:rsidRPr="002C75B8" w:rsidRDefault="00B83D82" w:rsidP="00A7768B">
            <w:pPr>
              <w:ind w:left="0" w:firstLine="0"/>
              <w:rPr>
                <w:b/>
                <w:bCs/>
                <w:sz w:val="22"/>
              </w:rPr>
            </w:pPr>
          </w:p>
          <w:p w:rsidR="00B83D82" w:rsidRPr="002C75B8" w:rsidRDefault="00B83D82" w:rsidP="00A7768B">
            <w:pPr>
              <w:ind w:left="0" w:firstLine="0"/>
              <w:rPr>
                <w:sz w:val="22"/>
                <w:lang w:val="en-US"/>
              </w:rPr>
            </w:pPr>
            <w:r w:rsidRPr="002C75B8">
              <w:rPr>
                <w:b/>
                <w:bCs/>
                <w:sz w:val="22"/>
              </w:rPr>
              <w:t xml:space="preserve">Vector </w:t>
            </w:r>
            <w:proofErr w:type="spellStart"/>
            <w:r w:rsidRPr="002C75B8">
              <w:rPr>
                <w:b/>
                <w:bCs/>
                <w:sz w:val="22"/>
              </w:rPr>
              <w:t>species</w:t>
            </w:r>
            <w:proofErr w:type="spellEnd"/>
          </w:p>
        </w:tc>
        <w:tc>
          <w:tcPr>
            <w:tcW w:w="3420" w:type="dxa"/>
            <w:vAlign w:val="center"/>
          </w:tcPr>
          <w:p w:rsidR="00B83D82" w:rsidRPr="002C75B8" w:rsidRDefault="00B83D82" w:rsidP="00A7768B">
            <w:pPr>
              <w:ind w:left="0" w:firstLine="0"/>
              <w:rPr>
                <w:b/>
                <w:bCs/>
                <w:sz w:val="22"/>
              </w:rPr>
            </w:pPr>
          </w:p>
          <w:p w:rsidR="00B83D82" w:rsidRPr="002C75B8" w:rsidRDefault="00B83D82" w:rsidP="00A7768B">
            <w:pPr>
              <w:ind w:left="0" w:firstLine="0"/>
              <w:rPr>
                <w:sz w:val="22"/>
                <w:lang w:val="en-US"/>
              </w:rPr>
            </w:pPr>
            <w:proofErr w:type="spellStart"/>
            <w:r w:rsidRPr="002C75B8">
              <w:rPr>
                <w:b/>
                <w:bCs/>
                <w:sz w:val="22"/>
              </w:rPr>
              <w:t>Reservoirs</w:t>
            </w:r>
            <w:proofErr w:type="spellEnd"/>
          </w:p>
        </w:tc>
      </w:tr>
      <w:tr w:rsidR="00B83D82" w:rsidRPr="002C75B8" w:rsidTr="00A7768B">
        <w:tc>
          <w:tcPr>
            <w:tcW w:w="1548" w:type="dxa"/>
            <w:vAlign w:val="center"/>
          </w:tcPr>
          <w:p w:rsidR="00B83D82" w:rsidRPr="002C75B8" w:rsidRDefault="00B83D82" w:rsidP="00A7768B">
            <w:pPr>
              <w:pStyle w:val="NormalWeb"/>
              <w:spacing w:before="0" w:beforeAutospacing="0" w:after="0" w:afterAutospacing="0"/>
              <w:jc w:val="both"/>
              <w:textAlignment w:val="baseline"/>
              <w:rPr>
                <w:rFonts w:ascii="Arial" w:hAnsi="Arial" w:cs="Arial"/>
                <w:sz w:val="22"/>
                <w:szCs w:val="22"/>
              </w:rPr>
            </w:pPr>
            <w:r w:rsidRPr="002C75B8">
              <w:rPr>
                <w:rFonts w:ascii="Arial" w:eastAsia="SimSun" w:hAnsi="Arial" w:cs="Arial"/>
                <w:i/>
                <w:iCs/>
                <w:color w:val="000000"/>
                <w:kern w:val="24"/>
                <w:sz w:val="22"/>
                <w:szCs w:val="22"/>
              </w:rPr>
              <w:t>L. tropica</w:t>
            </w:r>
          </w:p>
        </w:tc>
        <w:tc>
          <w:tcPr>
            <w:tcW w:w="1800" w:type="dxa"/>
            <w:vAlign w:val="center"/>
          </w:tcPr>
          <w:p w:rsidR="00B83D82" w:rsidRPr="002C75B8" w:rsidRDefault="00B83D82" w:rsidP="00A7768B">
            <w:pPr>
              <w:pStyle w:val="NormalWeb"/>
              <w:spacing w:before="0" w:beforeAutospacing="0" w:after="0" w:afterAutospacing="0"/>
              <w:jc w:val="both"/>
              <w:textAlignment w:val="baseline"/>
              <w:rPr>
                <w:rFonts w:ascii="Arial" w:hAnsi="Arial" w:cs="Arial"/>
                <w:sz w:val="22"/>
                <w:szCs w:val="22"/>
              </w:rPr>
            </w:pPr>
            <w:r w:rsidRPr="002C75B8">
              <w:rPr>
                <w:rFonts w:ascii="Arial" w:eastAsia="SimSun" w:hAnsi="Arial" w:cs="Arial"/>
                <w:color w:val="000000"/>
                <w:kern w:val="24"/>
                <w:sz w:val="22"/>
                <w:szCs w:val="22"/>
              </w:rPr>
              <w:t>ZCL</w:t>
            </w:r>
          </w:p>
        </w:tc>
        <w:tc>
          <w:tcPr>
            <w:tcW w:w="2700" w:type="dxa"/>
            <w:vAlign w:val="center"/>
          </w:tcPr>
          <w:p w:rsidR="00B83D82" w:rsidRPr="002C75B8" w:rsidRDefault="00B83D82" w:rsidP="00A7768B">
            <w:pPr>
              <w:pStyle w:val="NormalWeb"/>
              <w:spacing w:before="0" w:beforeAutospacing="0" w:after="0" w:afterAutospacing="0"/>
              <w:textAlignment w:val="baseline"/>
              <w:rPr>
                <w:rFonts w:ascii="Arial" w:hAnsi="Arial" w:cs="Arial"/>
                <w:sz w:val="22"/>
                <w:szCs w:val="22"/>
              </w:rPr>
            </w:pPr>
            <w:r w:rsidRPr="002C75B8">
              <w:rPr>
                <w:rFonts w:ascii="Arial" w:eastAsia="SimSun" w:hAnsi="Arial" w:cs="Arial"/>
                <w:i/>
                <w:iCs/>
                <w:color w:val="000000"/>
                <w:kern w:val="24"/>
                <w:sz w:val="22"/>
                <w:szCs w:val="22"/>
              </w:rPr>
              <w:t xml:space="preserve">P. </w:t>
            </w:r>
            <w:proofErr w:type="spellStart"/>
            <w:r w:rsidRPr="002C75B8">
              <w:rPr>
                <w:rFonts w:ascii="Arial" w:eastAsia="SimSun" w:hAnsi="Arial" w:cs="Arial"/>
                <w:i/>
                <w:iCs/>
                <w:color w:val="000000"/>
                <w:kern w:val="24"/>
                <w:sz w:val="22"/>
                <w:szCs w:val="22"/>
              </w:rPr>
              <w:t>guggisbergi</w:t>
            </w:r>
            <w:proofErr w:type="spellEnd"/>
          </w:p>
        </w:tc>
        <w:tc>
          <w:tcPr>
            <w:tcW w:w="3420" w:type="dxa"/>
            <w:vAlign w:val="center"/>
          </w:tcPr>
          <w:p w:rsidR="00B83D82" w:rsidRPr="002C75B8" w:rsidRDefault="00B83D82" w:rsidP="00A7768B">
            <w:pPr>
              <w:pStyle w:val="NormalWeb"/>
              <w:spacing w:before="0" w:beforeAutospacing="0" w:after="0" w:afterAutospacing="0"/>
              <w:textAlignment w:val="baseline"/>
              <w:rPr>
                <w:rFonts w:ascii="Arial" w:hAnsi="Arial" w:cs="Arial"/>
                <w:sz w:val="22"/>
                <w:szCs w:val="22"/>
              </w:rPr>
            </w:pPr>
            <w:proofErr w:type="spellStart"/>
            <w:r w:rsidRPr="002C75B8">
              <w:rPr>
                <w:rFonts w:ascii="Arial" w:eastAsia="SimSun" w:hAnsi="Arial" w:cs="Arial"/>
                <w:i/>
                <w:iCs/>
                <w:color w:val="000000"/>
                <w:kern w:val="24"/>
                <w:sz w:val="22"/>
                <w:szCs w:val="22"/>
              </w:rPr>
              <w:t>Pr</w:t>
            </w:r>
            <w:r>
              <w:rPr>
                <w:rFonts w:ascii="Arial" w:eastAsia="SimSun" w:hAnsi="Arial" w:cs="Arial"/>
                <w:i/>
                <w:iCs/>
                <w:color w:val="000000"/>
                <w:kern w:val="24"/>
                <w:sz w:val="22"/>
                <w:szCs w:val="22"/>
              </w:rPr>
              <w:t>ocavia</w:t>
            </w:r>
            <w:proofErr w:type="spellEnd"/>
            <w:r w:rsidRPr="002C75B8">
              <w:rPr>
                <w:rFonts w:ascii="Arial" w:eastAsia="SimSun" w:hAnsi="Arial" w:cs="Arial"/>
                <w:i/>
                <w:iCs/>
                <w:color w:val="000000"/>
                <w:kern w:val="24"/>
                <w:sz w:val="22"/>
                <w:szCs w:val="22"/>
              </w:rPr>
              <w:t xml:space="preserve"> </w:t>
            </w:r>
            <w:proofErr w:type="spellStart"/>
            <w:r w:rsidRPr="002C75B8">
              <w:rPr>
                <w:rFonts w:ascii="Arial" w:eastAsia="SimSun" w:hAnsi="Arial" w:cs="Arial"/>
                <w:i/>
                <w:iCs/>
                <w:color w:val="000000"/>
                <w:kern w:val="24"/>
                <w:sz w:val="22"/>
                <w:szCs w:val="22"/>
              </w:rPr>
              <w:t>capensis</w:t>
            </w:r>
            <w:proofErr w:type="spellEnd"/>
          </w:p>
        </w:tc>
      </w:tr>
      <w:tr w:rsidR="00B83D82" w:rsidRPr="005C5FE1" w:rsidTr="00A7768B">
        <w:tc>
          <w:tcPr>
            <w:tcW w:w="1548" w:type="dxa"/>
            <w:vAlign w:val="center"/>
          </w:tcPr>
          <w:p w:rsidR="00B83D82" w:rsidRPr="002C75B8" w:rsidRDefault="00B83D82" w:rsidP="00A7768B">
            <w:pPr>
              <w:pStyle w:val="NormalWeb"/>
              <w:spacing w:before="0" w:beforeAutospacing="0" w:after="0" w:afterAutospacing="0"/>
              <w:jc w:val="both"/>
              <w:textAlignment w:val="baseline"/>
              <w:rPr>
                <w:rFonts w:ascii="Arial" w:hAnsi="Arial" w:cs="Arial"/>
                <w:sz w:val="22"/>
                <w:szCs w:val="22"/>
              </w:rPr>
            </w:pPr>
            <w:r w:rsidRPr="002C75B8">
              <w:rPr>
                <w:rFonts w:ascii="Arial" w:eastAsia="SimSun" w:hAnsi="Arial" w:cs="Arial"/>
                <w:i/>
                <w:iCs/>
                <w:color w:val="000000"/>
                <w:kern w:val="24"/>
                <w:sz w:val="22"/>
                <w:szCs w:val="22"/>
              </w:rPr>
              <w:t>L. aethiopica</w:t>
            </w:r>
          </w:p>
        </w:tc>
        <w:tc>
          <w:tcPr>
            <w:tcW w:w="1800" w:type="dxa"/>
            <w:vAlign w:val="center"/>
          </w:tcPr>
          <w:p w:rsidR="00B83D82" w:rsidRPr="002C75B8" w:rsidRDefault="00B83D82" w:rsidP="00A7768B">
            <w:pPr>
              <w:pStyle w:val="NormalWeb"/>
              <w:spacing w:before="0" w:beforeAutospacing="0" w:after="0" w:afterAutospacing="0"/>
              <w:jc w:val="both"/>
              <w:textAlignment w:val="baseline"/>
              <w:rPr>
                <w:rFonts w:ascii="Arial" w:hAnsi="Arial" w:cs="Arial"/>
                <w:sz w:val="22"/>
                <w:szCs w:val="22"/>
              </w:rPr>
            </w:pPr>
            <w:r w:rsidRPr="002C75B8">
              <w:rPr>
                <w:rFonts w:ascii="Arial" w:eastAsia="SimSun" w:hAnsi="Arial" w:cs="Arial"/>
                <w:color w:val="000000"/>
                <w:kern w:val="24"/>
                <w:sz w:val="22"/>
                <w:szCs w:val="22"/>
              </w:rPr>
              <w:t>ZCL, DCL</w:t>
            </w:r>
          </w:p>
        </w:tc>
        <w:tc>
          <w:tcPr>
            <w:tcW w:w="2700" w:type="dxa"/>
            <w:vAlign w:val="center"/>
          </w:tcPr>
          <w:p w:rsidR="00B83D82" w:rsidRPr="002C75B8" w:rsidRDefault="00B83D82" w:rsidP="00A7768B">
            <w:pPr>
              <w:pStyle w:val="NormalWeb"/>
              <w:spacing w:before="0" w:beforeAutospacing="0" w:after="0" w:afterAutospacing="0"/>
              <w:textAlignment w:val="baseline"/>
              <w:rPr>
                <w:rFonts w:ascii="Arial" w:hAnsi="Arial" w:cs="Arial"/>
                <w:sz w:val="22"/>
                <w:szCs w:val="22"/>
              </w:rPr>
            </w:pPr>
            <w:r>
              <w:rPr>
                <w:rFonts w:ascii="Arial" w:eastAsia="SimSun" w:hAnsi="Arial" w:cs="Arial"/>
                <w:i/>
                <w:iCs/>
                <w:color w:val="000000"/>
                <w:kern w:val="24"/>
                <w:sz w:val="22"/>
                <w:szCs w:val="22"/>
                <w:lang w:val="pt-BR"/>
              </w:rPr>
              <w:t>P. pedifer</w:t>
            </w:r>
            <w:r w:rsidRPr="002C75B8">
              <w:rPr>
                <w:rFonts w:ascii="Arial" w:eastAsia="SimSun" w:hAnsi="Arial" w:cs="Arial"/>
                <w:i/>
                <w:iCs/>
                <w:color w:val="000000"/>
                <w:kern w:val="24"/>
                <w:sz w:val="22"/>
                <w:szCs w:val="22"/>
                <w:lang w:val="pt-BR"/>
              </w:rPr>
              <w:t>, P. aculeatus</w:t>
            </w:r>
          </w:p>
        </w:tc>
        <w:tc>
          <w:tcPr>
            <w:tcW w:w="3420" w:type="dxa"/>
            <w:vAlign w:val="center"/>
          </w:tcPr>
          <w:p w:rsidR="00B83D82" w:rsidRPr="005C5FE1" w:rsidRDefault="00B83D82" w:rsidP="00A7768B">
            <w:pPr>
              <w:pStyle w:val="NormalWeb"/>
              <w:spacing w:before="0" w:beforeAutospacing="0" w:after="0" w:afterAutospacing="0"/>
              <w:textAlignment w:val="baseline"/>
              <w:rPr>
                <w:rFonts w:ascii="Arial" w:hAnsi="Arial" w:cs="Arial"/>
                <w:sz w:val="22"/>
                <w:szCs w:val="22"/>
                <w:lang w:val="pt-BR"/>
              </w:rPr>
            </w:pPr>
            <w:r w:rsidRPr="005C5FE1">
              <w:rPr>
                <w:rFonts w:ascii="Arial" w:eastAsia="SimSun" w:hAnsi="Arial" w:cs="Arial"/>
                <w:i/>
                <w:iCs/>
                <w:color w:val="000000"/>
                <w:kern w:val="24"/>
                <w:sz w:val="22"/>
                <w:szCs w:val="22"/>
                <w:lang w:val="pt-BR"/>
              </w:rPr>
              <w:t>Procavia capensis, Dendohyrax arboreous, Cricetomys sp.</w:t>
            </w:r>
          </w:p>
        </w:tc>
      </w:tr>
      <w:tr w:rsidR="00B83D82" w:rsidRPr="002C75B8" w:rsidTr="00A7768B">
        <w:tc>
          <w:tcPr>
            <w:tcW w:w="1548" w:type="dxa"/>
            <w:vAlign w:val="center"/>
          </w:tcPr>
          <w:p w:rsidR="00B83D82" w:rsidRPr="002C75B8" w:rsidRDefault="00B83D82" w:rsidP="00A7768B">
            <w:pPr>
              <w:pStyle w:val="NormalWeb"/>
              <w:spacing w:before="0" w:beforeAutospacing="0" w:after="0" w:afterAutospacing="0"/>
              <w:jc w:val="both"/>
              <w:textAlignment w:val="baseline"/>
              <w:rPr>
                <w:rFonts w:ascii="Arial" w:hAnsi="Arial" w:cs="Arial"/>
                <w:sz w:val="22"/>
                <w:szCs w:val="22"/>
              </w:rPr>
            </w:pPr>
            <w:r w:rsidRPr="002C75B8">
              <w:rPr>
                <w:rFonts w:ascii="Arial" w:eastAsia="SimSun" w:hAnsi="Arial" w:cs="Arial"/>
                <w:i/>
                <w:iCs/>
                <w:color w:val="000000"/>
                <w:kern w:val="24"/>
                <w:sz w:val="22"/>
                <w:szCs w:val="22"/>
                <w:lang w:val="pt-BR"/>
              </w:rPr>
              <w:t>L. major</w:t>
            </w:r>
          </w:p>
        </w:tc>
        <w:tc>
          <w:tcPr>
            <w:tcW w:w="1800" w:type="dxa"/>
            <w:vAlign w:val="center"/>
          </w:tcPr>
          <w:p w:rsidR="00B83D82" w:rsidRPr="002C75B8" w:rsidRDefault="00B83D82" w:rsidP="00A7768B">
            <w:pPr>
              <w:pStyle w:val="NormalWeb"/>
              <w:spacing w:before="0" w:beforeAutospacing="0" w:after="0" w:afterAutospacing="0"/>
              <w:jc w:val="both"/>
              <w:textAlignment w:val="baseline"/>
              <w:rPr>
                <w:rFonts w:ascii="Arial" w:hAnsi="Arial" w:cs="Arial"/>
                <w:sz w:val="22"/>
                <w:szCs w:val="22"/>
              </w:rPr>
            </w:pPr>
            <w:r w:rsidRPr="002C75B8">
              <w:rPr>
                <w:rFonts w:ascii="Arial" w:eastAsia="SimSun" w:hAnsi="Arial" w:cs="Arial"/>
                <w:color w:val="000000"/>
                <w:kern w:val="24"/>
                <w:sz w:val="22"/>
                <w:szCs w:val="22"/>
                <w:lang w:val="pt-BR"/>
              </w:rPr>
              <w:t>ZCL</w:t>
            </w:r>
          </w:p>
        </w:tc>
        <w:tc>
          <w:tcPr>
            <w:tcW w:w="2700" w:type="dxa"/>
            <w:vAlign w:val="center"/>
          </w:tcPr>
          <w:p w:rsidR="00B83D82" w:rsidRPr="002C75B8" w:rsidRDefault="00B83D82" w:rsidP="00A7768B">
            <w:pPr>
              <w:pStyle w:val="NormalWeb"/>
              <w:spacing w:before="0" w:beforeAutospacing="0" w:after="0" w:afterAutospacing="0"/>
              <w:textAlignment w:val="baseline"/>
              <w:rPr>
                <w:rFonts w:ascii="Arial" w:hAnsi="Arial" w:cs="Arial"/>
                <w:sz w:val="22"/>
                <w:szCs w:val="22"/>
              </w:rPr>
            </w:pPr>
            <w:r w:rsidRPr="002C75B8">
              <w:rPr>
                <w:rFonts w:ascii="Arial" w:eastAsia="SimSun" w:hAnsi="Arial" w:cs="Arial"/>
                <w:i/>
                <w:iCs/>
                <w:color w:val="000000"/>
                <w:kern w:val="24"/>
                <w:sz w:val="22"/>
                <w:szCs w:val="22"/>
                <w:lang w:val="pt-BR"/>
              </w:rPr>
              <w:t>P. duboscqi</w:t>
            </w:r>
          </w:p>
        </w:tc>
        <w:tc>
          <w:tcPr>
            <w:tcW w:w="3420" w:type="dxa"/>
            <w:vAlign w:val="center"/>
          </w:tcPr>
          <w:p w:rsidR="00B83D82" w:rsidRPr="002C75B8" w:rsidRDefault="00B83D82" w:rsidP="00A7768B">
            <w:pPr>
              <w:pStyle w:val="NormalWeb"/>
              <w:spacing w:before="0" w:beforeAutospacing="0" w:after="0" w:afterAutospacing="0"/>
              <w:textAlignment w:val="baseline"/>
              <w:rPr>
                <w:rFonts w:ascii="Arial" w:hAnsi="Arial" w:cs="Arial"/>
                <w:sz w:val="22"/>
                <w:szCs w:val="22"/>
              </w:rPr>
            </w:pPr>
            <w:proofErr w:type="spellStart"/>
            <w:r w:rsidRPr="002C75B8">
              <w:rPr>
                <w:rFonts w:ascii="Arial" w:eastAsia="SimSun" w:hAnsi="Arial" w:cs="Arial"/>
                <w:i/>
                <w:iCs/>
                <w:color w:val="000000"/>
                <w:kern w:val="24"/>
                <w:sz w:val="22"/>
                <w:szCs w:val="22"/>
              </w:rPr>
              <w:t>Tatera</w:t>
            </w:r>
            <w:proofErr w:type="spellEnd"/>
            <w:r w:rsidRPr="002C75B8">
              <w:rPr>
                <w:rFonts w:ascii="Arial" w:eastAsia="SimSun" w:hAnsi="Arial" w:cs="Arial"/>
                <w:i/>
                <w:iCs/>
                <w:color w:val="000000"/>
                <w:kern w:val="24"/>
                <w:sz w:val="22"/>
                <w:szCs w:val="22"/>
              </w:rPr>
              <w:t xml:space="preserve"> sp. </w:t>
            </w:r>
            <w:proofErr w:type="spellStart"/>
            <w:r w:rsidRPr="002C75B8">
              <w:rPr>
                <w:rFonts w:ascii="Arial" w:eastAsia="SimSun" w:hAnsi="Arial" w:cs="Arial"/>
                <w:i/>
                <w:iCs/>
                <w:color w:val="000000"/>
                <w:kern w:val="24"/>
                <w:sz w:val="22"/>
                <w:szCs w:val="22"/>
              </w:rPr>
              <w:t>Aethomys</w:t>
            </w:r>
            <w:proofErr w:type="spellEnd"/>
            <w:r w:rsidRPr="002C75B8">
              <w:rPr>
                <w:rFonts w:ascii="Arial" w:eastAsia="SimSun" w:hAnsi="Arial" w:cs="Arial"/>
                <w:i/>
                <w:iCs/>
                <w:color w:val="000000"/>
                <w:kern w:val="24"/>
                <w:sz w:val="22"/>
                <w:szCs w:val="22"/>
              </w:rPr>
              <w:t xml:space="preserve"> sp., </w:t>
            </w:r>
            <w:proofErr w:type="spellStart"/>
            <w:r w:rsidRPr="002C75B8">
              <w:rPr>
                <w:rFonts w:ascii="Arial" w:eastAsia="SimSun" w:hAnsi="Arial" w:cs="Arial"/>
                <w:i/>
                <w:iCs/>
                <w:color w:val="000000"/>
                <w:kern w:val="24"/>
                <w:sz w:val="22"/>
                <w:szCs w:val="22"/>
              </w:rPr>
              <w:t>Arvicanthis</w:t>
            </w:r>
            <w:proofErr w:type="spellEnd"/>
            <w:r w:rsidRPr="002C75B8">
              <w:rPr>
                <w:rFonts w:ascii="Arial" w:eastAsia="SimSun" w:hAnsi="Arial" w:cs="Arial"/>
                <w:i/>
                <w:iCs/>
                <w:color w:val="000000"/>
                <w:kern w:val="24"/>
                <w:sz w:val="22"/>
                <w:szCs w:val="22"/>
              </w:rPr>
              <w:t xml:space="preserve"> sp., </w:t>
            </w:r>
            <w:proofErr w:type="spellStart"/>
            <w:r w:rsidRPr="002C75B8">
              <w:rPr>
                <w:rFonts w:ascii="Arial" w:eastAsia="SimSun" w:hAnsi="Arial" w:cs="Arial"/>
                <w:i/>
                <w:iCs/>
                <w:color w:val="000000"/>
                <w:kern w:val="24"/>
                <w:sz w:val="22"/>
                <w:szCs w:val="22"/>
              </w:rPr>
              <w:t>Meriones</w:t>
            </w:r>
            <w:proofErr w:type="spellEnd"/>
            <w:r w:rsidRPr="002C75B8">
              <w:rPr>
                <w:rFonts w:ascii="Arial" w:eastAsia="SimSun" w:hAnsi="Arial" w:cs="Arial"/>
                <w:i/>
                <w:iCs/>
                <w:color w:val="000000"/>
                <w:kern w:val="24"/>
                <w:sz w:val="22"/>
                <w:szCs w:val="22"/>
              </w:rPr>
              <w:t xml:space="preserve"> sp.</w:t>
            </w:r>
          </w:p>
        </w:tc>
      </w:tr>
      <w:tr w:rsidR="00B83D82" w:rsidRPr="002C75B8" w:rsidTr="00A7768B">
        <w:tc>
          <w:tcPr>
            <w:tcW w:w="1548" w:type="dxa"/>
            <w:vAlign w:val="center"/>
          </w:tcPr>
          <w:p w:rsidR="00B83D82" w:rsidRPr="002C75B8" w:rsidRDefault="00B83D82" w:rsidP="00A7768B">
            <w:pPr>
              <w:pStyle w:val="NormalWeb"/>
              <w:spacing w:before="0" w:beforeAutospacing="0" w:after="0" w:afterAutospacing="0"/>
              <w:jc w:val="both"/>
              <w:textAlignment w:val="baseline"/>
              <w:rPr>
                <w:rFonts w:ascii="Arial" w:hAnsi="Arial" w:cs="Arial"/>
                <w:sz w:val="22"/>
                <w:szCs w:val="22"/>
              </w:rPr>
            </w:pPr>
            <w:r w:rsidRPr="002C75B8">
              <w:rPr>
                <w:rFonts w:ascii="Arial" w:eastAsia="SimSun" w:hAnsi="Arial" w:cs="Arial"/>
                <w:i/>
                <w:iCs/>
                <w:color w:val="000000"/>
                <w:kern w:val="24"/>
                <w:sz w:val="22"/>
                <w:szCs w:val="22"/>
              </w:rPr>
              <w:t>L. donovani</w:t>
            </w:r>
          </w:p>
        </w:tc>
        <w:tc>
          <w:tcPr>
            <w:tcW w:w="1800" w:type="dxa"/>
            <w:vAlign w:val="center"/>
          </w:tcPr>
          <w:p w:rsidR="00B83D82" w:rsidRPr="002C75B8" w:rsidRDefault="00B83D82" w:rsidP="00A7768B">
            <w:pPr>
              <w:pStyle w:val="NormalWeb"/>
              <w:spacing w:before="0" w:beforeAutospacing="0" w:after="0" w:afterAutospacing="0"/>
              <w:jc w:val="both"/>
              <w:textAlignment w:val="baseline"/>
              <w:rPr>
                <w:rFonts w:ascii="Arial" w:hAnsi="Arial" w:cs="Arial"/>
                <w:sz w:val="22"/>
                <w:szCs w:val="22"/>
              </w:rPr>
            </w:pPr>
            <w:r w:rsidRPr="002C75B8">
              <w:rPr>
                <w:rFonts w:ascii="Arial" w:eastAsia="SimSun" w:hAnsi="Arial" w:cs="Arial"/>
                <w:color w:val="000000"/>
                <w:kern w:val="24"/>
                <w:sz w:val="22"/>
                <w:szCs w:val="22"/>
              </w:rPr>
              <w:t>VL, PKDL</w:t>
            </w:r>
          </w:p>
        </w:tc>
        <w:tc>
          <w:tcPr>
            <w:tcW w:w="2700" w:type="dxa"/>
            <w:vAlign w:val="center"/>
          </w:tcPr>
          <w:p w:rsidR="00B83D82" w:rsidRDefault="00B83D82" w:rsidP="00A7768B">
            <w:pPr>
              <w:pStyle w:val="NormalWeb"/>
              <w:spacing w:before="0" w:beforeAutospacing="0" w:after="0" w:afterAutospacing="0"/>
              <w:textAlignment w:val="baseline"/>
              <w:rPr>
                <w:rFonts w:ascii="Arial" w:eastAsia="SimSun" w:hAnsi="Arial" w:cs="Arial"/>
                <w:i/>
                <w:iCs/>
                <w:color w:val="000000"/>
                <w:kern w:val="24"/>
                <w:sz w:val="22"/>
                <w:szCs w:val="22"/>
                <w:lang w:val="it-IT"/>
              </w:rPr>
            </w:pPr>
            <w:r w:rsidRPr="002C75B8">
              <w:rPr>
                <w:rFonts w:ascii="Arial" w:eastAsia="SimSun" w:hAnsi="Arial" w:cs="Arial"/>
                <w:i/>
                <w:iCs/>
                <w:color w:val="000000"/>
                <w:kern w:val="24"/>
                <w:sz w:val="22"/>
                <w:szCs w:val="22"/>
                <w:lang w:val="it-IT"/>
              </w:rPr>
              <w:t xml:space="preserve">P. martini, P. celiae, </w:t>
            </w:r>
          </w:p>
          <w:p w:rsidR="00B83D82" w:rsidRPr="002C75B8" w:rsidRDefault="00B83D82" w:rsidP="00A7768B">
            <w:pPr>
              <w:pStyle w:val="NormalWeb"/>
              <w:spacing w:before="0" w:beforeAutospacing="0" w:after="0" w:afterAutospacing="0"/>
              <w:textAlignment w:val="baseline"/>
              <w:rPr>
                <w:rFonts w:ascii="Arial" w:hAnsi="Arial" w:cs="Arial"/>
                <w:sz w:val="22"/>
                <w:szCs w:val="22"/>
                <w:lang w:val="it-IT"/>
              </w:rPr>
            </w:pPr>
            <w:r w:rsidRPr="002C75B8">
              <w:rPr>
                <w:rFonts w:ascii="Arial" w:eastAsia="SimSun" w:hAnsi="Arial" w:cs="Arial"/>
                <w:i/>
                <w:iCs/>
                <w:color w:val="000000"/>
                <w:kern w:val="24"/>
                <w:sz w:val="22"/>
                <w:szCs w:val="22"/>
                <w:lang w:val="it-IT"/>
              </w:rPr>
              <w:t>P. vansomerenae</w:t>
            </w:r>
          </w:p>
        </w:tc>
        <w:tc>
          <w:tcPr>
            <w:tcW w:w="3420" w:type="dxa"/>
            <w:vAlign w:val="center"/>
          </w:tcPr>
          <w:p w:rsidR="00B83D82" w:rsidRPr="002C75B8" w:rsidRDefault="00B83D82" w:rsidP="00A7768B">
            <w:pPr>
              <w:ind w:left="0" w:firstLine="0"/>
              <w:jc w:val="left"/>
              <w:rPr>
                <w:sz w:val="22"/>
                <w:lang w:val="it-IT"/>
              </w:rPr>
            </w:pPr>
          </w:p>
        </w:tc>
      </w:tr>
    </w:tbl>
    <w:p w:rsidR="00B83D82" w:rsidRPr="002C75B8" w:rsidRDefault="00B83D82" w:rsidP="00B83D82">
      <w:pPr>
        <w:ind w:left="0" w:firstLine="0"/>
        <w:rPr>
          <w:b/>
          <w:sz w:val="22"/>
          <w:lang w:val="it-IT"/>
        </w:rPr>
      </w:pPr>
    </w:p>
    <w:p w:rsidR="00B83D82" w:rsidRPr="002C75B8" w:rsidRDefault="00B83D82" w:rsidP="00B83D82">
      <w:pPr>
        <w:ind w:left="0" w:firstLine="0"/>
        <w:rPr>
          <w:b/>
          <w:sz w:val="22"/>
          <w:lang w:val="it-IT"/>
        </w:rPr>
      </w:pPr>
    </w:p>
    <w:p w:rsidR="00B83D82" w:rsidRPr="002C75B8" w:rsidRDefault="00B83D82" w:rsidP="00B83D82">
      <w:pPr>
        <w:ind w:left="0" w:firstLine="0"/>
        <w:rPr>
          <w:b/>
          <w:sz w:val="22"/>
          <w:lang w:val="it-IT"/>
        </w:rPr>
      </w:pPr>
    </w:p>
    <w:p w:rsidR="00B83D82" w:rsidRPr="002C75B8" w:rsidRDefault="00B83D82" w:rsidP="00B83D82">
      <w:pPr>
        <w:ind w:left="0" w:firstLine="0"/>
        <w:rPr>
          <w:b/>
          <w:sz w:val="22"/>
          <w:lang w:val="en-US"/>
        </w:rPr>
      </w:pPr>
      <w:r w:rsidRPr="002C75B8">
        <w:rPr>
          <w:b/>
          <w:sz w:val="22"/>
          <w:lang w:val="en-US"/>
        </w:rPr>
        <w:t>MAPS AND TRENDS</w:t>
      </w:r>
    </w:p>
    <w:p w:rsidR="00B83D82" w:rsidRDefault="00B83D82" w:rsidP="00B83D82">
      <w:pPr>
        <w:rPr>
          <w:b/>
          <w:lang w:val="en-US"/>
        </w:rPr>
      </w:pPr>
    </w:p>
    <w:p w:rsidR="00B83D82" w:rsidRPr="00455E57" w:rsidRDefault="00B83D82" w:rsidP="00B83D82">
      <w:pPr>
        <w:rPr>
          <w:b/>
          <w:sz w:val="22"/>
          <w:lang w:val="en-US"/>
        </w:rPr>
      </w:pPr>
      <w:r w:rsidRPr="00455E57">
        <w:rPr>
          <w:b/>
          <w:sz w:val="22"/>
          <w:lang w:val="en-US"/>
        </w:rPr>
        <w:t>Visceral leishmaniasis</w:t>
      </w:r>
    </w:p>
    <w:p w:rsidR="00B83D82" w:rsidRDefault="00B83D82" w:rsidP="00B83D82">
      <w:pPr>
        <w:rPr>
          <w:b/>
          <w:lang w:val="en-US"/>
        </w:rPr>
      </w:pPr>
    </w:p>
    <w:p w:rsidR="00B83D82" w:rsidRPr="000A4775" w:rsidRDefault="00B83D82" w:rsidP="00B83D82">
      <w:pPr>
        <w:rPr>
          <w:b/>
          <w:lang w:val="en-US"/>
        </w:rPr>
      </w:pPr>
      <w:r>
        <w:rPr>
          <w:b/>
          <w:noProof/>
          <w:lang w:val="en-US"/>
        </w:rPr>
        <w:drawing>
          <wp:anchor distT="0" distB="0" distL="114300" distR="114300" simplePos="0" relativeHeight="251662336" behindDoc="0" locked="0" layoutInCell="1" allowOverlap="1">
            <wp:simplePos x="0" y="0"/>
            <wp:positionH relativeFrom="column">
              <wp:posOffset>2857500</wp:posOffset>
            </wp:positionH>
            <wp:positionV relativeFrom="paragraph">
              <wp:posOffset>35560</wp:posOffset>
            </wp:positionV>
            <wp:extent cx="3314700" cy="2341880"/>
            <wp:effectExtent l="19050" t="0" r="0" b="0"/>
            <wp:wrapNone/>
            <wp:docPr id="6" name="Picture 6" descr="KEV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VLIRmod"/>
                    <pic:cNvPicPr>
                      <a:picLocks noChangeAspect="1" noChangeArrowheads="1"/>
                    </pic:cNvPicPr>
                  </pic:nvPicPr>
                  <pic:blipFill>
                    <a:blip r:embed="rId6" cstate="print"/>
                    <a:srcRect/>
                    <a:stretch>
                      <a:fillRect/>
                    </a:stretch>
                  </pic:blipFill>
                  <pic:spPr bwMode="auto">
                    <a:xfrm>
                      <a:off x="0" y="0"/>
                      <a:ext cx="3314700" cy="2341880"/>
                    </a:xfrm>
                    <a:prstGeom prst="rect">
                      <a:avLst/>
                    </a:prstGeom>
                    <a:noFill/>
                  </pic:spPr>
                </pic:pic>
              </a:graphicData>
            </a:graphic>
          </wp:anchor>
        </w:drawing>
      </w:r>
      <w:r>
        <w:rPr>
          <w:b/>
          <w:noProof/>
          <w:lang w:val="en-US"/>
        </w:rPr>
        <w:drawing>
          <wp:anchor distT="0" distB="0" distL="114300" distR="114300" simplePos="0" relativeHeight="251661312" behindDoc="0" locked="0" layoutInCell="1" allowOverlap="1">
            <wp:simplePos x="0" y="0"/>
            <wp:positionH relativeFrom="column">
              <wp:posOffset>-457200</wp:posOffset>
            </wp:positionH>
            <wp:positionV relativeFrom="paragraph">
              <wp:posOffset>35560</wp:posOffset>
            </wp:positionV>
            <wp:extent cx="3266440" cy="2308860"/>
            <wp:effectExtent l="19050" t="0" r="0" b="0"/>
            <wp:wrapNone/>
            <wp:docPr id="5" name="Picture 5" descr="KEV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VLmod2"/>
                    <pic:cNvPicPr>
                      <a:picLocks noChangeAspect="1" noChangeArrowheads="1"/>
                    </pic:cNvPicPr>
                  </pic:nvPicPr>
                  <pic:blipFill>
                    <a:blip r:embed="rId7" cstate="print"/>
                    <a:srcRect/>
                    <a:stretch>
                      <a:fillRect/>
                    </a:stretch>
                  </pic:blipFill>
                  <pic:spPr bwMode="auto">
                    <a:xfrm>
                      <a:off x="0" y="0"/>
                      <a:ext cx="3266440" cy="2308860"/>
                    </a:xfrm>
                    <a:prstGeom prst="rect">
                      <a:avLst/>
                    </a:prstGeom>
                    <a:noFill/>
                  </pic:spPr>
                </pic:pic>
              </a:graphicData>
            </a:graphic>
          </wp:anchor>
        </w:drawing>
      </w:r>
    </w:p>
    <w:p w:rsidR="00B83D82" w:rsidRDefault="00B83D82" w:rsidP="00B83D82">
      <w:pPr>
        <w:rPr>
          <w:b/>
          <w:lang w:val="en-US"/>
        </w:rPr>
      </w:pPr>
      <w:r>
        <w:rPr>
          <w:b/>
          <w:lang w:val="en-US"/>
        </w:rPr>
        <w:t xml:space="preserve">     </w:t>
      </w:r>
    </w:p>
    <w:p w:rsidR="00B83D82" w:rsidRDefault="00B83D82" w:rsidP="00B83D82">
      <w:pPr>
        <w:rPr>
          <w:b/>
          <w:lang w:val="en-US"/>
        </w:rPr>
      </w:pPr>
    </w:p>
    <w:p w:rsidR="00B83D82" w:rsidRDefault="00B83D82" w:rsidP="00B83D82">
      <w:pPr>
        <w:rPr>
          <w:b/>
          <w:lang w:val="en-US"/>
        </w:rPr>
      </w:pPr>
    </w:p>
    <w:p w:rsidR="00B83D82" w:rsidRDefault="00B83D82" w:rsidP="00B83D82">
      <w:pPr>
        <w:rPr>
          <w:b/>
          <w:lang w:val="en-US"/>
        </w:rPr>
      </w:pPr>
    </w:p>
    <w:p w:rsidR="00B83D82" w:rsidRDefault="00B83D82" w:rsidP="00B83D82">
      <w:pPr>
        <w:rPr>
          <w:b/>
          <w:lang w:val="en-US"/>
        </w:rPr>
      </w:pPr>
    </w:p>
    <w:p w:rsidR="00B83D82" w:rsidRDefault="00B83D82" w:rsidP="00B83D82">
      <w:pPr>
        <w:rPr>
          <w:b/>
          <w:lang w:val="en-US"/>
        </w:rPr>
      </w:pPr>
    </w:p>
    <w:p w:rsidR="00B83D82" w:rsidRDefault="00B83D82" w:rsidP="00B83D82">
      <w:pPr>
        <w:rPr>
          <w:b/>
          <w:lang w:val="en-US"/>
        </w:rPr>
      </w:pPr>
    </w:p>
    <w:p w:rsidR="00B83D82" w:rsidRDefault="00B83D82" w:rsidP="00B83D82">
      <w:pPr>
        <w:rPr>
          <w:b/>
          <w:lang w:val="en-US"/>
        </w:rPr>
      </w:pPr>
    </w:p>
    <w:p w:rsidR="00B83D82" w:rsidRDefault="00B83D82" w:rsidP="00B83D82">
      <w:pPr>
        <w:rPr>
          <w:b/>
          <w:lang w:val="en-US"/>
        </w:rPr>
      </w:pPr>
    </w:p>
    <w:p w:rsidR="00B83D82" w:rsidRDefault="00B83D82" w:rsidP="00B83D82">
      <w:pPr>
        <w:rPr>
          <w:b/>
          <w:lang w:val="en-US"/>
        </w:rPr>
      </w:pPr>
    </w:p>
    <w:p w:rsidR="00B83D82" w:rsidRDefault="00B83D82" w:rsidP="00B83D82">
      <w:pPr>
        <w:rPr>
          <w:b/>
          <w:lang w:val="en-US"/>
        </w:rPr>
      </w:pPr>
    </w:p>
    <w:p w:rsidR="00B83D82" w:rsidRDefault="00B83D82" w:rsidP="00B83D82">
      <w:pPr>
        <w:rPr>
          <w:b/>
          <w:lang w:val="en-US"/>
        </w:rPr>
      </w:pPr>
    </w:p>
    <w:p w:rsidR="00B83D82" w:rsidRDefault="00B83D82" w:rsidP="00B83D82">
      <w:pPr>
        <w:rPr>
          <w:b/>
          <w:lang w:val="en-US"/>
        </w:rPr>
      </w:pPr>
    </w:p>
    <w:p w:rsidR="00B83D82" w:rsidRDefault="00B83D82" w:rsidP="00B83D82">
      <w:pPr>
        <w:rPr>
          <w:b/>
          <w:lang w:val="en-US"/>
        </w:rPr>
      </w:pPr>
    </w:p>
    <w:p w:rsidR="00B83D82" w:rsidRDefault="00B83D82" w:rsidP="00B83D82">
      <w:pPr>
        <w:rPr>
          <w:b/>
          <w:lang w:val="en-US"/>
        </w:rPr>
      </w:pPr>
    </w:p>
    <w:p w:rsidR="00B83D82" w:rsidRDefault="00B83D82" w:rsidP="00B83D82">
      <w:pPr>
        <w:rPr>
          <w:b/>
          <w:lang w:val="en-US"/>
        </w:rPr>
      </w:pPr>
    </w:p>
    <w:p w:rsidR="00B83D82" w:rsidRPr="00DE1276" w:rsidRDefault="00B83D82" w:rsidP="00B83D82">
      <w:pPr>
        <w:rPr>
          <w:b/>
          <w:sz w:val="22"/>
          <w:lang w:val="en-US"/>
        </w:rPr>
      </w:pPr>
      <w:r w:rsidRPr="00DE1276">
        <w:rPr>
          <w:b/>
          <w:sz w:val="22"/>
          <w:lang w:val="en-US"/>
        </w:rPr>
        <w:lastRenderedPageBreak/>
        <w:t>Cutaneous leishmaniasis</w:t>
      </w:r>
    </w:p>
    <w:p w:rsidR="00B83D82" w:rsidRDefault="00B83D82" w:rsidP="00B83D82">
      <w:pPr>
        <w:rPr>
          <w:b/>
          <w:lang w:val="en-US"/>
        </w:rPr>
      </w:pPr>
      <w:r>
        <w:rPr>
          <w:b/>
          <w:lang w:val="en-US"/>
        </w:rPr>
        <w:t xml:space="preserve">     </w:t>
      </w:r>
    </w:p>
    <w:p w:rsidR="00B83D82" w:rsidRDefault="00B83D82" w:rsidP="00B83D82">
      <w:pPr>
        <w:rPr>
          <w:b/>
          <w:lang w:val="en-US"/>
        </w:rPr>
      </w:pPr>
      <w:r>
        <w:rPr>
          <w:b/>
          <w:noProof/>
          <w:lang w:val="en-US"/>
        </w:rPr>
        <w:drawing>
          <wp:inline distT="0" distB="0" distL="0" distR="0">
            <wp:extent cx="3771900" cy="2666365"/>
            <wp:effectExtent l="19050" t="0" r="0" b="0"/>
            <wp:docPr id="3" name="Picture 3" descr="KECLHIST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CLHISTmod2"/>
                    <pic:cNvPicPr>
                      <a:picLocks noChangeAspect="1" noChangeArrowheads="1"/>
                    </pic:cNvPicPr>
                  </pic:nvPicPr>
                  <pic:blipFill>
                    <a:blip r:embed="rId8" cstate="print"/>
                    <a:srcRect/>
                    <a:stretch>
                      <a:fillRect/>
                    </a:stretch>
                  </pic:blipFill>
                  <pic:spPr bwMode="auto">
                    <a:xfrm>
                      <a:off x="0" y="0"/>
                      <a:ext cx="3771900" cy="2666365"/>
                    </a:xfrm>
                    <a:prstGeom prst="rect">
                      <a:avLst/>
                    </a:prstGeom>
                    <a:noFill/>
                  </pic:spPr>
                </pic:pic>
              </a:graphicData>
            </a:graphic>
          </wp:inline>
        </w:drawing>
      </w:r>
    </w:p>
    <w:p w:rsidR="00B83D82" w:rsidRPr="002C75B8" w:rsidRDefault="00B83D82" w:rsidP="00B83D82">
      <w:pPr>
        <w:ind w:left="0" w:firstLine="0"/>
        <w:rPr>
          <w:b/>
          <w:sz w:val="22"/>
          <w:lang w:val="en-US"/>
        </w:rPr>
      </w:pPr>
      <w:r w:rsidRPr="002C75B8">
        <w:rPr>
          <w:b/>
          <w:sz w:val="22"/>
          <w:lang w:val="en-US"/>
        </w:rPr>
        <w:t xml:space="preserve">    </w:t>
      </w:r>
    </w:p>
    <w:p w:rsidR="00B83D82" w:rsidRPr="002C75B8" w:rsidRDefault="00B83D82" w:rsidP="00B83D82">
      <w:pPr>
        <w:ind w:left="0" w:firstLine="0"/>
        <w:rPr>
          <w:b/>
          <w:sz w:val="22"/>
          <w:lang w:val="en-US"/>
        </w:rPr>
      </w:pPr>
      <w:r w:rsidRPr="002C75B8">
        <w:rPr>
          <w:b/>
          <w:sz w:val="22"/>
          <w:lang w:val="en-US"/>
        </w:rPr>
        <w:t>Visceral leishmaniasis trend</w:t>
      </w:r>
    </w:p>
    <w:p w:rsidR="00B83D82" w:rsidRPr="002C75B8" w:rsidRDefault="00B83D82" w:rsidP="00B83D82">
      <w:pPr>
        <w:ind w:left="0" w:firstLine="0"/>
        <w:rPr>
          <w:b/>
          <w:sz w:val="22"/>
          <w:lang w:val="en-US"/>
        </w:rPr>
      </w:pPr>
      <w:r>
        <w:rPr>
          <w:b/>
          <w:noProof/>
          <w:sz w:val="22"/>
          <w:lang w:val="en-US"/>
        </w:rPr>
        <w:drawing>
          <wp:anchor distT="0" distB="0" distL="114300" distR="114300" simplePos="0" relativeHeight="251660288" behindDoc="0" locked="0" layoutInCell="1" allowOverlap="1">
            <wp:simplePos x="0" y="0"/>
            <wp:positionH relativeFrom="column">
              <wp:posOffset>-571500</wp:posOffset>
            </wp:positionH>
            <wp:positionV relativeFrom="paragraph">
              <wp:posOffset>103505</wp:posOffset>
            </wp:positionV>
            <wp:extent cx="6743700" cy="2854960"/>
            <wp:effectExtent l="0" t="0" r="0" b="0"/>
            <wp:wrapNone/>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83D82" w:rsidRPr="002C75B8" w:rsidRDefault="00B83D82" w:rsidP="00B83D82">
      <w:pPr>
        <w:ind w:left="0" w:firstLine="0"/>
        <w:rPr>
          <w:sz w:val="22"/>
          <w:lang w:val="en-US"/>
        </w:rPr>
      </w:pPr>
    </w:p>
    <w:p w:rsidR="00B83D82" w:rsidRDefault="00B83D82" w:rsidP="00B83D82">
      <w:pPr>
        <w:ind w:left="0" w:firstLine="0"/>
        <w:rPr>
          <w:b/>
          <w:sz w:val="22"/>
          <w:lang w:val="en-US"/>
        </w:rPr>
      </w:pPr>
    </w:p>
    <w:p w:rsidR="00B83D82" w:rsidRDefault="00B83D82" w:rsidP="00B83D82">
      <w:pPr>
        <w:ind w:left="0" w:firstLine="0"/>
        <w:rPr>
          <w:b/>
          <w:sz w:val="22"/>
          <w:lang w:val="en-US"/>
        </w:rPr>
      </w:pPr>
    </w:p>
    <w:p w:rsidR="00B83D82" w:rsidRDefault="00B83D82" w:rsidP="00B83D82">
      <w:pPr>
        <w:ind w:left="0" w:firstLine="0"/>
        <w:rPr>
          <w:b/>
          <w:sz w:val="22"/>
          <w:lang w:val="en-US"/>
        </w:rPr>
      </w:pPr>
    </w:p>
    <w:p w:rsidR="00B83D82" w:rsidRDefault="00B83D82" w:rsidP="00B83D82">
      <w:pPr>
        <w:ind w:left="0" w:firstLine="0"/>
        <w:rPr>
          <w:b/>
          <w:sz w:val="22"/>
          <w:lang w:val="en-US"/>
        </w:rPr>
      </w:pPr>
    </w:p>
    <w:p w:rsidR="00B83D82" w:rsidRDefault="00B83D82" w:rsidP="00B83D82">
      <w:pPr>
        <w:ind w:left="0" w:firstLine="0"/>
        <w:rPr>
          <w:b/>
          <w:sz w:val="22"/>
          <w:lang w:val="en-US"/>
        </w:rPr>
      </w:pPr>
    </w:p>
    <w:p w:rsidR="00B83D82" w:rsidRDefault="00B83D82" w:rsidP="00B83D82">
      <w:pPr>
        <w:ind w:left="0" w:firstLine="0"/>
        <w:rPr>
          <w:b/>
          <w:sz w:val="22"/>
          <w:lang w:val="en-US"/>
        </w:rPr>
      </w:pPr>
    </w:p>
    <w:p w:rsidR="00B83D82" w:rsidRDefault="00B83D82" w:rsidP="00B83D82">
      <w:pPr>
        <w:ind w:left="0" w:firstLine="0"/>
        <w:rPr>
          <w:b/>
          <w:sz w:val="22"/>
          <w:lang w:val="en-US"/>
        </w:rPr>
      </w:pPr>
    </w:p>
    <w:p w:rsidR="00B83D82" w:rsidRDefault="00B83D82" w:rsidP="00B83D82">
      <w:pPr>
        <w:ind w:left="0" w:firstLine="0"/>
        <w:rPr>
          <w:b/>
          <w:sz w:val="22"/>
          <w:lang w:val="en-US"/>
        </w:rPr>
      </w:pPr>
    </w:p>
    <w:p w:rsidR="00B83D82" w:rsidRDefault="00B83D82" w:rsidP="00B83D82">
      <w:pPr>
        <w:ind w:left="0" w:firstLine="0"/>
        <w:rPr>
          <w:b/>
          <w:sz w:val="22"/>
          <w:lang w:val="en-US"/>
        </w:rPr>
      </w:pPr>
    </w:p>
    <w:p w:rsidR="00B83D82" w:rsidRDefault="00B83D82" w:rsidP="00B83D82">
      <w:pPr>
        <w:ind w:left="0" w:firstLine="0"/>
        <w:rPr>
          <w:b/>
          <w:sz w:val="22"/>
          <w:lang w:val="en-US"/>
        </w:rPr>
      </w:pPr>
    </w:p>
    <w:p w:rsidR="00B83D82" w:rsidRDefault="00B83D82" w:rsidP="00B83D82">
      <w:pPr>
        <w:ind w:left="0" w:firstLine="0"/>
        <w:rPr>
          <w:b/>
          <w:sz w:val="22"/>
          <w:lang w:val="en-US"/>
        </w:rPr>
      </w:pPr>
    </w:p>
    <w:p w:rsidR="00B83D82" w:rsidRDefault="00B83D82" w:rsidP="00B83D82">
      <w:pPr>
        <w:ind w:left="0" w:firstLine="0"/>
        <w:rPr>
          <w:b/>
          <w:sz w:val="22"/>
          <w:lang w:val="en-US"/>
        </w:rPr>
      </w:pPr>
    </w:p>
    <w:p w:rsidR="00B83D82" w:rsidRPr="002C75B8" w:rsidRDefault="00B83D82" w:rsidP="00B83D82">
      <w:pPr>
        <w:ind w:left="0" w:firstLine="0"/>
        <w:rPr>
          <w:b/>
          <w:sz w:val="22"/>
          <w:lang w:val="en-US"/>
        </w:rPr>
      </w:pPr>
    </w:p>
    <w:p w:rsidR="00B83D82" w:rsidRDefault="00B83D82" w:rsidP="00B83D82">
      <w:pPr>
        <w:ind w:left="0" w:firstLine="0"/>
        <w:rPr>
          <w:b/>
          <w:sz w:val="22"/>
          <w:lang w:val="en-US"/>
        </w:rPr>
      </w:pPr>
    </w:p>
    <w:p w:rsidR="00B83D82" w:rsidRDefault="00B83D82" w:rsidP="00B83D82">
      <w:pPr>
        <w:ind w:left="0" w:firstLine="0"/>
        <w:rPr>
          <w:b/>
          <w:sz w:val="22"/>
          <w:lang w:val="en-US"/>
        </w:rPr>
      </w:pPr>
    </w:p>
    <w:p w:rsidR="00B83D82" w:rsidRDefault="00B83D82" w:rsidP="00B83D82">
      <w:pPr>
        <w:ind w:left="0" w:firstLine="0"/>
        <w:rPr>
          <w:b/>
          <w:sz w:val="22"/>
          <w:lang w:val="en-US"/>
        </w:rPr>
      </w:pPr>
    </w:p>
    <w:p w:rsidR="00B83D82" w:rsidRPr="002C75B8" w:rsidRDefault="00B83D82" w:rsidP="00B83D82">
      <w:pPr>
        <w:ind w:left="0" w:firstLine="0"/>
        <w:rPr>
          <w:b/>
          <w:sz w:val="22"/>
          <w:lang w:val="en-US"/>
        </w:rPr>
      </w:pPr>
    </w:p>
    <w:p w:rsidR="00B83D82" w:rsidRPr="002C75B8" w:rsidRDefault="00B83D82" w:rsidP="00B83D82">
      <w:pPr>
        <w:ind w:left="0" w:firstLine="0"/>
        <w:rPr>
          <w:b/>
          <w:sz w:val="22"/>
          <w:lang w:val="en-US"/>
        </w:rPr>
      </w:pPr>
    </w:p>
    <w:p w:rsidR="00B83D82" w:rsidRPr="002C75B8" w:rsidRDefault="00B83D82" w:rsidP="00B83D82">
      <w:pPr>
        <w:ind w:left="0" w:firstLine="0"/>
        <w:rPr>
          <w:rFonts w:eastAsia="Times New Roman"/>
          <w:b/>
          <w:bCs/>
          <w:sz w:val="22"/>
          <w:lang w:val="en-US" w:eastAsia="es-ES"/>
        </w:rPr>
      </w:pPr>
      <w:r w:rsidRPr="002C75B8">
        <w:rPr>
          <w:rFonts w:eastAsia="Times New Roman"/>
          <w:b/>
          <w:bCs/>
          <w:sz w:val="22"/>
          <w:lang w:val="en-US" w:eastAsia="es-ES"/>
        </w:rPr>
        <w:t>CONTROL</w:t>
      </w:r>
    </w:p>
    <w:p w:rsidR="00B83D82" w:rsidRPr="002C75B8" w:rsidRDefault="00B83D82" w:rsidP="00B83D82">
      <w:pPr>
        <w:ind w:left="0" w:firstLine="0"/>
        <w:rPr>
          <w:rFonts w:eastAsia="Times New Roman"/>
          <w:sz w:val="22"/>
          <w:lang w:val="en-US" w:eastAsia="es-ES"/>
        </w:rPr>
      </w:pPr>
    </w:p>
    <w:p w:rsidR="00B83D82" w:rsidRPr="002C75B8" w:rsidRDefault="00B83D82" w:rsidP="00B83D82">
      <w:pPr>
        <w:ind w:left="0" w:firstLine="0"/>
        <w:rPr>
          <w:rFonts w:eastAsia="Times New Roman"/>
          <w:sz w:val="22"/>
          <w:lang w:val="en-US" w:eastAsia="es-ES"/>
        </w:rPr>
      </w:pPr>
      <w:r w:rsidRPr="002C75B8">
        <w:rPr>
          <w:rFonts w:eastAsia="Times New Roman"/>
          <w:sz w:val="22"/>
          <w:lang w:val="en-US" w:eastAsia="es-ES"/>
        </w:rPr>
        <w:t xml:space="preserve">The notification of leishmaniasis is not mandatory in the country and there is no national </w:t>
      </w:r>
      <w:r>
        <w:rPr>
          <w:rFonts w:eastAsia="Times New Roman"/>
          <w:sz w:val="22"/>
          <w:lang w:val="en-US" w:eastAsia="es-ES"/>
        </w:rPr>
        <w:t>l</w:t>
      </w:r>
      <w:r w:rsidRPr="002C75B8">
        <w:rPr>
          <w:rFonts w:eastAsia="Times New Roman"/>
          <w:sz w:val="22"/>
          <w:lang w:val="en-US" w:eastAsia="es-ES"/>
        </w:rPr>
        <w:t>eishmaniasis control program (</w:t>
      </w:r>
      <w:r>
        <w:rPr>
          <w:rFonts w:eastAsia="Times New Roman"/>
          <w:sz w:val="22"/>
          <w:lang w:val="en-US" w:eastAsia="es-ES"/>
        </w:rPr>
        <w:t>it</w:t>
      </w:r>
      <w:r w:rsidRPr="002C75B8">
        <w:rPr>
          <w:rFonts w:eastAsia="Times New Roman"/>
          <w:sz w:val="22"/>
          <w:lang w:val="en-US" w:eastAsia="es-ES"/>
        </w:rPr>
        <w:t xml:space="preserve"> is planned </w:t>
      </w:r>
      <w:r>
        <w:rPr>
          <w:rFonts w:eastAsia="Times New Roman"/>
          <w:sz w:val="22"/>
          <w:lang w:val="en-US" w:eastAsia="es-ES"/>
        </w:rPr>
        <w:t>for</w:t>
      </w:r>
      <w:r w:rsidRPr="002C75B8">
        <w:rPr>
          <w:rFonts w:eastAsia="Times New Roman"/>
          <w:sz w:val="22"/>
          <w:lang w:val="en-US" w:eastAsia="es-ES"/>
        </w:rPr>
        <w:t xml:space="preserve"> 2010 for VL and </w:t>
      </w:r>
      <w:r>
        <w:rPr>
          <w:rFonts w:eastAsia="Times New Roman"/>
          <w:sz w:val="22"/>
          <w:lang w:val="en-US" w:eastAsia="es-ES"/>
        </w:rPr>
        <w:t xml:space="preserve">in </w:t>
      </w:r>
      <w:r w:rsidRPr="002C75B8">
        <w:rPr>
          <w:rFonts w:eastAsia="Times New Roman"/>
          <w:sz w:val="22"/>
          <w:lang w:val="en-US" w:eastAsia="es-ES"/>
        </w:rPr>
        <w:t xml:space="preserve">2012 for CL, depending on funding). Active human case detection is regularly performed </w:t>
      </w:r>
      <w:r>
        <w:rPr>
          <w:rFonts w:eastAsia="Times New Roman"/>
          <w:sz w:val="22"/>
          <w:lang w:val="en-US" w:eastAsia="es-ES"/>
        </w:rPr>
        <w:t xml:space="preserve">in order to </w:t>
      </w:r>
      <w:r w:rsidRPr="002C75B8">
        <w:rPr>
          <w:rFonts w:eastAsia="Times New Roman"/>
          <w:sz w:val="22"/>
          <w:lang w:val="en-US" w:eastAsia="es-ES"/>
        </w:rPr>
        <w:t>recruitment</w:t>
      </w:r>
      <w:r>
        <w:rPr>
          <w:rFonts w:eastAsia="Times New Roman"/>
          <w:sz w:val="22"/>
          <w:lang w:val="en-US" w:eastAsia="es-ES"/>
        </w:rPr>
        <w:t xml:space="preserve"> patients for</w:t>
      </w:r>
      <w:r w:rsidRPr="002C75B8">
        <w:rPr>
          <w:rFonts w:eastAsia="Times New Roman"/>
          <w:sz w:val="22"/>
          <w:lang w:val="en-US" w:eastAsia="es-ES"/>
        </w:rPr>
        <w:t xml:space="preserve"> clinical studies. There is no leishmaniasis vector control program, but in the east of the country</w:t>
      </w:r>
      <w:r>
        <w:rPr>
          <w:rFonts w:eastAsia="Times New Roman"/>
          <w:sz w:val="22"/>
          <w:lang w:val="en-US" w:eastAsia="es-ES"/>
        </w:rPr>
        <w:t>,</w:t>
      </w:r>
      <w:r w:rsidRPr="002C75B8">
        <w:rPr>
          <w:rFonts w:eastAsia="Times New Roman"/>
          <w:sz w:val="22"/>
          <w:lang w:val="en-US" w:eastAsia="es-ES"/>
        </w:rPr>
        <w:t xml:space="preserve"> the case load was substantially reduced by the use of </w:t>
      </w:r>
      <w:r>
        <w:rPr>
          <w:rFonts w:eastAsia="Times New Roman"/>
          <w:sz w:val="22"/>
          <w:lang w:val="en-US" w:eastAsia="es-ES"/>
        </w:rPr>
        <w:t xml:space="preserve">cloth </w:t>
      </w:r>
      <w:r w:rsidRPr="002C75B8">
        <w:rPr>
          <w:rFonts w:eastAsia="Times New Roman"/>
          <w:sz w:val="22"/>
          <w:lang w:val="en-US" w:eastAsia="es-ES"/>
        </w:rPr>
        <w:t xml:space="preserve">sheets impregnated with </w:t>
      </w:r>
      <w:r w:rsidRPr="003A7470">
        <w:rPr>
          <w:rFonts w:eastAsia="Times New Roman"/>
          <w:sz w:val="22"/>
          <w:lang w:val="en-US" w:eastAsia="es-ES"/>
        </w:rPr>
        <w:t>insecticide (</w:t>
      </w:r>
      <w:proofErr w:type="spellStart"/>
      <w:r w:rsidRPr="003A7470">
        <w:rPr>
          <w:rFonts w:eastAsia="Times New Roman"/>
          <w:i/>
          <w:iCs/>
          <w:sz w:val="22"/>
          <w:lang w:val="en-US" w:eastAsia="es-ES"/>
        </w:rPr>
        <w:t>Mbu</w:t>
      </w:r>
      <w:proofErr w:type="spellEnd"/>
      <w:r w:rsidRPr="003A7470">
        <w:rPr>
          <w:rFonts w:eastAsia="Times New Roman"/>
          <w:i/>
          <w:iCs/>
          <w:sz w:val="22"/>
          <w:lang w:val="en-US" w:eastAsia="es-ES"/>
        </w:rPr>
        <w:t xml:space="preserve"> cloth</w:t>
      </w:r>
      <w:r w:rsidRPr="003A7470">
        <w:rPr>
          <w:rFonts w:eastAsia="Times New Roman"/>
          <w:sz w:val="22"/>
          <w:lang w:val="en-US" w:eastAsia="es-ES"/>
        </w:rPr>
        <w:t>) that</w:t>
      </w:r>
      <w:r w:rsidRPr="002C75B8">
        <w:rPr>
          <w:rFonts w:eastAsia="Times New Roman"/>
          <w:sz w:val="22"/>
          <w:lang w:val="en-US" w:eastAsia="es-ES"/>
        </w:rPr>
        <w:t xml:space="preserve"> were fixed on the inner walls of the rooms</w:t>
      </w:r>
      <w:r>
        <w:rPr>
          <w:rFonts w:eastAsia="Times New Roman"/>
          <w:sz w:val="22"/>
          <w:lang w:val="en-US" w:eastAsia="es-ES"/>
        </w:rPr>
        <w:t>;</w:t>
      </w:r>
      <w:r w:rsidRPr="002C75B8">
        <w:rPr>
          <w:rFonts w:eastAsia="Times New Roman"/>
          <w:sz w:val="22"/>
          <w:lang w:val="en-US" w:eastAsia="es-ES"/>
        </w:rPr>
        <w:t xml:space="preserve"> and </w:t>
      </w:r>
      <w:r>
        <w:rPr>
          <w:rFonts w:eastAsia="Times New Roman"/>
          <w:sz w:val="22"/>
          <w:lang w:val="en-US" w:eastAsia="es-ES"/>
        </w:rPr>
        <w:t xml:space="preserve">by the </w:t>
      </w:r>
      <w:r w:rsidRPr="002C75B8">
        <w:rPr>
          <w:rFonts w:eastAsia="Times New Roman"/>
          <w:sz w:val="22"/>
          <w:lang w:val="en-US" w:eastAsia="es-ES"/>
        </w:rPr>
        <w:t>destruction of the breeding sites (termites hill</w:t>
      </w:r>
      <w:r>
        <w:rPr>
          <w:rFonts w:eastAsia="Times New Roman"/>
          <w:sz w:val="22"/>
          <w:lang w:val="en-US" w:eastAsia="es-ES"/>
        </w:rPr>
        <w:t>s</w:t>
      </w:r>
      <w:r w:rsidRPr="002C75B8">
        <w:rPr>
          <w:rFonts w:eastAsia="Times New Roman"/>
          <w:sz w:val="22"/>
          <w:lang w:val="en-US" w:eastAsia="es-ES"/>
        </w:rPr>
        <w:t xml:space="preserve"> and animals burrows) of the </w:t>
      </w:r>
      <w:r>
        <w:rPr>
          <w:rFonts w:eastAsia="Times New Roman"/>
          <w:sz w:val="22"/>
          <w:lang w:val="en-US" w:eastAsia="es-ES"/>
        </w:rPr>
        <w:t xml:space="preserve">farming related </w:t>
      </w:r>
      <w:r w:rsidRPr="002C75B8">
        <w:rPr>
          <w:rFonts w:eastAsia="Times New Roman"/>
          <w:sz w:val="22"/>
          <w:lang w:val="en-US" w:eastAsia="es-ES"/>
        </w:rPr>
        <w:t xml:space="preserve">vectors. </w:t>
      </w:r>
      <w:r>
        <w:rPr>
          <w:rFonts w:eastAsia="Times New Roman"/>
          <w:sz w:val="22"/>
          <w:lang w:val="en-US" w:eastAsia="es-ES"/>
        </w:rPr>
        <w:t xml:space="preserve">There is a </w:t>
      </w:r>
      <w:proofErr w:type="spellStart"/>
      <w:r>
        <w:rPr>
          <w:rFonts w:eastAsia="Times New Roman"/>
          <w:sz w:val="22"/>
          <w:lang w:val="en-US" w:eastAsia="es-ES"/>
        </w:rPr>
        <w:lastRenderedPageBreak/>
        <w:t>b</w:t>
      </w:r>
      <w:r w:rsidRPr="002C75B8">
        <w:rPr>
          <w:rFonts w:eastAsia="Times New Roman"/>
          <w:sz w:val="22"/>
          <w:lang w:val="en-US" w:eastAsia="es-ES"/>
        </w:rPr>
        <w:t>ednet</w:t>
      </w:r>
      <w:proofErr w:type="spellEnd"/>
      <w:r w:rsidRPr="002C75B8">
        <w:rPr>
          <w:rFonts w:eastAsia="Times New Roman"/>
          <w:sz w:val="22"/>
          <w:lang w:val="en-US" w:eastAsia="es-ES"/>
        </w:rPr>
        <w:t xml:space="preserve"> distribution program in the context of malaria control</w:t>
      </w:r>
      <w:r>
        <w:rPr>
          <w:rFonts w:eastAsia="Times New Roman"/>
          <w:sz w:val="22"/>
          <w:lang w:val="en-US" w:eastAsia="es-ES"/>
        </w:rPr>
        <w:t>, but</w:t>
      </w:r>
      <w:r w:rsidRPr="002C75B8">
        <w:rPr>
          <w:rFonts w:eastAsia="Times New Roman"/>
          <w:sz w:val="22"/>
          <w:lang w:val="en-US" w:eastAsia="es-ES"/>
        </w:rPr>
        <w:t xml:space="preserve"> </w:t>
      </w:r>
      <w:r>
        <w:rPr>
          <w:rFonts w:eastAsia="Times New Roman"/>
          <w:sz w:val="22"/>
          <w:lang w:val="en-US" w:eastAsia="es-ES"/>
        </w:rPr>
        <w:t>i</w:t>
      </w:r>
      <w:r w:rsidRPr="002C75B8">
        <w:rPr>
          <w:rFonts w:eastAsia="Times New Roman"/>
          <w:sz w:val="22"/>
          <w:lang w:val="en-US" w:eastAsia="es-ES"/>
        </w:rPr>
        <w:t xml:space="preserve">nsecticide spraying is not regularly </w:t>
      </w:r>
      <w:r>
        <w:rPr>
          <w:rFonts w:eastAsia="Times New Roman"/>
          <w:sz w:val="22"/>
          <w:lang w:val="en-US" w:eastAsia="es-ES"/>
        </w:rPr>
        <w:t>performed</w:t>
      </w:r>
      <w:r w:rsidRPr="002C75B8">
        <w:rPr>
          <w:rFonts w:eastAsia="Times New Roman"/>
          <w:sz w:val="22"/>
          <w:lang w:val="en-US" w:eastAsia="es-ES"/>
        </w:rPr>
        <w:t xml:space="preserve">. </w:t>
      </w:r>
    </w:p>
    <w:p w:rsidR="00B83D82" w:rsidRPr="002C75B8" w:rsidRDefault="00B83D82" w:rsidP="00B83D82">
      <w:pPr>
        <w:ind w:left="0" w:firstLine="0"/>
        <w:rPr>
          <w:rFonts w:eastAsia="Times New Roman"/>
          <w:sz w:val="22"/>
          <w:lang w:val="en-US" w:eastAsia="es-ES"/>
        </w:rPr>
      </w:pPr>
    </w:p>
    <w:p w:rsidR="00B83D82" w:rsidRPr="002C75B8" w:rsidRDefault="00B83D82" w:rsidP="00B83D82">
      <w:pPr>
        <w:ind w:left="0" w:firstLine="0"/>
        <w:rPr>
          <w:rFonts w:eastAsia="Times New Roman"/>
          <w:sz w:val="22"/>
          <w:lang w:val="en-US" w:eastAsia="es-ES"/>
        </w:rPr>
      </w:pPr>
    </w:p>
    <w:p w:rsidR="00B83D82" w:rsidRPr="002C75B8" w:rsidRDefault="00B83D82" w:rsidP="00B83D82">
      <w:pPr>
        <w:ind w:left="0" w:firstLine="0"/>
        <w:rPr>
          <w:b/>
          <w:sz w:val="22"/>
          <w:lang w:val="en-US"/>
        </w:rPr>
      </w:pPr>
      <w:r w:rsidRPr="002C75B8">
        <w:rPr>
          <w:b/>
          <w:sz w:val="22"/>
          <w:lang w:val="en-US"/>
        </w:rPr>
        <w:t xml:space="preserve">DIAGNOSIS, TREATMENT </w:t>
      </w:r>
    </w:p>
    <w:p w:rsidR="00B83D82" w:rsidRPr="002C75B8" w:rsidRDefault="00B83D82" w:rsidP="00B83D82">
      <w:pPr>
        <w:ind w:left="0" w:firstLine="0"/>
        <w:rPr>
          <w:b/>
          <w:bCs/>
          <w:sz w:val="22"/>
          <w:lang w:val="en-US"/>
        </w:rPr>
      </w:pPr>
    </w:p>
    <w:p w:rsidR="00B83D82" w:rsidRPr="002C75B8" w:rsidRDefault="00B83D82" w:rsidP="00B83D82">
      <w:pPr>
        <w:ind w:left="0" w:firstLine="0"/>
        <w:rPr>
          <w:sz w:val="22"/>
          <w:lang w:val="en-US"/>
        </w:rPr>
      </w:pPr>
      <w:r w:rsidRPr="002C75B8">
        <w:rPr>
          <w:b/>
          <w:bCs/>
          <w:sz w:val="22"/>
          <w:lang w:val="en-US"/>
        </w:rPr>
        <w:t>Diagnosis</w:t>
      </w:r>
    </w:p>
    <w:p w:rsidR="00B83D82" w:rsidRPr="002C75B8" w:rsidRDefault="00B83D82" w:rsidP="00B83D82">
      <w:pPr>
        <w:ind w:left="0" w:firstLine="0"/>
        <w:rPr>
          <w:bCs/>
          <w:sz w:val="22"/>
          <w:lang w:val="en-US"/>
        </w:rPr>
      </w:pPr>
    </w:p>
    <w:p w:rsidR="00B83D82" w:rsidRPr="00C575E1" w:rsidRDefault="00B83D82" w:rsidP="00B83D82">
      <w:pPr>
        <w:ind w:left="0" w:firstLine="0"/>
        <w:rPr>
          <w:sz w:val="22"/>
        </w:rPr>
      </w:pPr>
      <w:r w:rsidRPr="00C575E1">
        <w:rPr>
          <w:sz w:val="22"/>
        </w:rPr>
        <w:t xml:space="preserve">VL: </w:t>
      </w:r>
      <w:proofErr w:type="spellStart"/>
      <w:r w:rsidRPr="00C575E1">
        <w:rPr>
          <w:sz w:val="22"/>
        </w:rPr>
        <w:t>microscopic</w:t>
      </w:r>
      <w:proofErr w:type="spellEnd"/>
      <w:r w:rsidRPr="00C575E1">
        <w:rPr>
          <w:sz w:val="22"/>
        </w:rPr>
        <w:t xml:space="preserve"> </w:t>
      </w:r>
      <w:proofErr w:type="spellStart"/>
      <w:r w:rsidRPr="00C575E1">
        <w:rPr>
          <w:sz w:val="22"/>
        </w:rPr>
        <w:t>examination</w:t>
      </w:r>
      <w:proofErr w:type="spellEnd"/>
      <w:r w:rsidRPr="00C575E1">
        <w:rPr>
          <w:sz w:val="22"/>
        </w:rPr>
        <w:t xml:space="preserve"> of </w:t>
      </w:r>
      <w:proofErr w:type="spellStart"/>
      <w:r w:rsidRPr="00C575E1">
        <w:rPr>
          <w:sz w:val="22"/>
        </w:rPr>
        <w:t>spleen</w:t>
      </w:r>
      <w:proofErr w:type="spellEnd"/>
      <w:r w:rsidRPr="00C575E1">
        <w:rPr>
          <w:sz w:val="22"/>
        </w:rPr>
        <w:t xml:space="preserve"> </w:t>
      </w:r>
      <w:proofErr w:type="spellStart"/>
      <w:r w:rsidRPr="00C575E1">
        <w:rPr>
          <w:sz w:val="22"/>
        </w:rPr>
        <w:t>aspirate</w:t>
      </w:r>
      <w:proofErr w:type="spellEnd"/>
      <w:r w:rsidRPr="00C575E1">
        <w:rPr>
          <w:sz w:val="22"/>
        </w:rPr>
        <w:t xml:space="preserve"> </w:t>
      </w:r>
      <w:proofErr w:type="spellStart"/>
      <w:r w:rsidRPr="00C575E1">
        <w:rPr>
          <w:sz w:val="22"/>
        </w:rPr>
        <w:t>or</w:t>
      </w:r>
      <w:proofErr w:type="spellEnd"/>
      <w:r w:rsidRPr="00C575E1">
        <w:rPr>
          <w:sz w:val="22"/>
        </w:rPr>
        <w:t xml:space="preserve"> DAT. </w:t>
      </w:r>
    </w:p>
    <w:p w:rsidR="00B83D82" w:rsidRPr="00562689" w:rsidRDefault="00B83D82" w:rsidP="00B83D82">
      <w:pPr>
        <w:ind w:left="0" w:firstLine="0"/>
        <w:rPr>
          <w:sz w:val="22"/>
          <w:lang w:val="en-US"/>
        </w:rPr>
      </w:pPr>
      <w:r w:rsidRPr="00C575E1">
        <w:rPr>
          <w:sz w:val="22"/>
        </w:rPr>
        <w:t xml:space="preserve">CL: </w:t>
      </w:r>
      <w:proofErr w:type="spellStart"/>
      <w:r w:rsidRPr="00C575E1">
        <w:rPr>
          <w:sz w:val="22"/>
        </w:rPr>
        <w:t>clinical</w:t>
      </w:r>
      <w:proofErr w:type="spellEnd"/>
      <w:r w:rsidRPr="00C575E1">
        <w:rPr>
          <w:sz w:val="22"/>
        </w:rPr>
        <w:t xml:space="preserve"> </w:t>
      </w:r>
      <w:proofErr w:type="spellStart"/>
      <w:r w:rsidRPr="00C575E1">
        <w:rPr>
          <w:sz w:val="22"/>
        </w:rPr>
        <w:t>grounds</w:t>
      </w:r>
      <w:proofErr w:type="spellEnd"/>
      <w:r w:rsidRPr="00562689">
        <w:rPr>
          <w:sz w:val="22"/>
          <w:lang w:val="en-US"/>
        </w:rPr>
        <w:t>, confirmation by microscopic examination of skin lesion.</w:t>
      </w:r>
    </w:p>
    <w:p w:rsidR="00B83D82" w:rsidRPr="002C75B8" w:rsidRDefault="00B83D82" w:rsidP="00B83D82">
      <w:pPr>
        <w:ind w:left="0" w:firstLine="0"/>
        <w:rPr>
          <w:bCs/>
          <w:sz w:val="22"/>
          <w:lang w:val="en-US"/>
        </w:rPr>
      </w:pPr>
    </w:p>
    <w:p w:rsidR="00B83D82" w:rsidRPr="002C75B8" w:rsidRDefault="00B83D82" w:rsidP="00B83D82">
      <w:pPr>
        <w:ind w:left="0" w:firstLine="0"/>
        <w:rPr>
          <w:bCs/>
          <w:sz w:val="22"/>
          <w:lang w:val="en-US"/>
        </w:rPr>
      </w:pPr>
      <w:r w:rsidRPr="002C75B8">
        <w:rPr>
          <w:b/>
          <w:bCs/>
          <w:sz w:val="22"/>
          <w:lang w:val="en-US"/>
        </w:rPr>
        <w:t>Treatment</w:t>
      </w:r>
    </w:p>
    <w:p w:rsidR="00B83D82" w:rsidRDefault="00B83D82" w:rsidP="00B83D82">
      <w:pPr>
        <w:ind w:left="0" w:firstLine="0"/>
        <w:rPr>
          <w:sz w:val="22"/>
          <w:lang w:val="en-US"/>
        </w:rPr>
      </w:pPr>
    </w:p>
    <w:p w:rsidR="00B83D82" w:rsidRPr="00C575E1" w:rsidRDefault="00B83D82" w:rsidP="00B83D82">
      <w:pPr>
        <w:ind w:left="0" w:firstLine="0"/>
        <w:rPr>
          <w:bCs/>
          <w:sz w:val="22"/>
          <w:lang w:val="en-US"/>
        </w:rPr>
      </w:pPr>
      <w:r w:rsidRPr="00C575E1">
        <w:rPr>
          <w:sz w:val="22"/>
          <w:lang w:val="en-US"/>
        </w:rPr>
        <w:t>VL</w:t>
      </w:r>
      <w:r w:rsidRPr="00C575E1">
        <w:rPr>
          <w:bCs/>
          <w:sz w:val="22"/>
          <w:lang w:val="en-US"/>
        </w:rPr>
        <w:t xml:space="preserve">: antimonials, 20 mg </w:t>
      </w:r>
      <w:proofErr w:type="spellStart"/>
      <w:r w:rsidRPr="00C575E1">
        <w:rPr>
          <w:bCs/>
          <w:sz w:val="22"/>
          <w:lang w:val="en-US"/>
        </w:rPr>
        <w:t>Sb</w:t>
      </w:r>
      <w:r>
        <w:rPr>
          <w:bCs/>
          <w:sz w:val="22"/>
          <w:vertAlign w:val="superscript"/>
          <w:lang w:val="en-US"/>
        </w:rPr>
        <w:t>v</w:t>
      </w:r>
      <w:proofErr w:type="spellEnd"/>
      <w:r w:rsidRPr="00C575E1">
        <w:rPr>
          <w:bCs/>
          <w:sz w:val="22"/>
          <w:lang w:val="en-US"/>
        </w:rPr>
        <w:t xml:space="preserve">/kg/day for 30 days. Cure rate is &gt; 95%. Recurring disease occurs in 3% of cases and PKDL in 2%. Severe adverse events occur in 3% of cases. Case fatality rate is 0%. Second line: conventional amphotericin B, 1 mg/kg/day on alternate days for 15 days or liposomal amphotericin B (AmBisome).  </w:t>
      </w:r>
    </w:p>
    <w:p w:rsidR="00B83D82" w:rsidRDefault="00B83D82" w:rsidP="00B83D82">
      <w:pPr>
        <w:ind w:left="0" w:firstLine="0"/>
        <w:rPr>
          <w:sz w:val="22"/>
          <w:lang w:val="en-US"/>
        </w:rPr>
      </w:pPr>
    </w:p>
    <w:p w:rsidR="00B83D82" w:rsidRPr="002C75B8" w:rsidRDefault="00B83D82" w:rsidP="00B83D82">
      <w:pPr>
        <w:ind w:left="0" w:firstLine="0"/>
        <w:rPr>
          <w:bCs/>
          <w:sz w:val="22"/>
          <w:lang w:val="en-US"/>
        </w:rPr>
      </w:pPr>
      <w:r w:rsidRPr="00C575E1">
        <w:rPr>
          <w:sz w:val="22"/>
          <w:lang w:val="en-US"/>
        </w:rPr>
        <w:t>CL</w:t>
      </w:r>
      <w:r w:rsidRPr="00C575E1">
        <w:rPr>
          <w:bCs/>
          <w:sz w:val="22"/>
          <w:lang w:val="en-US"/>
        </w:rPr>
        <w:t>: antimonials</w:t>
      </w:r>
      <w:r w:rsidRPr="002C75B8">
        <w:rPr>
          <w:bCs/>
          <w:sz w:val="22"/>
          <w:lang w:val="en-US"/>
        </w:rPr>
        <w:t xml:space="preserve">, 20 mg </w:t>
      </w:r>
      <w:proofErr w:type="spellStart"/>
      <w:r w:rsidRPr="002C75B8">
        <w:rPr>
          <w:bCs/>
          <w:sz w:val="22"/>
          <w:lang w:val="en-US"/>
        </w:rPr>
        <w:t>Sb</w:t>
      </w:r>
      <w:r>
        <w:rPr>
          <w:bCs/>
          <w:sz w:val="22"/>
          <w:vertAlign w:val="superscript"/>
          <w:lang w:val="en-US"/>
        </w:rPr>
        <w:t>v</w:t>
      </w:r>
      <w:proofErr w:type="spellEnd"/>
      <w:r w:rsidRPr="002C75B8">
        <w:rPr>
          <w:bCs/>
          <w:sz w:val="22"/>
          <w:lang w:val="en-US"/>
        </w:rPr>
        <w:t xml:space="preserve">/kg/day for 40-60 days, sometimes up to 120 days. Cure rate is 80%. </w:t>
      </w:r>
      <w:proofErr w:type="spellStart"/>
      <w:r w:rsidRPr="002C75B8">
        <w:rPr>
          <w:bCs/>
          <w:sz w:val="22"/>
          <w:lang w:val="en-US"/>
        </w:rPr>
        <w:t>Allopurinol</w:t>
      </w:r>
      <w:proofErr w:type="spellEnd"/>
      <w:r w:rsidRPr="002C75B8">
        <w:rPr>
          <w:bCs/>
          <w:sz w:val="22"/>
          <w:lang w:val="en-US"/>
        </w:rPr>
        <w:t xml:space="preserve"> is also used.  </w:t>
      </w:r>
    </w:p>
    <w:p w:rsidR="00B83D82" w:rsidRPr="002C75B8" w:rsidRDefault="00B83D82" w:rsidP="00B83D82">
      <w:pPr>
        <w:ind w:left="0" w:firstLine="0"/>
        <w:rPr>
          <w:b/>
          <w:bCs/>
          <w:sz w:val="22"/>
          <w:lang w:val="en-US"/>
        </w:rPr>
      </w:pPr>
    </w:p>
    <w:p w:rsidR="00B83D82" w:rsidRPr="002C75B8" w:rsidRDefault="00B83D82" w:rsidP="00B83D82">
      <w:pPr>
        <w:ind w:left="0" w:firstLine="0"/>
        <w:rPr>
          <w:b/>
          <w:bCs/>
          <w:sz w:val="22"/>
          <w:lang w:val="en-US"/>
        </w:rPr>
      </w:pPr>
    </w:p>
    <w:p w:rsidR="00B83D82" w:rsidRPr="002C75B8" w:rsidRDefault="00B83D82" w:rsidP="00B83D82">
      <w:pPr>
        <w:ind w:left="0" w:firstLine="0"/>
        <w:rPr>
          <w:sz w:val="22"/>
          <w:lang w:val="en-US"/>
        </w:rPr>
      </w:pPr>
      <w:r w:rsidRPr="002C75B8">
        <w:rPr>
          <w:b/>
          <w:bCs/>
          <w:sz w:val="22"/>
          <w:lang w:val="en-US"/>
        </w:rPr>
        <w:t xml:space="preserve">ACCESS TO CARE </w:t>
      </w:r>
    </w:p>
    <w:p w:rsidR="00B83D82" w:rsidRPr="002C75B8" w:rsidRDefault="00B83D82" w:rsidP="00B83D82">
      <w:pPr>
        <w:ind w:left="0" w:firstLine="0"/>
        <w:rPr>
          <w:sz w:val="22"/>
          <w:lang w:val="en-US"/>
        </w:rPr>
      </w:pPr>
    </w:p>
    <w:p w:rsidR="00B83D82" w:rsidRDefault="00B83D82" w:rsidP="00B83D82">
      <w:pPr>
        <w:ind w:left="0" w:firstLine="0"/>
        <w:rPr>
          <w:sz w:val="22"/>
          <w:lang w:val="en-US"/>
        </w:rPr>
      </w:pPr>
      <w:r w:rsidRPr="002C75B8">
        <w:rPr>
          <w:sz w:val="22"/>
          <w:lang w:val="en-US"/>
        </w:rPr>
        <w:t>Care for leishmaniasis is not provided for free. Due to the cost of antimonials purchased by the government (Pentostam, GSK), there is a cost sharing scheme in place</w:t>
      </w:r>
      <w:r>
        <w:rPr>
          <w:sz w:val="22"/>
          <w:lang w:val="en-US"/>
        </w:rPr>
        <w:t>,</w:t>
      </w:r>
      <w:r w:rsidRPr="002C75B8">
        <w:rPr>
          <w:sz w:val="22"/>
          <w:lang w:val="en-US"/>
        </w:rPr>
        <w:t xml:space="preserve"> where patients have to contribute 1</w:t>
      </w:r>
      <w:r>
        <w:rPr>
          <w:sz w:val="22"/>
          <w:lang w:val="en-US"/>
        </w:rPr>
        <w:t>,</w:t>
      </w:r>
      <w:r w:rsidRPr="002C75B8">
        <w:rPr>
          <w:sz w:val="22"/>
          <w:lang w:val="en-US"/>
        </w:rPr>
        <w:t>000 KSH (12-13 USD) for treatment. Most patients are extremely poor and cannot afford this. However</w:t>
      </w:r>
      <w:r>
        <w:rPr>
          <w:sz w:val="22"/>
          <w:lang w:val="en-US"/>
        </w:rPr>
        <w:t>,</w:t>
      </w:r>
      <w:r w:rsidRPr="002C75B8">
        <w:rPr>
          <w:sz w:val="22"/>
          <w:lang w:val="en-US"/>
        </w:rPr>
        <w:t xml:space="preserve"> considerable amounts of patients received free care </w:t>
      </w:r>
      <w:r>
        <w:rPr>
          <w:sz w:val="22"/>
          <w:lang w:val="en-US"/>
        </w:rPr>
        <w:t>through</w:t>
      </w:r>
      <w:r w:rsidRPr="002C75B8">
        <w:rPr>
          <w:sz w:val="22"/>
          <w:lang w:val="en-US"/>
        </w:rPr>
        <w:t xml:space="preserve"> NGOs in 2007 and 2008 (MSF and Merlin)</w:t>
      </w:r>
      <w:r>
        <w:rPr>
          <w:sz w:val="22"/>
          <w:lang w:val="en-US"/>
        </w:rPr>
        <w:t>,</w:t>
      </w:r>
      <w:r w:rsidRPr="002C75B8">
        <w:rPr>
          <w:sz w:val="22"/>
          <w:lang w:val="en-US"/>
        </w:rPr>
        <w:t xml:space="preserve"> and </w:t>
      </w:r>
      <w:r>
        <w:rPr>
          <w:sz w:val="22"/>
          <w:lang w:val="en-US"/>
        </w:rPr>
        <w:t>at</w:t>
      </w:r>
      <w:r w:rsidRPr="002C75B8">
        <w:rPr>
          <w:sz w:val="22"/>
          <w:lang w:val="en-US"/>
        </w:rPr>
        <w:t xml:space="preserve"> the KEMRI research institute (in the context of clinical trials). </w:t>
      </w:r>
    </w:p>
    <w:p w:rsidR="00B83D82" w:rsidRPr="002C75B8" w:rsidRDefault="00B83D82" w:rsidP="00B83D82">
      <w:pPr>
        <w:ind w:left="0" w:firstLine="0"/>
        <w:rPr>
          <w:sz w:val="22"/>
          <w:lang w:val="en-US"/>
        </w:rPr>
      </w:pPr>
    </w:p>
    <w:p w:rsidR="00B83D82" w:rsidRDefault="00B83D82" w:rsidP="00B83D82">
      <w:pPr>
        <w:ind w:left="0" w:firstLine="0"/>
        <w:rPr>
          <w:sz w:val="22"/>
          <w:lang w:val="en-US"/>
        </w:rPr>
      </w:pPr>
      <w:r w:rsidRPr="002C75B8">
        <w:rPr>
          <w:sz w:val="22"/>
          <w:lang w:val="en-US"/>
        </w:rPr>
        <w:t xml:space="preserve">There is no continuous drug supply in public health facilities. The Ministry of Health supplied 300 vials of Pentostam in 2008, which was not sufficient for the number of patients reported in public health facilities that year. WHO and UNICEF donated additional quantities of Pentostam in 2008 and 2009. </w:t>
      </w:r>
    </w:p>
    <w:p w:rsidR="00B83D82" w:rsidRPr="002C75B8" w:rsidRDefault="00B83D82" w:rsidP="00B83D82">
      <w:pPr>
        <w:ind w:left="0" w:firstLine="0"/>
        <w:rPr>
          <w:sz w:val="22"/>
          <w:lang w:val="en-US"/>
        </w:rPr>
      </w:pPr>
    </w:p>
    <w:p w:rsidR="00B83D82" w:rsidRDefault="00B83D82" w:rsidP="00B83D82">
      <w:pPr>
        <w:ind w:left="0" w:firstLine="0"/>
        <w:rPr>
          <w:sz w:val="22"/>
          <w:lang w:val="en-US"/>
        </w:rPr>
      </w:pPr>
      <w:r w:rsidRPr="002C75B8">
        <w:rPr>
          <w:sz w:val="22"/>
          <w:lang w:val="en-US"/>
        </w:rPr>
        <w:t xml:space="preserve">Apart from programs offered by NGOs, diagnosis of VL only takes place in hospitals, although treatment with antimonials can be continued on an out-patient base in health centers. Diagnosis of CL is only done </w:t>
      </w:r>
      <w:r>
        <w:rPr>
          <w:sz w:val="22"/>
          <w:lang w:val="en-US"/>
        </w:rPr>
        <w:t>at</w:t>
      </w:r>
      <w:r w:rsidRPr="002C75B8">
        <w:rPr>
          <w:sz w:val="22"/>
          <w:lang w:val="en-US"/>
        </w:rPr>
        <w:t xml:space="preserve"> KEMRI research institute. As many patients live in remote areas</w:t>
      </w:r>
      <w:r>
        <w:rPr>
          <w:sz w:val="22"/>
          <w:lang w:val="en-US"/>
        </w:rPr>
        <w:t>,</w:t>
      </w:r>
      <w:r w:rsidRPr="002C75B8">
        <w:rPr>
          <w:sz w:val="22"/>
          <w:lang w:val="en-US"/>
        </w:rPr>
        <w:t xml:space="preserve"> it is very difficult or impossible to reach treatment sites. They generally suffer </w:t>
      </w:r>
      <w:r>
        <w:rPr>
          <w:sz w:val="22"/>
          <w:lang w:val="en-US"/>
        </w:rPr>
        <w:t xml:space="preserve">major </w:t>
      </w:r>
      <w:r w:rsidRPr="002C75B8">
        <w:rPr>
          <w:sz w:val="22"/>
          <w:lang w:val="en-US"/>
        </w:rPr>
        <w:t>economic</w:t>
      </w:r>
      <w:r>
        <w:rPr>
          <w:sz w:val="22"/>
          <w:lang w:val="en-US"/>
        </w:rPr>
        <w:t xml:space="preserve"> loss</w:t>
      </w:r>
      <w:r w:rsidRPr="002C75B8">
        <w:rPr>
          <w:sz w:val="22"/>
          <w:lang w:val="en-US"/>
        </w:rPr>
        <w:t xml:space="preserve"> by missed working days while staying away from home in order to receive treatment. </w:t>
      </w:r>
    </w:p>
    <w:p w:rsidR="00B83D82" w:rsidRPr="002C75B8" w:rsidRDefault="00B83D82" w:rsidP="00B83D82">
      <w:pPr>
        <w:ind w:left="0" w:firstLine="0"/>
        <w:rPr>
          <w:sz w:val="22"/>
          <w:lang w:val="en-US"/>
        </w:rPr>
      </w:pPr>
    </w:p>
    <w:p w:rsidR="00B83D82" w:rsidRDefault="00B83D82" w:rsidP="00B83D82">
      <w:pPr>
        <w:ind w:left="0" w:firstLine="0"/>
        <w:rPr>
          <w:sz w:val="22"/>
          <w:lang w:val="en-US"/>
        </w:rPr>
      </w:pPr>
      <w:r w:rsidRPr="002C75B8">
        <w:rPr>
          <w:sz w:val="22"/>
          <w:lang w:val="en-US"/>
        </w:rPr>
        <w:t xml:space="preserve">As access to care is problematic, many patients resort to traditional healers before reporting to the hospital. </w:t>
      </w:r>
    </w:p>
    <w:p w:rsidR="00B83D82" w:rsidRDefault="00B83D82" w:rsidP="00B83D82">
      <w:pPr>
        <w:ind w:left="0" w:firstLine="0"/>
        <w:rPr>
          <w:sz w:val="22"/>
          <w:lang w:val="en-US"/>
        </w:rPr>
      </w:pPr>
    </w:p>
    <w:p w:rsidR="00B83D82" w:rsidRPr="002C75B8" w:rsidRDefault="00B83D82" w:rsidP="00B83D82">
      <w:pPr>
        <w:ind w:left="0" w:firstLine="0"/>
        <w:rPr>
          <w:sz w:val="22"/>
          <w:lang w:val="en-US"/>
        </w:rPr>
      </w:pPr>
      <w:r w:rsidRPr="002C75B8">
        <w:rPr>
          <w:sz w:val="22"/>
          <w:lang w:val="en-US"/>
        </w:rPr>
        <w:t>The private sector is not used for obtaining diagnosis and treatment.</w:t>
      </w:r>
    </w:p>
    <w:p w:rsidR="00B83D82" w:rsidRDefault="00B83D82" w:rsidP="00B83D82">
      <w:pPr>
        <w:ind w:left="0" w:firstLine="0"/>
        <w:rPr>
          <w:sz w:val="22"/>
          <w:lang w:val="en-US"/>
        </w:rPr>
      </w:pPr>
      <w:r w:rsidRPr="002C75B8">
        <w:rPr>
          <w:sz w:val="22"/>
          <w:lang w:val="en-US"/>
        </w:rPr>
        <w:t xml:space="preserve"> </w:t>
      </w:r>
    </w:p>
    <w:p w:rsidR="00B83D82" w:rsidRDefault="00B83D82" w:rsidP="00B83D82">
      <w:pPr>
        <w:ind w:left="0" w:firstLine="0"/>
        <w:rPr>
          <w:sz w:val="22"/>
          <w:lang w:val="en-US"/>
        </w:rPr>
      </w:pPr>
    </w:p>
    <w:p w:rsidR="00B83D82" w:rsidRPr="002C75B8" w:rsidRDefault="00B83D82" w:rsidP="00B83D82">
      <w:pPr>
        <w:ind w:left="0" w:firstLine="0"/>
        <w:rPr>
          <w:sz w:val="22"/>
          <w:lang w:val="en-US"/>
        </w:rPr>
      </w:pPr>
    </w:p>
    <w:p w:rsidR="00B83D82" w:rsidRDefault="00B83D82" w:rsidP="00B83D82">
      <w:pPr>
        <w:ind w:left="0" w:firstLine="0"/>
        <w:rPr>
          <w:sz w:val="22"/>
          <w:lang w:val="en-US"/>
        </w:rPr>
      </w:pPr>
    </w:p>
    <w:p w:rsidR="00B83D82" w:rsidRDefault="00B83D82" w:rsidP="00B83D82">
      <w:pPr>
        <w:ind w:left="0" w:firstLine="0"/>
        <w:rPr>
          <w:sz w:val="22"/>
          <w:lang w:val="en-US"/>
        </w:rPr>
      </w:pPr>
    </w:p>
    <w:p w:rsidR="00B83D82" w:rsidRPr="002C75B8" w:rsidRDefault="00B83D82" w:rsidP="00B83D82">
      <w:pPr>
        <w:ind w:left="0" w:firstLine="0"/>
        <w:rPr>
          <w:sz w:val="22"/>
          <w:lang w:val="en-US"/>
        </w:rPr>
      </w:pPr>
      <w:r w:rsidRPr="002C75B8">
        <w:rPr>
          <w:b/>
          <w:sz w:val="22"/>
          <w:lang w:val="en-US"/>
        </w:rPr>
        <w:lastRenderedPageBreak/>
        <w:t>ACCESS TO DRUGS</w:t>
      </w:r>
      <w:r w:rsidRPr="002C75B8">
        <w:rPr>
          <w:sz w:val="22"/>
          <w:lang w:val="en-US"/>
        </w:rPr>
        <w:t xml:space="preserve"> </w:t>
      </w:r>
    </w:p>
    <w:p w:rsidR="00B83D82" w:rsidRPr="002C75B8" w:rsidRDefault="00B83D82" w:rsidP="00B83D82">
      <w:pPr>
        <w:ind w:left="0" w:firstLine="0"/>
        <w:rPr>
          <w:sz w:val="22"/>
          <w:lang w:val="en-GB"/>
        </w:rPr>
      </w:pPr>
    </w:p>
    <w:p w:rsidR="00B83D82" w:rsidRPr="002C75B8" w:rsidRDefault="00B83D82" w:rsidP="00B83D82">
      <w:pPr>
        <w:ind w:left="0" w:firstLine="0"/>
        <w:rPr>
          <w:sz w:val="22"/>
          <w:lang w:val="en-US"/>
        </w:rPr>
      </w:pPr>
      <w:r w:rsidRPr="002C75B8">
        <w:rPr>
          <w:sz w:val="22"/>
          <w:lang w:val="en-GB"/>
        </w:rPr>
        <w:t xml:space="preserve">Sodium stibogluconate and </w:t>
      </w:r>
      <w:proofErr w:type="spellStart"/>
      <w:r w:rsidRPr="002C75B8">
        <w:rPr>
          <w:sz w:val="22"/>
          <w:lang w:val="en-GB"/>
        </w:rPr>
        <w:t>pentamidine</w:t>
      </w:r>
      <w:proofErr w:type="spellEnd"/>
      <w:r w:rsidRPr="002C75B8">
        <w:rPr>
          <w:sz w:val="22"/>
          <w:lang w:val="en-GB"/>
        </w:rPr>
        <w:t xml:space="preserve"> are included in the National Essential Drug List for the treatment of VL. Pentostam (GSK) is registered in </w:t>
      </w:r>
      <w:proofErr w:type="gramStart"/>
      <w:smartTag w:uri="urn:schemas-microsoft-com:office:smarttags" w:element="country-region">
        <w:r w:rsidRPr="002C75B8">
          <w:rPr>
            <w:sz w:val="22"/>
            <w:lang w:val="en-GB"/>
          </w:rPr>
          <w:t>Kenya</w:t>
        </w:r>
      </w:smartTag>
      <w:r w:rsidRPr="002C75B8">
        <w:rPr>
          <w:sz w:val="22"/>
          <w:lang w:val="en-GB"/>
        </w:rPr>
        <w:t>,</w:t>
      </w:r>
      <w:proofErr w:type="gramEnd"/>
      <w:r w:rsidRPr="002C75B8">
        <w:rPr>
          <w:sz w:val="22"/>
          <w:lang w:val="en-GB"/>
        </w:rPr>
        <w:t xml:space="preserve"> and generic SSG (Albert David, </w:t>
      </w:r>
      <w:smartTag w:uri="urn:schemas-microsoft-com:office:smarttags" w:element="place">
        <w:smartTag w:uri="urn:schemas-microsoft-com:office:smarttags" w:element="country-region">
          <w:r w:rsidRPr="002C75B8">
            <w:rPr>
              <w:sz w:val="22"/>
              <w:lang w:val="en-GB"/>
            </w:rPr>
            <w:t>India</w:t>
          </w:r>
        </w:smartTag>
      </w:smartTag>
      <w:r w:rsidRPr="002C75B8">
        <w:rPr>
          <w:sz w:val="22"/>
          <w:lang w:val="en-GB"/>
        </w:rPr>
        <w:t xml:space="preserve">) as well. Pentostam is available in pharmacies for 157 USD per bottle. Generic SSG is not available </w:t>
      </w:r>
      <w:r>
        <w:rPr>
          <w:sz w:val="22"/>
          <w:lang w:val="en-GB"/>
        </w:rPr>
        <w:t>at</w:t>
      </w:r>
      <w:r w:rsidRPr="002C75B8">
        <w:rPr>
          <w:sz w:val="22"/>
          <w:lang w:val="en-GB"/>
        </w:rPr>
        <w:t xml:space="preserve"> private pharmacies. AmBisome is not registered and not available in </w:t>
      </w:r>
      <w:smartTag w:uri="urn:schemas-microsoft-com:office:smarttags" w:element="place">
        <w:smartTag w:uri="urn:schemas-microsoft-com:office:smarttags" w:element="country-region">
          <w:r w:rsidRPr="002C75B8">
            <w:rPr>
              <w:sz w:val="22"/>
              <w:lang w:val="en-GB"/>
            </w:rPr>
            <w:t>Kenya</w:t>
          </w:r>
        </w:smartTag>
      </w:smartTag>
      <w:r w:rsidRPr="002C75B8">
        <w:rPr>
          <w:sz w:val="22"/>
          <w:lang w:val="en-GB"/>
        </w:rPr>
        <w:t xml:space="preserve">. </w:t>
      </w:r>
    </w:p>
    <w:p w:rsidR="00B83D82" w:rsidRPr="002C75B8" w:rsidRDefault="00B83D82" w:rsidP="00B83D82">
      <w:pPr>
        <w:ind w:left="0" w:firstLine="0"/>
        <w:rPr>
          <w:sz w:val="22"/>
          <w:lang w:val="en-US"/>
        </w:rPr>
      </w:pPr>
    </w:p>
    <w:p w:rsidR="00B83D82" w:rsidRDefault="00B83D82" w:rsidP="00B83D82">
      <w:pPr>
        <w:ind w:left="0" w:firstLine="0"/>
        <w:rPr>
          <w:b/>
          <w:sz w:val="22"/>
          <w:lang w:val="en-US"/>
        </w:rPr>
      </w:pPr>
      <w:r w:rsidRPr="002C75B8">
        <w:rPr>
          <w:b/>
          <w:sz w:val="22"/>
          <w:lang w:val="en-US"/>
        </w:rPr>
        <w:t>SOURCES OF INFORMATION</w:t>
      </w:r>
    </w:p>
    <w:p w:rsidR="00B83D82" w:rsidRPr="002C75B8" w:rsidRDefault="00B83D82" w:rsidP="00B83D82">
      <w:pPr>
        <w:ind w:left="0" w:firstLine="0"/>
        <w:rPr>
          <w:b/>
          <w:sz w:val="22"/>
          <w:u w:val="single"/>
          <w:lang w:val="en-US"/>
        </w:rPr>
      </w:pPr>
    </w:p>
    <w:p w:rsidR="00B83D82" w:rsidRPr="002C75B8" w:rsidRDefault="00B83D82" w:rsidP="00B83D82">
      <w:pPr>
        <w:numPr>
          <w:ilvl w:val="0"/>
          <w:numId w:val="5"/>
        </w:numPr>
        <w:rPr>
          <w:sz w:val="22"/>
          <w:lang w:val="en-US"/>
        </w:rPr>
      </w:pPr>
      <w:r w:rsidRPr="002C75B8">
        <w:rPr>
          <w:sz w:val="22"/>
          <w:lang w:val="en-US"/>
        </w:rPr>
        <w:t xml:space="preserve">Dr Monique </w:t>
      </w:r>
      <w:proofErr w:type="spellStart"/>
      <w:r w:rsidRPr="002C75B8">
        <w:rPr>
          <w:sz w:val="22"/>
          <w:lang w:val="en-US"/>
        </w:rPr>
        <w:t>Wasunna</w:t>
      </w:r>
      <w:proofErr w:type="spellEnd"/>
      <w:r>
        <w:rPr>
          <w:sz w:val="22"/>
          <w:lang w:val="en-US"/>
        </w:rPr>
        <w:t>.</w:t>
      </w:r>
      <w:r w:rsidRPr="002C75B8">
        <w:rPr>
          <w:sz w:val="22"/>
          <w:lang w:val="en-US"/>
        </w:rPr>
        <w:t xml:space="preserve"> Kenya Medical Research Institute and Drugs for Neglected Diseases Initiative</w:t>
      </w:r>
      <w:r>
        <w:rPr>
          <w:sz w:val="22"/>
          <w:lang w:val="en-US"/>
        </w:rPr>
        <w:t>.</w:t>
      </w:r>
    </w:p>
    <w:p w:rsidR="00B83D82" w:rsidRPr="002C75B8" w:rsidRDefault="00B83D82" w:rsidP="00B83D82">
      <w:pPr>
        <w:ind w:left="0" w:firstLine="0"/>
        <w:rPr>
          <w:sz w:val="22"/>
          <w:lang w:val="en-US"/>
        </w:rPr>
      </w:pPr>
    </w:p>
    <w:p w:rsidR="00B83D82" w:rsidRPr="002C75B8" w:rsidRDefault="00B83D82" w:rsidP="00B83D82">
      <w:pPr>
        <w:numPr>
          <w:ilvl w:val="0"/>
          <w:numId w:val="5"/>
        </w:numPr>
        <w:rPr>
          <w:sz w:val="22"/>
          <w:lang w:val="en-US"/>
        </w:rPr>
      </w:pPr>
      <w:r w:rsidRPr="002C75B8">
        <w:rPr>
          <w:sz w:val="22"/>
          <w:lang w:val="en-US"/>
        </w:rPr>
        <w:t xml:space="preserve">Dr Davis </w:t>
      </w:r>
      <w:proofErr w:type="spellStart"/>
      <w:r w:rsidRPr="002C75B8">
        <w:rPr>
          <w:sz w:val="22"/>
          <w:lang w:val="en-US"/>
        </w:rPr>
        <w:t>Wachira</w:t>
      </w:r>
      <w:proofErr w:type="spellEnd"/>
      <w:r w:rsidRPr="002C75B8">
        <w:rPr>
          <w:sz w:val="22"/>
          <w:lang w:val="en-US"/>
        </w:rPr>
        <w:t>. Division of Vector Borne and Neglected Tropical Diseases.</w:t>
      </w:r>
      <w:r>
        <w:rPr>
          <w:sz w:val="22"/>
          <w:lang w:val="en-US"/>
        </w:rPr>
        <w:t xml:space="preserve"> Ministry of Health.</w:t>
      </w:r>
    </w:p>
    <w:p w:rsidR="00B83D82" w:rsidRDefault="00B83D82" w:rsidP="00B83D82">
      <w:pPr>
        <w:ind w:left="0" w:firstLine="0"/>
        <w:rPr>
          <w:color w:val="E36C0A"/>
          <w:sz w:val="22"/>
          <w:lang w:val="en-US"/>
        </w:rPr>
      </w:pPr>
    </w:p>
    <w:p w:rsidR="00B83D82" w:rsidRDefault="00B83D82" w:rsidP="00B83D82">
      <w:pPr>
        <w:ind w:left="0" w:firstLine="0"/>
        <w:rPr>
          <w:color w:val="E36C0A"/>
          <w:sz w:val="22"/>
          <w:lang w:val="en-US"/>
        </w:rPr>
      </w:pPr>
    </w:p>
    <w:p w:rsidR="00B83D82" w:rsidRPr="003A7470" w:rsidRDefault="00B83D82" w:rsidP="00B83D82">
      <w:pPr>
        <w:ind w:left="0" w:firstLine="0"/>
        <w:rPr>
          <w:sz w:val="22"/>
          <w:lang w:val="en-US"/>
        </w:rPr>
      </w:pPr>
      <w:r w:rsidRPr="003A7470">
        <w:rPr>
          <w:sz w:val="22"/>
          <w:lang w:val="en-US"/>
        </w:rPr>
        <w:t>1. Desjeux P</w:t>
      </w:r>
      <w:r>
        <w:rPr>
          <w:sz w:val="22"/>
          <w:lang w:val="en-US"/>
        </w:rPr>
        <w:t xml:space="preserve"> (1991)</w:t>
      </w:r>
      <w:r w:rsidRPr="003A7470">
        <w:rPr>
          <w:sz w:val="22"/>
          <w:lang w:val="en-US"/>
        </w:rPr>
        <w:t xml:space="preserve">. </w:t>
      </w:r>
      <w:proofErr w:type="gramStart"/>
      <w:r w:rsidRPr="003A7470">
        <w:rPr>
          <w:sz w:val="22"/>
          <w:lang w:val="en-US"/>
        </w:rPr>
        <w:t>Information on the epidemiology and control of the leishmaniases by country or territory.</w:t>
      </w:r>
      <w:proofErr w:type="gramEnd"/>
      <w:r w:rsidRPr="003A7470">
        <w:rPr>
          <w:sz w:val="22"/>
          <w:lang w:val="en-US"/>
        </w:rPr>
        <w:t xml:space="preserve"> WO/LEISH/91.31</w:t>
      </w:r>
      <w:r>
        <w:rPr>
          <w:sz w:val="22"/>
          <w:lang w:val="en-US"/>
        </w:rPr>
        <w:t>.</w:t>
      </w:r>
    </w:p>
    <w:p w:rsidR="00B83D82" w:rsidRPr="003A7470" w:rsidRDefault="00B83D82" w:rsidP="00B83D82">
      <w:pPr>
        <w:ind w:left="0" w:firstLine="0"/>
        <w:rPr>
          <w:sz w:val="22"/>
          <w:lang w:val="en-US"/>
        </w:rPr>
      </w:pPr>
    </w:p>
    <w:p w:rsidR="00B83D82" w:rsidRPr="003A7470" w:rsidRDefault="00B83D82" w:rsidP="00B83D82">
      <w:pPr>
        <w:ind w:left="0" w:firstLine="0"/>
        <w:rPr>
          <w:sz w:val="22"/>
          <w:lang w:val="en-US"/>
        </w:rPr>
      </w:pPr>
      <w:r w:rsidRPr="000814D3">
        <w:rPr>
          <w:sz w:val="22"/>
          <w:lang w:val="nl-NL"/>
        </w:rPr>
        <w:t>2. Marlet M, Sang D, Ritmeijer K, Muga R, Onsongo J et al</w:t>
      </w:r>
      <w:r>
        <w:rPr>
          <w:sz w:val="22"/>
          <w:lang w:val="nl-NL"/>
        </w:rPr>
        <w:t xml:space="preserve"> (2003)</w:t>
      </w:r>
      <w:r w:rsidRPr="000814D3">
        <w:rPr>
          <w:sz w:val="22"/>
          <w:lang w:val="nl-NL"/>
        </w:rPr>
        <w:t xml:space="preserve">. </w:t>
      </w:r>
      <w:proofErr w:type="gramStart"/>
      <w:r w:rsidRPr="003A7470">
        <w:rPr>
          <w:sz w:val="22"/>
          <w:lang w:val="en-US"/>
        </w:rPr>
        <w:t>Emergence and re-emergence of visceral leishmaniasis in areas of Somalia, north-eastern Kenya, and south-eastern Ethiopia in 2000-01.</w:t>
      </w:r>
      <w:proofErr w:type="gramEnd"/>
      <w:r w:rsidRPr="003A7470">
        <w:rPr>
          <w:sz w:val="22"/>
          <w:lang w:val="en-US"/>
        </w:rPr>
        <w:t xml:space="preserve"> Trans Roy </w:t>
      </w:r>
      <w:r>
        <w:rPr>
          <w:sz w:val="22"/>
          <w:lang w:val="en-US"/>
        </w:rPr>
        <w:t>S</w:t>
      </w:r>
      <w:r w:rsidRPr="003A7470">
        <w:rPr>
          <w:sz w:val="22"/>
          <w:lang w:val="en-US"/>
        </w:rPr>
        <w:t xml:space="preserve">oc </w:t>
      </w:r>
      <w:proofErr w:type="spellStart"/>
      <w:r w:rsidRPr="003A7470">
        <w:rPr>
          <w:sz w:val="22"/>
          <w:lang w:val="en-US"/>
        </w:rPr>
        <w:t>Trop</w:t>
      </w:r>
      <w:proofErr w:type="spellEnd"/>
      <w:r w:rsidRPr="003A7470">
        <w:rPr>
          <w:sz w:val="22"/>
          <w:lang w:val="en-US"/>
        </w:rPr>
        <w:t xml:space="preserve"> Med </w:t>
      </w:r>
      <w:proofErr w:type="spellStart"/>
      <w:r w:rsidRPr="003A7470">
        <w:rPr>
          <w:sz w:val="22"/>
          <w:lang w:val="en-US"/>
        </w:rPr>
        <w:t>Hyg</w:t>
      </w:r>
      <w:proofErr w:type="spellEnd"/>
      <w:r>
        <w:rPr>
          <w:sz w:val="22"/>
          <w:lang w:val="en-US"/>
        </w:rPr>
        <w:t xml:space="preserve"> </w:t>
      </w:r>
      <w:r w:rsidRPr="003A7470">
        <w:rPr>
          <w:sz w:val="22"/>
          <w:lang w:val="en-US"/>
        </w:rPr>
        <w:t>97: 515-518.</w:t>
      </w:r>
    </w:p>
    <w:p w:rsidR="00B83D82" w:rsidRPr="003A7470" w:rsidRDefault="00B83D82" w:rsidP="00B83D82">
      <w:pPr>
        <w:ind w:left="0" w:firstLine="0"/>
        <w:rPr>
          <w:sz w:val="22"/>
          <w:lang w:val="en-US"/>
        </w:rPr>
      </w:pPr>
    </w:p>
    <w:p w:rsidR="00B83D82" w:rsidRPr="003A7470" w:rsidRDefault="00B83D82" w:rsidP="00B83D82">
      <w:pPr>
        <w:ind w:left="0" w:firstLine="0"/>
        <w:rPr>
          <w:sz w:val="22"/>
          <w:lang w:val="en-US"/>
        </w:rPr>
      </w:pPr>
      <w:r w:rsidRPr="003A7470">
        <w:rPr>
          <w:sz w:val="22"/>
          <w:lang w:val="en-US"/>
        </w:rPr>
        <w:t xml:space="preserve">3. </w:t>
      </w:r>
      <w:proofErr w:type="spellStart"/>
      <w:r w:rsidRPr="003A7470">
        <w:rPr>
          <w:sz w:val="22"/>
          <w:lang w:val="en-US"/>
        </w:rPr>
        <w:t>Kolaczinski</w:t>
      </w:r>
      <w:proofErr w:type="spellEnd"/>
      <w:r w:rsidRPr="003A7470">
        <w:rPr>
          <w:sz w:val="22"/>
          <w:lang w:val="en-US"/>
        </w:rPr>
        <w:t xml:space="preserve"> JH, </w:t>
      </w:r>
      <w:proofErr w:type="spellStart"/>
      <w:r w:rsidRPr="003A7470">
        <w:rPr>
          <w:sz w:val="22"/>
          <w:lang w:val="en-US"/>
        </w:rPr>
        <w:t>Reithinger</w:t>
      </w:r>
      <w:proofErr w:type="spellEnd"/>
      <w:r w:rsidRPr="003A7470">
        <w:rPr>
          <w:sz w:val="22"/>
          <w:lang w:val="en-US"/>
        </w:rPr>
        <w:t xml:space="preserve"> R, </w:t>
      </w:r>
      <w:proofErr w:type="spellStart"/>
      <w:r w:rsidRPr="003A7470">
        <w:rPr>
          <w:sz w:val="22"/>
          <w:lang w:val="en-US"/>
        </w:rPr>
        <w:t>Worku</w:t>
      </w:r>
      <w:proofErr w:type="spellEnd"/>
      <w:r w:rsidRPr="003A7470">
        <w:rPr>
          <w:sz w:val="22"/>
          <w:lang w:val="en-US"/>
        </w:rPr>
        <w:t xml:space="preserve"> DT, </w:t>
      </w:r>
      <w:proofErr w:type="spellStart"/>
      <w:r w:rsidRPr="003A7470">
        <w:rPr>
          <w:sz w:val="22"/>
          <w:lang w:val="en-US"/>
        </w:rPr>
        <w:t>Ocheng</w:t>
      </w:r>
      <w:proofErr w:type="spellEnd"/>
      <w:r w:rsidRPr="003A7470">
        <w:rPr>
          <w:sz w:val="22"/>
          <w:lang w:val="en-US"/>
        </w:rPr>
        <w:t xml:space="preserve"> A, </w:t>
      </w:r>
      <w:proofErr w:type="spellStart"/>
      <w:r w:rsidRPr="003A7470">
        <w:rPr>
          <w:sz w:val="22"/>
          <w:lang w:val="en-US"/>
        </w:rPr>
        <w:t>Kasimiro</w:t>
      </w:r>
      <w:proofErr w:type="spellEnd"/>
      <w:r w:rsidRPr="003A7470">
        <w:rPr>
          <w:sz w:val="22"/>
          <w:lang w:val="en-US"/>
        </w:rPr>
        <w:t xml:space="preserve"> J</w:t>
      </w:r>
      <w:r>
        <w:rPr>
          <w:sz w:val="22"/>
          <w:lang w:val="en-US"/>
        </w:rPr>
        <w:t xml:space="preserve"> et al (2008).</w:t>
      </w:r>
      <w:r w:rsidRPr="003A7470">
        <w:rPr>
          <w:sz w:val="22"/>
          <w:lang w:val="en-US"/>
        </w:rPr>
        <w:t xml:space="preserve"> </w:t>
      </w:r>
      <w:hyperlink r:id="rId10" w:history="1">
        <w:r w:rsidRPr="003A7470">
          <w:rPr>
            <w:sz w:val="22"/>
            <w:lang w:val="en-US"/>
          </w:rPr>
          <w:t xml:space="preserve">Risk factors of visceral leishmaniasis in East Africa: a case-control study in </w:t>
        </w:r>
        <w:proofErr w:type="spellStart"/>
        <w:r w:rsidRPr="003A7470">
          <w:rPr>
            <w:sz w:val="22"/>
            <w:lang w:val="en-US"/>
          </w:rPr>
          <w:t>Pokot</w:t>
        </w:r>
        <w:proofErr w:type="spellEnd"/>
        <w:r w:rsidRPr="003A7470">
          <w:rPr>
            <w:sz w:val="22"/>
            <w:lang w:val="en-US"/>
          </w:rPr>
          <w:t xml:space="preserve"> territory of Kenya and Uganda</w:t>
        </w:r>
      </w:hyperlink>
      <w:r w:rsidRPr="003A7470">
        <w:rPr>
          <w:sz w:val="22"/>
          <w:lang w:val="en-US"/>
        </w:rPr>
        <w:t xml:space="preserve">. </w:t>
      </w:r>
      <w:proofErr w:type="spellStart"/>
      <w:r w:rsidRPr="003A7470">
        <w:rPr>
          <w:sz w:val="22"/>
          <w:lang w:val="en-US"/>
        </w:rPr>
        <w:t>Int</w:t>
      </w:r>
      <w:proofErr w:type="spellEnd"/>
      <w:r w:rsidRPr="003A7470">
        <w:rPr>
          <w:sz w:val="22"/>
          <w:lang w:val="en-US"/>
        </w:rPr>
        <w:t xml:space="preserve"> J </w:t>
      </w:r>
      <w:proofErr w:type="spellStart"/>
      <w:r w:rsidRPr="003A7470">
        <w:rPr>
          <w:sz w:val="22"/>
          <w:lang w:val="en-US"/>
        </w:rPr>
        <w:t>Epidemiol</w:t>
      </w:r>
      <w:proofErr w:type="spellEnd"/>
      <w:r>
        <w:rPr>
          <w:sz w:val="22"/>
          <w:lang w:val="en-US"/>
        </w:rPr>
        <w:t xml:space="preserve"> </w:t>
      </w:r>
      <w:r w:rsidRPr="003A7470">
        <w:rPr>
          <w:sz w:val="22"/>
          <w:lang w:val="en-US"/>
        </w:rPr>
        <w:t xml:space="preserve">37(2):344-52. </w:t>
      </w:r>
      <w:proofErr w:type="spellStart"/>
      <w:r w:rsidRPr="003A7470">
        <w:rPr>
          <w:sz w:val="22"/>
          <w:lang w:val="en-US"/>
        </w:rPr>
        <w:t>Epub</w:t>
      </w:r>
      <w:proofErr w:type="spellEnd"/>
      <w:r w:rsidRPr="003A7470">
        <w:rPr>
          <w:sz w:val="22"/>
          <w:lang w:val="en-US"/>
        </w:rPr>
        <w:t xml:space="preserve"> 2008 Jan 9.</w:t>
      </w:r>
    </w:p>
    <w:p w:rsidR="00B83D82" w:rsidRPr="003A7470" w:rsidRDefault="00B83D82" w:rsidP="00B83D82">
      <w:pPr>
        <w:ind w:left="0" w:firstLine="0"/>
        <w:rPr>
          <w:sz w:val="22"/>
          <w:lang w:val="en-US"/>
        </w:rPr>
      </w:pPr>
    </w:p>
    <w:sectPr w:rsidR="00B83D82" w:rsidRPr="003A7470"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11F7"/>
    <w:multiLevelType w:val="hybridMultilevel"/>
    <w:tmpl w:val="BC8005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83D82"/>
    <w:rsid w:val="000028F1"/>
    <w:rsid w:val="00010242"/>
    <w:rsid w:val="00046B72"/>
    <w:rsid w:val="00052A25"/>
    <w:rsid w:val="0005677D"/>
    <w:rsid w:val="000578BC"/>
    <w:rsid w:val="000848FF"/>
    <w:rsid w:val="000B48D7"/>
    <w:rsid w:val="000B6376"/>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83D82"/>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82"/>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B83D82"/>
    <w:pPr>
      <w:spacing w:before="100" w:beforeAutospacing="1" w:after="100" w:afterAutospacing="1"/>
      <w:ind w:left="0" w:firstLine="0"/>
      <w:jc w:val="left"/>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B83D82"/>
    <w:rPr>
      <w:rFonts w:ascii="Tahoma" w:hAnsi="Tahoma" w:cs="Tahoma"/>
      <w:sz w:val="16"/>
      <w:szCs w:val="16"/>
    </w:rPr>
  </w:style>
  <w:style w:type="character" w:customStyle="1" w:styleId="BalloonTextChar">
    <w:name w:val="Balloon Text Char"/>
    <w:basedOn w:val="DefaultParagraphFont"/>
    <w:link w:val="BalloonText"/>
    <w:uiPriority w:val="99"/>
    <w:semiHidden/>
    <w:rsid w:val="00B83D82"/>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cbi.nlm.nih.gov/pubmed/18184669"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4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1661891117478555E-2"/>
          <c:y val="3.4482758620689655E-2"/>
          <c:w val="0.90401146131805155"/>
          <c:h val="0.78965517241379357"/>
        </c:manualLayout>
      </c:layout>
      <c:bar3DChart>
        <c:barDir val="col"/>
        <c:grouping val="clustered"/>
        <c:ser>
          <c:idx val="0"/>
          <c:order val="0"/>
          <c:tx>
            <c:strRef>
              <c:f>Sheet1!$A$2</c:f>
              <c:strCache>
                <c:ptCount val="1"/>
                <c:pt idx="0">
                  <c:v>cases</c:v>
                </c:pt>
              </c:strCache>
            </c:strRef>
          </c:tx>
          <c:spPr>
            <a:solidFill>
              <a:srgbClr val="4F81BD"/>
            </a:solidFill>
            <a:ln w="12688">
              <a:solidFill>
                <a:srgbClr val="000000"/>
              </a:solidFill>
              <a:prstDash val="solid"/>
            </a:ln>
          </c:spPr>
          <c:cat>
            <c:numRef>
              <c:f>Sheet1!$B$1:$Q$1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Sheet1!$B$2:$Q$2</c:f>
              <c:numCache>
                <c:formatCode>General</c:formatCode>
                <c:ptCount val="10"/>
                <c:pt idx="0">
                  <c:v>115</c:v>
                </c:pt>
                <c:pt idx="1">
                  <c:v>150</c:v>
                </c:pt>
                <c:pt idx="2">
                  <c:v>220</c:v>
                </c:pt>
                <c:pt idx="3">
                  <c:v>295</c:v>
                </c:pt>
                <c:pt idx="4">
                  <c:v>145</c:v>
                </c:pt>
                <c:pt idx="5">
                  <c:v>150</c:v>
                </c:pt>
                <c:pt idx="6">
                  <c:v>195</c:v>
                </c:pt>
                <c:pt idx="7">
                  <c:v>35</c:v>
                </c:pt>
                <c:pt idx="8">
                  <c:v>258</c:v>
                </c:pt>
                <c:pt idx="9">
                  <c:v>85</c:v>
                </c:pt>
              </c:numCache>
            </c:numRef>
          </c:val>
        </c:ser>
        <c:gapDepth val="0"/>
        <c:shape val="box"/>
        <c:axId val="268093312"/>
        <c:axId val="268094848"/>
        <c:axId val="0"/>
      </c:bar3DChart>
      <c:catAx>
        <c:axId val="268093312"/>
        <c:scaling>
          <c:orientation val="minMax"/>
        </c:scaling>
        <c:axPos val="b"/>
        <c:numFmt formatCode="General" sourceLinked="1"/>
        <c:tickLblPos val="low"/>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268094848"/>
        <c:crosses val="autoZero"/>
        <c:auto val="1"/>
        <c:lblAlgn val="ctr"/>
        <c:lblOffset val="100"/>
        <c:tickLblSkip val="1"/>
        <c:tickMarkSkip val="1"/>
      </c:catAx>
      <c:valAx>
        <c:axId val="268094848"/>
        <c:scaling>
          <c:orientation val="minMax"/>
        </c:scaling>
        <c:axPos val="l"/>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268093312"/>
        <c:crosses val="autoZero"/>
        <c:crossBetween val="between"/>
      </c:valAx>
      <c:dTable>
        <c:showHorzBorder val="1"/>
        <c:showVertBorder val="1"/>
        <c:showOutline val="1"/>
        <c:showKeys val="1"/>
        <c:spPr>
          <a:ln w="3172">
            <a:solidFill>
              <a:srgbClr val="000000"/>
            </a:solidFill>
            <a:prstDash val="solid"/>
          </a:ln>
        </c:spPr>
        <c:txPr>
          <a:bodyPr/>
          <a:lstStyle/>
          <a:p>
            <a:pPr rtl="0">
              <a:defRPr sz="799" b="0" i="0" u="none" strike="noStrike" baseline="0">
                <a:solidFill>
                  <a:srgbClr val="000000"/>
                </a:solidFill>
                <a:latin typeface="Arial"/>
                <a:ea typeface="Arial"/>
                <a:cs typeface="Arial"/>
              </a:defRPr>
            </a:pPr>
            <a:endParaRPr lang="en-US"/>
          </a:p>
        </c:txPr>
      </c:dTable>
      <c:spPr>
        <a:noFill/>
        <a:ln w="25376">
          <a:noFill/>
        </a:ln>
      </c:spPr>
    </c:plotArea>
    <c:plotVisOnly val="1"/>
    <c:dispBlanksAs val="gap"/>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2012-04-02T09:44:00Z</dcterms:created>
  <dcterms:modified xsi:type="dcterms:W3CDTF">2012-04-02T09:45:00Z</dcterms:modified>
</cp:coreProperties>
</file>